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B8" w:rsidRDefault="00562AB8" w:rsidP="00562AB8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</w:pPr>
      <w:r w:rsidRPr="004E0B4A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支持上市企业、上市后备企业、股权挂牌企业和信用良好级企业开展研发融资的奖补办法</w:t>
      </w:r>
    </w:p>
    <w:p w:rsidR="00562AB8" w:rsidRDefault="00562AB8" w:rsidP="00562AB8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</w:pPr>
    </w:p>
    <w:p w:rsidR="00562AB8" w:rsidRPr="004E0B4A" w:rsidRDefault="00562AB8" w:rsidP="00562AB8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</w:pP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第一条  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为贯彻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落实供给侧结构性改革的相关要求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，落实我市新金融的发展战略，推动企业积极开展研发活动，结合我市实际，制定本办法。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第二条  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2018-2020年期间，市本级财政设立支持企业研发融资专项资金，每年安排1000万元，同时各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区、市（县级）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财政设立相应专项资金，用于补助和奖励上一年度（即2017年-2019年度）我市企业开展研发融资。补助及奖励资金由市本级财政与企业所在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区、市（县级）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财政按1:1比例分担。</w:t>
      </w:r>
    </w:p>
    <w:p w:rsidR="00562AB8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第三条  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奖补对象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</w:t>
      </w:r>
      <w:r w:rsidRPr="00B1444E">
        <w:rPr>
          <w:rFonts w:ascii="仿宋_GB2312" w:eastAsia="仿宋_GB2312" w:hint="eastAsia"/>
          <w:sz w:val="32"/>
          <w:szCs w:val="32"/>
        </w:rPr>
        <w:t>在江门市设立的企业，有以下几种情况，统称</w:t>
      </w:r>
      <w:r>
        <w:rPr>
          <w:rFonts w:ascii="仿宋_GB2312" w:eastAsia="仿宋_GB2312" w:hint="eastAsia"/>
          <w:sz w:val="32"/>
          <w:szCs w:val="32"/>
        </w:rPr>
        <w:t>“</w:t>
      </w:r>
      <w:r w:rsidRPr="00B1444E">
        <w:rPr>
          <w:rFonts w:ascii="仿宋_GB2312" w:eastAsia="仿宋_GB2312" w:hint="eastAsia"/>
          <w:sz w:val="32"/>
          <w:szCs w:val="32"/>
        </w:rPr>
        <w:t>融资企业</w:t>
      </w:r>
      <w:r>
        <w:rPr>
          <w:rFonts w:ascii="仿宋_GB2312" w:eastAsia="仿宋_GB2312" w:hint="eastAsia"/>
          <w:sz w:val="32"/>
          <w:szCs w:val="32"/>
        </w:rPr>
        <w:t>”</w:t>
      </w:r>
      <w:r w:rsidRPr="00B1444E">
        <w:rPr>
          <w:rFonts w:ascii="仿宋_GB2312" w:eastAsia="仿宋_GB2312" w:hint="eastAsia"/>
          <w:sz w:val="32"/>
          <w:szCs w:val="32"/>
        </w:rPr>
        <w:t>：在境内外</w:t>
      </w:r>
      <w:r>
        <w:rPr>
          <w:rFonts w:ascii="仿宋_GB2312" w:eastAsia="仿宋_GB2312" w:hint="eastAsia"/>
          <w:sz w:val="32"/>
          <w:szCs w:val="32"/>
        </w:rPr>
        <w:t>IPO</w:t>
      </w:r>
      <w:r w:rsidRPr="00B1444E">
        <w:rPr>
          <w:rFonts w:ascii="仿宋_GB2312" w:eastAsia="仿宋_GB2312" w:hint="eastAsia"/>
          <w:sz w:val="32"/>
          <w:szCs w:val="32"/>
        </w:rPr>
        <w:t>上市、新三板挂牌、在省内股权交易中心（广东金融高新区股权交易中心、广州股权交易中心和深圳前海股权交易中心）挂牌的企业；上市后备企业（与证券中介机构签订辅导协议）；以及经人民银行认可的信用评级机构评级，评级结果达到A级以上企业。具体名单以市金融局登记备案为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2AB8" w:rsidRPr="008014AB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第四条  本办法所指的研发融资，包括融资企业通过银行</w:t>
      </w:r>
      <w:r w:rsidRPr="008014A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机构、小额贷款公司借款，或通过资本市场等方式融资，并将融入资金用于本融资企业研发支出。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第五条  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奖补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方式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：采用</w:t>
      </w:r>
      <w:proofErr w:type="gramStart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事后奖补的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支持方式，融资</w:t>
      </w:r>
      <w:r w:rsidRPr="009C61CE">
        <w:rPr>
          <w:rFonts w:ascii="仿宋_GB2312" w:eastAsia="仿宋_GB2312" w:hint="eastAsia"/>
          <w:sz w:val="32"/>
          <w:szCs w:val="32"/>
        </w:rPr>
        <w:t>企业</w:t>
      </w:r>
      <w:r w:rsidRPr="009C61CE">
        <w:rPr>
          <w:rFonts w:ascii="仿宋_GB2312" w:eastAsia="仿宋_GB2312" w:hint="eastAsia"/>
          <w:sz w:val="32"/>
          <w:szCs w:val="32"/>
        </w:rPr>
        <w:lastRenderedPageBreak/>
        <w:t>需在统计联网直报平台上，如实填报本企业上年度研发项目及研发活动相关情况，并经统计部门最终核定后，对纳入统计口径的研发融资进行奖补。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第六条  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奖补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标准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：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一、贴息补助。对融资企业在银行机构、小额贷款公司发生研发融资达600万元以上，当年实际投入研发（R＆D）项目经费(下同)600万元以上，其融资额的利息支出，给予贴息3个百分点，单个融资企业最高贴息额不超过30万元。        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二、奖励。对资本市场融资分档次进行奖励。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（一）境内外IPO上市企业融资额5000万元以上的，当年实际投入研发（R＆D）项目经费3000万元以上，奖励50万元；当年实际投入研发（R＆D）项目经费1500万元以上，奖励30万元。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（二）新三板挂牌企业融资额2000万元以上的，当年实际投入研发（R＆D）项目经费500万元以上,奖励20万元。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eastAsia="仿宋_GB2312" w:cs="宋体" w:hint="eastAsia"/>
          <w:bCs/>
          <w:kern w:val="0"/>
          <w:sz w:val="32"/>
          <w:szCs w:val="32"/>
        </w:rPr>
      </w:pPr>
      <w:r w:rsidRPr="009C61CE">
        <w:rPr>
          <w:rFonts w:eastAsia="仿宋_GB2312" w:cs="宋体" w:hint="eastAsia"/>
          <w:bCs/>
          <w:kern w:val="0"/>
          <w:sz w:val="32"/>
          <w:szCs w:val="32"/>
        </w:rPr>
        <w:t>（三）在省内股权交易中心挂牌企业研发融资额</w:t>
      </w:r>
      <w:r w:rsidRPr="009C61CE">
        <w:rPr>
          <w:rFonts w:eastAsia="仿宋_GB2312" w:cs="宋体" w:hint="eastAsia"/>
          <w:bCs/>
          <w:kern w:val="0"/>
          <w:sz w:val="32"/>
          <w:szCs w:val="32"/>
        </w:rPr>
        <w:t>500</w:t>
      </w:r>
      <w:r w:rsidRPr="009C61CE">
        <w:rPr>
          <w:rFonts w:eastAsia="仿宋_GB2312" w:cs="宋体" w:hint="eastAsia"/>
          <w:bCs/>
          <w:kern w:val="0"/>
          <w:sz w:val="32"/>
          <w:szCs w:val="32"/>
        </w:rPr>
        <w:t>万元以上的，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当年实际投入研发（R＆D）项目经费200万元以上，</w:t>
      </w:r>
      <w:r w:rsidRPr="009C61CE">
        <w:rPr>
          <w:rFonts w:eastAsia="仿宋_GB2312" w:cs="宋体" w:hint="eastAsia"/>
          <w:bCs/>
          <w:kern w:val="0"/>
          <w:sz w:val="32"/>
          <w:szCs w:val="32"/>
        </w:rPr>
        <w:t>奖励</w:t>
      </w:r>
      <w:r w:rsidRPr="009C61CE">
        <w:rPr>
          <w:rFonts w:eastAsia="仿宋_GB2312" w:cs="宋体" w:hint="eastAsia"/>
          <w:bCs/>
          <w:kern w:val="0"/>
          <w:sz w:val="32"/>
          <w:szCs w:val="32"/>
        </w:rPr>
        <w:t>10</w:t>
      </w:r>
      <w:r w:rsidRPr="009C61CE">
        <w:rPr>
          <w:rFonts w:eastAsia="仿宋_GB2312" w:cs="宋体" w:hint="eastAsia"/>
          <w:bCs/>
          <w:kern w:val="0"/>
          <w:sz w:val="32"/>
          <w:szCs w:val="32"/>
        </w:rPr>
        <w:t>万元。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单个企业不重复享受我市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其他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激励企业科技贷款贴息、研究开发</w:t>
      </w:r>
      <w:proofErr w:type="gramStart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类财政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奖励或补助。</w:t>
      </w:r>
    </w:p>
    <w:p w:rsidR="00562AB8" w:rsidRPr="009C61CE" w:rsidRDefault="00562AB8" w:rsidP="00562AB8">
      <w:pPr>
        <w:spacing w:line="600" w:lineRule="exac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第七条  市金融局职责：</w:t>
      </w:r>
    </w:p>
    <w:p w:rsidR="00562AB8" w:rsidRPr="009C61CE" w:rsidRDefault="00562AB8" w:rsidP="00562AB8">
      <w:pPr>
        <w:spacing w:line="600" w:lineRule="exact"/>
        <w:ind w:firstLineChars="200" w:firstLine="640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负责</w:t>
      </w:r>
      <w:proofErr w:type="gramStart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编制市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本级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支持企业研发融资专项资金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年度预算。受理各融资企业的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登记备案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和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奖补申请</w:t>
      </w:r>
      <w:proofErr w:type="gramEnd"/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，负责对融资额进行审定，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并组织相关单位对材料进行审核，对资金的分配计划进行公示。组织向市政府申报，对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支持企业研发融资专项资金</w:t>
      </w: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开展绩效自评。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第八条  市财政局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职责：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负责落实市本级支持企业研发融资专项资金，按照有关财政资金管理规定及时拨付资金，并加强资金监管及绩效评价。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第九条  市科技局职责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负责对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企业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的奖补资金</w:t>
      </w:r>
      <w:proofErr w:type="gramEnd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申请资料进行审核，对融资企业的资金申报情况进行核对。配合做好支持企业研发融资专项资金的绩效评价工作。牵头组织市统计局、市金融局、人民银行江门市中心支行等部门，辅导企业开展研发投入。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第十条  市统计局职责：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负责对企业申报的研发项目及相关情况资料进行核对。配合做好支持企业研发融资专项资金的绩效评价工作。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第十一条  人民银行江门市中心支行职责：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一、运用货币政策工具，定向支持企业开展</w:t>
      </w:r>
      <w:r w:rsidRPr="009C61CE">
        <w:rPr>
          <w:rFonts w:ascii="仿宋_GB2312" w:eastAsia="仿宋_GB2312" w:hint="eastAsia"/>
          <w:sz w:val="32"/>
          <w:szCs w:val="32"/>
        </w:rPr>
        <w:t>研发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融资。每年安排再贷款奖励额度，支持地方法人银行机构向企业发放研发贷款；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二、运用再贴现工具，定向支持企业开展</w:t>
      </w:r>
      <w:r w:rsidRPr="009C61CE">
        <w:rPr>
          <w:rFonts w:ascii="仿宋_GB2312" w:eastAsia="仿宋_GB2312" w:hint="eastAsia"/>
          <w:sz w:val="32"/>
          <w:szCs w:val="32"/>
        </w:rPr>
        <w:t>研发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融资。每年安排再贴现奖励额度，对发放</w:t>
      </w:r>
      <w:r w:rsidRPr="009C61CE">
        <w:rPr>
          <w:rFonts w:ascii="仿宋_GB2312" w:eastAsia="仿宋_GB2312" w:hint="eastAsia"/>
          <w:sz w:val="32"/>
          <w:szCs w:val="32"/>
        </w:rPr>
        <w:t>研发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贷款的金融机构可进行再贴现奖励；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三、审核参与第三方信用评级企业的相关资料。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第十二条  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资金申请。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一、贴息补助资金申请。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贴息补助资金的申请一年一次，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融资企业应当于次年6月底前，填写一式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份的《</w:t>
      </w:r>
      <w:r w:rsidRPr="00A51794">
        <w:rPr>
          <w:rFonts w:ascii="仿宋_GB2312" w:eastAsia="仿宋_GB2312" w:hAnsi="宋体" w:cs="宋体" w:hint="eastAsia"/>
          <w:kern w:val="0"/>
          <w:sz w:val="32"/>
          <w:szCs w:val="32"/>
        </w:rPr>
        <w:t>江门市企业研发项目融资补助资金联审表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》（附件1），在统计联网直报平台上导出《企业研发项目情况表》和《企业研发活动及相关情况表》，并提供项目进展情况报告、营业执照、与项目有关的贷款合同、银行机构、小额贷款公司发放贷款凭证和利息支出凭证及其他证明材料，《授权委托书》（附件3）等，向市金融局提出申请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二、资本市场融资奖励资金申请。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奖励资金的申请一年一次，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融资企业应当于次年6月底前，填写一式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份的《</w:t>
      </w:r>
      <w:r w:rsidRPr="008F68FB">
        <w:rPr>
          <w:rFonts w:ascii="仿宋_GB2312" w:eastAsia="仿宋_GB2312" w:hAnsi="宋体" w:cs="宋体" w:hint="eastAsia"/>
          <w:kern w:val="0"/>
          <w:sz w:val="32"/>
          <w:szCs w:val="32"/>
        </w:rPr>
        <w:t>江门市企业研发项目资本市场融资奖励资金联审表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》（附件2），在统计联网直报平台上导出《企业研发项目情况表》和《企业研发活动及相关情况表》，并提供项目进展情况报告、营业执照、相关单位（证监会、新三板或股权交易中心）及金融机构出具的证明材料、《授权委托书》（附件3）等，向市金融局提出申请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第十三条  资金审批。市金融局组织相关部门、金融机构及第三方中介机构对融资企业上报的资料进行初审，初审后，由市金融局联合市科技局、市统计局和人民银行江门市中心支行对材料进行会审。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市金融局根据会审结果，拟定对融资企业</w:t>
      </w:r>
      <w:proofErr w:type="gramStart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的奖补资金</w:t>
      </w:r>
      <w:proofErr w:type="gramEnd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分配计划，并在市金融局门户网站上公示10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proofErr w:type="gramStart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奖补资金</w:t>
      </w:r>
      <w:proofErr w:type="gramEnd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分配计划经公示无异议后，由市金融局联合市科技局、市财政局、市统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计局以及人民银行江门市中心支行报市政府审批。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如有异议，由市金融局联合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市科技局、市统计局和人民银行江门市中心支行对材料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再次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进行会审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后，报市政府审批。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第十四条  拨付程序。</w:t>
      </w:r>
      <w:proofErr w:type="gramStart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奖补资金</w:t>
      </w:r>
      <w:proofErr w:type="gramEnd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分配计划经市政府批准后，由市金融局会同相关部门将分配计划下达各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区、市（县级）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，各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区、市（县级）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财政局按照资金管理规定办理资金拨付手续。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第十五条  各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职能部门要切实履行职能，严格遵循规定程序，提高办理效率，加强支持企业研发融资专项资金管理，确保专款专用。</w:t>
      </w:r>
    </w:p>
    <w:p w:rsidR="00562AB8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第十六条  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支持企业研发融资专项资金管理实行责任追究制度。</w:t>
      </w:r>
    </w:p>
    <w:p w:rsidR="00562AB8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对经核实发现申请人存在骗取专项资金行为的，由相关职能部门依照相关法律法规责令其退回有关专项资金并</w:t>
      </w:r>
      <w:proofErr w:type="gramStart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处理。对涉嫌犯罪的，依法移送司法机关追究刑事责任。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负有管理职责的相关部门的工作人员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在企业研发融资专项资金分配、审批、拨付、管理、绩效评价过程中存在违法违纪行为的，对直接负责的主管人员和其他直接责任人员依法给予处分。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第十七条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资金实行绩效考评制度。预算年度结束后，市金融局应及时对资金使用情况进行绩效自评；市财政根据实际需要，会同有关部门按照《江门市本级财政支出绩效评价管理暂行办法》（</w:t>
      </w:r>
      <w:proofErr w:type="gramStart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江财评</w:t>
      </w:r>
      <w:proofErr w:type="gramEnd"/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〔2012〕22 号）规定，组织重点绩效评价。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第十八条  各有关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职能部门需在各自门户网站公开专项资金管理办法、申报办法及方式等，接受社会和群众的监督。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第十九条  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本办法由市金融局会同市科技局、市财政局、市统计局和人民银行江门市中心支行负责解释。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第二十条  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本办法自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2017年7月9日</w:t>
      </w: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起施行，有效期至2020年12月31日。</w:t>
      </w:r>
    </w:p>
    <w:p w:rsidR="00562AB8" w:rsidRPr="009C61CE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62AB8" w:rsidRPr="00FB411C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9C61CE">
        <w:rPr>
          <w:rFonts w:ascii="仿宋_GB2312" w:eastAsia="仿宋_GB2312" w:hAnsi="宋体" w:cs="宋体" w:hint="eastAsia"/>
          <w:kern w:val="0"/>
          <w:sz w:val="32"/>
          <w:szCs w:val="32"/>
        </w:rPr>
        <w:t>附件：1.</w:t>
      </w:r>
      <w:r w:rsidRPr="009C61CE">
        <w:rPr>
          <w:rFonts w:hint="eastAsia"/>
        </w:rPr>
        <w:t xml:space="preserve"> </w:t>
      </w:r>
      <w:r w:rsidRPr="00FB411C">
        <w:rPr>
          <w:rFonts w:ascii="仿宋_GB2312" w:eastAsia="仿宋_GB2312" w:hAnsi="宋体" w:cs="宋体" w:hint="eastAsia"/>
          <w:kern w:val="0"/>
          <w:sz w:val="32"/>
          <w:szCs w:val="32"/>
        </w:rPr>
        <w:t>江门市企业研发项目融资补助资金联审表</w:t>
      </w:r>
    </w:p>
    <w:p w:rsidR="00562AB8" w:rsidRPr="00FB411C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B411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2.</w:t>
      </w:r>
      <w:r w:rsidRPr="00FB411C">
        <w:rPr>
          <w:rFonts w:hint="eastAsia"/>
        </w:rPr>
        <w:t xml:space="preserve"> </w:t>
      </w:r>
      <w:r w:rsidRPr="00FB411C">
        <w:rPr>
          <w:rFonts w:ascii="仿宋_GB2312" w:eastAsia="仿宋_GB2312" w:hAnsi="宋体" w:cs="宋体" w:hint="eastAsia"/>
          <w:spacing w:val="-8"/>
          <w:kern w:val="0"/>
          <w:sz w:val="32"/>
          <w:szCs w:val="32"/>
        </w:rPr>
        <w:t>江门市企业研发项目资本市场融资奖励资金联审表</w:t>
      </w:r>
    </w:p>
    <w:p w:rsidR="00562AB8" w:rsidRPr="00FB411C" w:rsidRDefault="00562AB8" w:rsidP="00562AB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B411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3.</w:t>
      </w:r>
      <w:r w:rsidRPr="00FB411C">
        <w:rPr>
          <w:rFonts w:hint="eastAsia"/>
        </w:rPr>
        <w:t xml:space="preserve"> </w:t>
      </w:r>
      <w:r w:rsidRPr="00FB411C">
        <w:rPr>
          <w:rFonts w:ascii="仿宋_GB2312" w:eastAsia="仿宋_GB2312" w:hAnsi="宋体" w:cs="宋体" w:hint="eastAsia"/>
          <w:kern w:val="0"/>
          <w:sz w:val="32"/>
          <w:szCs w:val="32"/>
        </w:rPr>
        <w:t>授权委托书</w:t>
      </w:r>
    </w:p>
    <w:p w:rsidR="007C670D" w:rsidRDefault="007C670D"/>
    <w:sectPr w:rsidR="007C670D" w:rsidSect="00234D16">
      <w:footerReference w:type="default" r:id="rId4"/>
      <w:pgSz w:w="11906" w:h="16838"/>
      <w:pgMar w:top="158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7C" w:rsidRDefault="00562AB8" w:rsidP="00D4345B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AB8"/>
    <w:rsid w:val="00562AB8"/>
    <w:rsid w:val="007C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6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62AB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62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420</Words>
  <Characters>2395</Characters>
  <Application>Microsoft Office Word</Application>
  <DocSecurity>0</DocSecurity>
  <Lines>19</Lines>
  <Paragraphs>5</Paragraphs>
  <ScaleCrop>false</ScaleCrop>
  <Company>gz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莫奔华</dc:creator>
  <cp:keywords/>
  <dc:description/>
  <cp:lastModifiedBy>莫奔华</cp:lastModifiedBy>
  <cp:revision>1</cp:revision>
  <dcterms:created xsi:type="dcterms:W3CDTF">2017-06-28T02:00:00Z</dcterms:created>
  <dcterms:modified xsi:type="dcterms:W3CDTF">2017-06-28T02:00:00Z</dcterms:modified>
</cp:coreProperties>
</file>