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Ansi="宋体"/>
          <w:b/>
          <w:sz w:val="24"/>
        </w:rPr>
      </w:pPr>
      <w:r>
        <w:rPr>
          <w:rFonts w:hint="eastAsia" w:hAnsi="宋体"/>
          <w:b/>
          <w:sz w:val="44"/>
          <w:szCs w:val="44"/>
        </w:rPr>
        <w:t>江门市非税收入</w:t>
      </w:r>
      <w:r>
        <w:rPr>
          <w:rFonts w:hAnsi="宋体"/>
          <w:b/>
          <w:sz w:val="44"/>
          <w:szCs w:val="44"/>
        </w:rPr>
        <w:t>转账须知</w:t>
      </w:r>
    </w:p>
    <w:p>
      <w:pPr>
        <w:snapToGrid w:val="0"/>
        <w:jc w:val="center"/>
        <w:rPr>
          <w:rFonts w:hAnsi="宋体"/>
          <w:b/>
          <w:sz w:val="24"/>
        </w:rPr>
      </w:pPr>
    </w:p>
    <w:p>
      <w:pPr>
        <w:snapToGrid w:val="0"/>
        <w:spacing w:line="360" w:lineRule="exact"/>
        <w:ind w:firstLine="420" w:firstLineChars="200"/>
        <w:outlineLvl w:val="0"/>
        <w:rPr>
          <w:rFonts w:hAnsi="宋体"/>
          <w:szCs w:val="21"/>
        </w:rPr>
      </w:pPr>
      <w:r>
        <w:rPr>
          <w:rFonts w:hint="eastAsia" w:hAnsi="宋体"/>
          <w:szCs w:val="21"/>
        </w:rPr>
        <w:t>缴款单位（或个人)使用</w:t>
      </w:r>
      <w:r>
        <w:rPr>
          <w:rFonts w:hint="eastAsia" w:hAnsi="宋体"/>
          <w:b/>
          <w:szCs w:val="21"/>
        </w:rPr>
        <w:t>线上转账方式</w:t>
      </w:r>
      <w:r>
        <w:rPr>
          <w:rFonts w:hint="eastAsia" w:hAnsi="宋体"/>
          <w:szCs w:val="21"/>
        </w:rPr>
        <w:t>缴纳江门市本级非税收入时，</w:t>
      </w:r>
      <w:r>
        <w:rPr>
          <w:rFonts w:hint="eastAsia" w:hAnsi="宋体"/>
          <w:b/>
          <w:szCs w:val="21"/>
        </w:rPr>
        <w:t>需在转账单备注栏注明“非税收入、缴款识别码”</w:t>
      </w:r>
      <w:r>
        <w:rPr>
          <w:rFonts w:hint="eastAsia" w:hAnsi="宋体"/>
          <w:szCs w:val="21"/>
        </w:rPr>
        <w:t>，例如“非税收入、44020021000000000001”，</w:t>
      </w:r>
      <w:r>
        <w:rPr>
          <w:rFonts w:hint="eastAsia" w:hAnsi="宋体"/>
          <w:b/>
          <w:szCs w:val="21"/>
        </w:rPr>
        <w:t>否则银行将作退款处理</w:t>
      </w:r>
      <w:r>
        <w:rPr>
          <w:rFonts w:hint="eastAsia" w:hAnsi="宋体"/>
          <w:szCs w:val="21"/>
        </w:rPr>
        <w:t>。转账办理缴费业务后，缴款单位（或个人）可</w:t>
      </w:r>
      <w:r>
        <w:rPr>
          <w:rFonts w:hint="eastAsia" w:hAnsi="宋体"/>
          <w:b/>
          <w:szCs w:val="21"/>
        </w:rPr>
        <w:t>直接扫缴款通知书二维码</w:t>
      </w:r>
      <w:r>
        <w:rPr>
          <w:rFonts w:hint="eastAsia" w:hAnsi="宋体"/>
          <w:szCs w:val="21"/>
        </w:rPr>
        <w:t>或登录广东公共支付平台（http://wsjf.gdgpo,gov,cn/GdOnlinePay）输入缴款识别码查询缴费后开具。电子票据为报销和办理业务的唯一有效凭证。</w:t>
      </w:r>
    </w:p>
    <w:p>
      <w:pPr>
        <w:snapToGrid w:val="0"/>
        <w:spacing w:line="400" w:lineRule="exact"/>
        <w:ind w:firstLine="413" w:firstLineChars="196"/>
        <w:outlineLvl w:val="0"/>
        <w:rPr>
          <w:b/>
          <w:szCs w:val="21"/>
        </w:rPr>
      </w:pPr>
      <w:r>
        <w:rPr>
          <w:rFonts w:hAnsi="宋体"/>
          <w:b/>
          <w:szCs w:val="21"/>
        </w:rPr>
        <w:t>一、</w:t>
      </w:r>
      <w:r>
        <w:rPr>
          <w:rFonts w:hint="eastAsia" w:hAnsi="宋体"/>
          <w:b/>
          <w:szCs w:val="21"/>
        </w:rPr>
        <w:t>转账收款信息</w:t>
      </w:r>
    </w:p>
    <w:tbl>
      <w:tblPr>
        <w:tblStyle w:val="4"/>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122"/>
        <w:gridCol w:w="241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79" w:type="dxa"/>
            <w:vAlign w:val="center"/>
          </w:tcPr>
          <w:p>
            <w:pPr>
              <w:snapToGrid w:val="0"/>
              <w:spacing w:line="320" w:lineRule="exact"/>
              <w:ind w:left="19" w:hanging="18" w:hangingChars="9"/>
              <w:jc w:val="center"/>
              <w:rPr>
                <w:rFonts w:hAnsi="宋体"/>
                <w:b/>
                <w:szCs w:val="21"/>
              </w:rPr>
            </w:pPr>
            <w:r>
              <w:rPr>
                <w:rFonts w:hint="eastAsia" w:hAnsi="宋体"/>
                <w:b/>
                <w:szCs w:val="21"/>
              </w:rPr>
              <w:t>开户行</w:t>
            </w:r>
          </w:p>
        </w:tc>
        <w:tc>
          <w:tcPr>
            <w:tcW w:w="3122" w:type="dxa"/>
            <w:vAlign w:val="center"/>
          </w:tcPr>
          <w:p>
            <w:pPr>
              <w:snapToGrid w:val="0"/>
              <w:spacing w:line="320" w:lineRule="exact"/>
              <w:jc w:val="center"/>
              <w:rPr>
                <w:rFonts w:hAnsi="宋体"/>
                <w:b/>
                <w:szCs w:val="21"/>
              </w:rPr>
            </w:pPr>
            <w:r>
              <w:rPr>
                <w:rFonts w:hint="eastAsia" w:hAnsi="宋体"/>
                <w:b/>
                <w:szCs w:val="21"/>
              </w:rPr>
              <w:t>收款人（账户名称）</w:t>
            </w:r>
          </w:p>
        </w:tc>
        <w:tc>
          <w:tcPr>
            <w:tcW w:w="2410" w:type="dxa"/>
            <w:vAlign w:val="center"/>
          </w:tcPr>
          <w:p>
            <w:pPr>
              <w:snapToGrid w:val="0"/>
              <w:spacing w:line="320" w:lineRule="exact"/>
              <w:jc w:val="center"/>
              <w:rPr>
                <w:rFonts w:hAnsi="宋体"/>
                <w:b/>
                <w:szCs w:val="21"/>
              </w:rPr>
            </w:pPr>
            <w:r>
              <w:rPr>
                <w:rFonts w:hint="eastAsia" w:hAnsi="宋体"/>
                <w:b/>
                <w:szCs w:val="21"/>
              </w:rPr>
              <w:t>账号</w:t>
            </w:r>
          </w:p>
        </w:tc>
        <w:tc>
          <w:tcPr>
            <w:tcW w:w="1954" w:type="dxa"/>
            <w:vAlign w:val="center"/>
          </w:tcPr>
          <w:p>
            <w:pPr>
              <w:snapToGrid w:val="0"/>
              <w:spacing w:line="320" w:lineRule="exact"/>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中国农业银行股份有限公司江门分行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代理地方非税收入收缴待结算款项</w:t>
            </w:r>
          </w:p>
        </w:tc>
        <w:tc>
          <w:tcPr>
            <w:tcW w:w="2410" w:type="dxa"/>
            <w:vAlign w:val="center"/>
          </w:tcPr>
          <w:p>
            <w:pPr>
              <w:snapToGrid w:val="0"/>
              <w:spacing w:line="320" w:lineRule="exact"/>
              <w:jc w:val="center"/>
              <w:rPr>
                <w:rFonts w:hAnsi="宋体"/>
                <w:sz w:val="18"/>
                <w:szCs w:val="18"/>
              </w:rPr>
            </w:pPr>
            <w:r>
              <w:rPr>
                <w:rFonts w:hint="eastAsia" w:hAnsi="宋体"/>
                <w:sz w:val="18"/>
                <w:szCs w:val="18"/>
              </w:rPr>
              <w:t>44370301010046146</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中国建设银行江门城区支行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待报解预算收入暂挂户</w:t>
            </w:r>
          </w:p>
        </w:tc>
        <w:tc>
          <w:tcPr>
            <w:tcW w:w="2410" w:type="dxa"/>
            <w:vAlign w:val="center"/>
          </w:tcPr>
          <w:p>
            <w:pPr>
              <w:snapToGrid w:val="0"/>
              <w:spacing w:line="320" w:lineRule="exact"/>
              <w:jc w:val="center"/>
              <w:rPr>
                <w:rFonts w:hAnsi="宋体"/>
                <w:sz w:val="18"/>
                <w:szCs w:val="18"/>
              </w:rPr>
            </w:pPr>
            <w:r>
              <w:rPr>
                <w:rFonts w:hint="eastAsia" w:hAnsi="宋体"/>
                <w:sz w:val="18"/>
                <w:szCs w:val="18"/>
              </w:rPr>
              <w:t>241035009908003</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中国银行江门分行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待结算地方财政非税收入</w:t>
            </w:r>
          </w:p>
        </w:tc>
        <w:tc>
          <w:tcPr>
            <w:tcW w:w="2410" w:type="dxa"/>
            <w:vAlign w:val="center"/>
          </w:tcPr>
          <w:p>
            <w:pPr>
              <w:snapToGrid w:val="0"/>
              <w:spacing w:line="320" w:lineRule="exact"/>
              <w:jc w:val="center"/>
              <w:rPr>
                <w:rFonts w:hAnsi="宋体"/>
                <w:sz w:val="18"/>
                <w:szCs w:val="18"/>
              </w:rPr>
            </w:pPr>
            <w:r>
              <w:rPr>
                <w:rFonts w:hint="eastAsia" w:hAnsi="宋体"/>
                <w:sz w:val="18"/>
                <w:szCs w:val="18"/>
              </w:rPr>
              <w:t>9336770018535022</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中国邮政储蓄银行江门分行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邮储银行江门市财政局非税收入结算户</w:t>
            </w:r>
          </w:p>
        </w:tc>
        <w:tc>
          <w:tcPr>
            <w:tcW w:w="2410" w:type="dxa"/>
            <w:vAlign w:val="center"/>
          </w:tcPr>
          <w:p>
            <w:pPr>
              <w:snapToGrid w:val="0"/>
              <w:spacing w:line="320" w:lineRule="exact"/>
              <w:jc w:val="center"/>
              <w:rPr>
                <w:rFonts w:hAnsi="宋体"/>
                <w:sz w:val="18"/>
                <w:szCs w:val="18"/>
              </w:rPr>
            </w:pPr>
            <w:r>
              <w:rPr>
                <w:rFonts w:hint="eastAsia" w:hAnsi="宋体"/>
                <w:sz w:val="18"/>
                <w:szCs w:val="18"/>
              </w:rPr>
              <w:t>4415602002780224</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广发银行江门分行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待报解预算收入-非税</w:t>
            </w:r>
          </w:p>
        </w:tc>
        <w:tc>
          <w:tcPr>
            <w:tcW w:w="2410" w:type="dxa"/>
            <w:vAlign w:val="center"/>
          </w:tcPr>
          <w:p>
            <w:pPr>
              <w:snapToGrid w:val="0"/>
              <w:spacing w:line="320" w:lineRule="exact"/>
              <w:jc w:val="center"/>
              <w:rPr>
                <w:rFonts w:hAnsi="宋体"/>
                <w:sz w:val="18"/>
                <w:szCs w:val="18"/>
              </w:rPr>
            </w:pPr>
            <w:r>
              <w:rPr>
                <w:rFonts w:hint="eastAsia" w:hAnsi="宋体"/>
                <w:sz w:val="18"/>
                <w:szCs w:val="18"/>
              </w:rPr>
              <w:t>10300115622159021990001</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工商银行江门分行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代理地方非税收入收缴业务资金缴款</w:t>
            </w:r>
          </w:p>
        </w:tc>
        <w:tc>
          <w:tcPr>
            <w:tcW w:w="2410" w:type="dxa"/>
            <w:vAlign w:val="center"/>
          </w:tcPr>
          <w:p>
            <w:pPr>
              <w:snapToGrid w:val="0"/>
              <w:spacing w:line="320" w:lineRule="exact"/>
              <w:jc w:val="center"/>
              <w:rPr>
                <w:rFonts w:hAnsi="宋体"/>
                <w:sz w:val="18"/>
                <w:szCs w:val="18"/>
              </w:rPr>
            </w:pPr>
            <w:r>
              <w:rPr>
                <w:rFonts w:hint="eastAsia" w:hAnsi="宋体"/>
                <w:sz w:val="18"/>
                <w:szCs w:val="18"/>
              </w:rPr>
              <w:t>2012002711201022183</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江门农村商业银行</w:t>
            </w:r>
          </w:p>
        </w:tc>
        <w:tc>
          <w:tcPr>
            <w:tcW w:w="3122" w:type="dxa"/>
            <w:vAlign w:val="center"/>
          </w:tcPr>
          <w:p>
            <w:pPr>
              <w:snapToGrid w:val="0"/>
              <w:spacing w:line="320" w:lineRule="exact"/>
              <w:jc w:val="center"/>
              <w:rPr>
                <w:sz w:val="18"/>
                <w:szCs w:val="18"/>
              </w:rPr>
            </w:pPr>
            <w:r>
              <w:rPr>
                <w:rFonts w:hint="eastAsia"/>
                <w:sz w:val="18"/>
                <w:szCs w:val="18"/>
              </w:rPr>
              <w:t>待划款项</w:t>
            </w:r>
          </w:p>
        </w:tc>
        <w:tc>
          <w:tcPr>
            <w:tcW w:w="2410" w:type="dxa"/>
            <w:vAlign w:val="center"/>
          </w:tcPr>
          <w:p>
            <w:pPr>
              <w:snapToGrid w:val="0"/>
              <w:spacing w:line="320" w:lineRule="exact"/>
              <w:jc w:val="center"/>
              <w:rPr>
                <w:color w:val="000000"/>
                <w:kern w:val="0"/>
                <w:sz w:val="18"/>
                <w:szCs w:val="18"/>
              </w:rPr>
            </w:pPr>
            <w:r>
              <w:rPr>
                <w:rFonts w:hint="eastAsia"/>
                <w:color w:val="000000"/>
                <w:kern w:val="0"/>
                <w:sz w:val="18"/>
                <w:szCs w:val="18"/>
              </w:rPr>
              <w:t>9083510012030001</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中信银行江门分行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待报解预算收入-代收（或代理）江门市非税收入待报解汇缴账户</w:t>
            </w:r>
          </w:p>
        </w:tc>
        <w:tc>
          <w:tcPr>
            <w:tcW w:w="2410" w:type="dxa"/>
            <w:vAlign w:val="center"/>
          </w:tcPr>
          <w:p>
            <w:pPr>
              <w:snapToGrid w:val="0"/>
              <w:spacing w:line="320" w:lineRule="exact"/>
              <w:jc w:val="center"/>
              <w:rPr>
                <w:rFonts w:hAnsi="宋体"/>
                <w:sz w:val="18"/>
                <w:szCs w:val="18"/>
              </w:rPr>
            </w:pPr>
            <w:r>
              <w:rPr>
                <w:rFonts w:hint="eastAsia" w:hAnsi="宋体"/>
                <w:sz w:val="18"/>
                <w:szCs w:val="18"/>
              </w:rPr>
              <w:t>7491010123901009601</w:t>
            </w:r>
          </w:p>
        </w:tc>
        <w:tc>
          <w:tcPr>
            <w:tcW w:w="1954" w:type="dxa"/>
            <w:vAlign w:val="center"/>
          </w:tcPr>
          <w:p>
            <w:pPr>
              <w:snapToGrid w:val="0"/>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兴业银行股份有限公司江门分行专业处理中心</w:t>
            </w:r>
          </w:p>
        </w:tc>
        <w:tc>
          <w:tcPr>
            <w:tcW w:w="3122" w:type="dxa"/>
            <w:vAlign w:val="center"/>
          </w:tcPr>
          <w:p>
            <w:pPr>
              <w:snapToGrid w:val="0"/>
              <w:spacing w:line="320" w:lineRule="exact"/>
              <w:jc w:val="center"/>
              <w:rPr>
                <w:rFonts w:hAnsi="宋体"/>
                <w:sz w:val="18"/>
                <w:szCs w:val="18"/>
              </w:rPr>
            </w:pPr>
            <w:r>
              <w:rPr>
                <w:rFonts w:hint="eastAsia" w:hAnsi="宋体"/>
                <w:sz w:val="18"/>
                <w:szCs w:val="18"/>
              </w:rPr>
              <w:t>待报解预算收入-江门市市级非税收入</w:t>
            </w:r>
          </w:p>
        </w:tc>
        <w:tc>
          <w:tcPr>
            <w:tcW w:w="2410" w:type="dxa"/>
            <w:vAlign w:val="center"/>
          </w:tcPr>
          <w:p>
            <w:pPr>
              <w:snapToGrid w:val="0"/>
              <w:spacing w:line="320" w:lineRule="exact"/>
              <w:jc w:val="center"/>
              <w:rPr>
                <w:rFonts w:hAnsi="宋体"/>
                <w:sz w:val="18"/>
                <w:szCs w:val="18"/>
              </w:rPr>
            </w:pPr>
            <w:r>
              <w:rPr>
                <w:rFonts w:hint="eastAsia" w:hAnsi="宋体"/>
                <w:sz w:val="18"/>
                <w:szCs w:val="18"/>
              </w:rPr>
              <w:t>398010100100000255</w:t>
            </w:r>
          </w:p>
        </w:tc>
        <w:tc>
          <w:tcPr>
            <w:tcW w:w="1954" w:type="dxa"/>
            <w:vAlign w:val="center"/>
          </w:tcPr>
          <w:p>
            <w:pPr>
              <w:snapToGrid w:val="0"/>
              <w:spacing w:line="320" w:lineRule="exact"/>
              <w:jc w:val="center"/>
              <w:rPr>
                <w:rFonts w:hAnsi="宋体"/>
                <w:sz w:val="18"/>
                <w:szCs w:val="18"/>
              </w:rPr>
            </w:pPr>
            <w:r>
              <w:rPr>
                <w:rFonts w:hint="eastAsia" w:hAnsi="宋体"/>
                <w:sz w:val="18"/>
                <w:szCs w:val="18"/>
              </w:rPr>
              <w:t>转账后需到柜台确认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79" w:type="dxa"/>
            <w:vAlign w:val="center"/>
          </w:tcPr>
          <w:p>
            <w:pPr>
              <w:snapToGrid w:val="0"/>
              <w:spacing w:line="320" w:lineRule="exact"/>
              <w:jc w:val="center"/>
              <w:rPr>
                <w:rFonts w:hAnsi="宋体"/>
                <w:sz w:val="18"/>
                <w:szCs w:val="18"/>
              </w:rPr>
            </w:pPr>
            <w:r>
              <w:rPr>
                <w:rFonts w:hint="eastAsia" w:hAnsi="宋体"/>
                <w:sz w:val="18"/>
                <w:szCs w:val="18"/>
              </w:rPr>
              <w:t>光大银行江门分行</w:t>
            </w:r>
          </w:p>
        </w:tc>
        <w:tc>
          <w:tcPr>
            <w:tcW w:w="3122" w:type="dxa"/>
            <w:vAlign w:val="center"/>
          </w:tcPr>
          <w:p>
            <w:pPr>
              <w:snapToGrid w:val="0"/>
              <w:spacing w:line="320" w:lineRule="exact"/>
              <w:jc w:val="center"/>
              <w:rPr>
                <w:rFonts w:hAnsi="宋体"/>
                <w:sz w:val="18"/>
                <w:szCs w:val="18"/>
              </w:rPr>
            </w:pPr>
            <w:r>
              <w:rPr>
                <w:rFonts w:hint="eastAsia" w:hAnsi="宋体"/>
                <w:sz w:val="18"/>
                <w:szCs w:val="18"/>
              </w:rPr>
              <w:t>江门市本级非税收入待报解预算收入账户</w:t>
            </w:r>
          </w:p>
        </w:tc>
        <w:tc>
          <w:tcPr>
            <w:tcW w:w="2410" w:type="dxa"/>
            <w:vAlign w:val="center"/>
          </w:tcPr>
          <w:p>
            <w:pPr>
              <w:snapToGrid w:val="0"/>
              <w:spacing w:line="320" w:lineRule="exact"/>
              <w:jc w:val="center"/>
              <w:rPr>
                <w:rFonts w:hAnsi="宋体"/>
                <w:sz w:val="18"/>
                <w:szCs w:val="18"/>
              </w:rPr>
            </w:pPr>
            <w:r>
              <w:rPr>
                <w:rFonts w:hint="eastAsia" w:hAnsi="宋体"/>
                <w:sz w:val="18"/>
                <w:szCs w:val="18"/>
              </w:rPr>
              <w:t>51250105520005012</w:t>
            </w:r>
          </w:p>
        </w:tc>
        <w:tc>
          <w:tcPr>
            <w:tcW w:w="1954" w:type="dxa"/>
            <w:vAlign w:val="center"/>
          </w:tcPr>
          <w:p>
            <w:pPr>
              <w:snapToGrid w:val="0"/>
              <w:spacing w:line="320" w:lineRule="exact"/>
              <w:jc w:val="center"/>
              <w:rPr>
                <w:rFonts w:hAnsi="宋体"/>
                <w:sz w:val="18"/>
                <w:szCs w:val="18"/>
              </w:rPr>
            </w:pPr>
            <w:r>
              <w:rPr>
                <w:rFonts w:hint="eastAsia" w:hAnsi="宋体"/>
                <w:sz w:val="18"/>
                <w:szCs w:val="18"/>
              </w:rPr>
              <w:t>转账后需到柜台确认</w:t>
            </w:r>
          </w:p>
        </w:tc>
      </w:tr>
    </w:tbl>
    <w:p>
      <w:pPr>
        <w:autoSpaceDE w:val="0"/>
        <w:autoSpaceDN w:val="0"/>
        <w:adjustRightInd w:val="0"/>
        <w:snapToGrid w:val="0"/>
        <w:spacing w:line="360" w:lineRule="atLeast"/>
        <w:ind w:firstLine="420" w:firstLineChars="200"/>
        <w:jc w:val="left"/>
        <w:rPr>
          <w:szCs w:val="21"/>
        </w:rPr>
      </w:pPr>
      <w:r>
        <w:rPr>
          <w:rFonts w:hint="eastAsia"/>
          <w:szCs w:val="21"/>
        </w:rPr>
        <w:t>二、</w:t>
      </w:r>
      <w:r>
        <w:rPr>
          <w:rFonts w:hint="eastAsia"/>
          <w:b/>
          <w:bCs/>
          <w:szCs w:val="21"/>
        </w:rPr>
        <w:t>注意事项</w:t>
      </w:r>
    </w:p>
    <w:p>
      <w:pPr>
        <w:autoSpaceDE w:val="0"/>
        <w:autoSpaceDN w:val="0"/>
        <w:adjustRightInd w:val="0"/>
        <w:snapToGrid w:val="0"/>
        <w:spacing w:line="360" w:lineRule="atLeast"/>
        <w:ind w:firstLine="420" w:firstLineChars="200"/>
        <w:jc w:val="left"/>
        <w:rPr>
          <w:szCs w:val="21"/>
        </w:rPr>
      </w:pPr>
      <w:r>
        <w:rPr>
          <w:rFonts w:hint="eastAsia"/>
          <w:szCs w:val="21"/>
        </w:rPr>
        <w:t>缴款单位（或个人）转账后未及时获得电子票据的务必在转账当月通过拨打主办行联系电话查询款项是否到账，确认款项到账后，缴款单位（或个人）可直接扫通知书二维码或登录广东公共支付平台（http://wsjf.gdgpo.gov.cn/GdOnlinePay）输入缴款识别码查询缴费后开具，如未按备注信息转账，收款银行于30天后将转账款作退回原账户处理。</w:t>
      </w:r>
    </w:p>
    <w:p>
      <w:pPr>
        <w:autoSpaceDE w:val="0"/>
        <w:autoSpaceDN w:val="0"/>
        <w:adjustRightInd w:val="0"/>
        <w:snapToGrid w:val="0"/>
        <w:spacing w:line="360" w:lineRule="atLeast"/>
        <w:ind w:firstLine="420" w:firstLineChars="200"/>
        <w:jc w:val="left"/>
        <w:rPr>
          <w:szCs w:val="21"/>
        </w:rPr>
      </w:pPr>
      <w:r>
        <w:rPr>
          <w:rFonts w:hint="eastAsia"/>
          <w:szCs w:val="21"/>
        </w:rPr>
        <w:t>三、</w:t>
      </w:r>
      <w:r>
        <w:rPr>
          <w:rFonts w:hint="eastAsia"/>
          <w:b/>
          <w:bCs/>
          <w:szCs w:val="21"/>
        </w:rPr>
        <w:t>咨询电话</w:t>
      </w:r>
    </w:p>
    <w:p>
      <w:pPr>
        <w:autoSpaceDE w:val="0"/>
        <w:autoSpaceDN w:val="0"/>
        <w:adjustRightInd w:val="0"/>
        <w:snapToGrid w:val="0"/>
        <w:spacing w:line="360" w:lineRule="atLeast"/>
        <w:ind w:firstLine="420" w:firstLineChars="200"/>
        <w:jc w:val="left"/>
        <w:rPr>
          <w:szCs w:val="21"/>
        </w:rPr>
      </w:pPr>
      <w:r>
        <w:rPr>
          <w:rFonts w:hint="eastAsia"/>
          <w:szCs w:val="21"/>
        </w:rPr>
        <w:t>农业银行江门分行 咨询电话：0750-3287620；</w:t>
      </w:r>
    </w:p>
    <w:p>
      <w:pPr>
        <w:autoSpaceDE w:val="0"/>
        <w:autoSpaceDN w:val="0"/>
        <w:adjustRightInd w:val="0"/>
        <w:snapToGrid w:val="0"/>
        <w:spacing w:line="360" w:lineRule="atLeast"/>
        <w:ind w:firstLine="420" w:firstLineChars="200"/>
        <w:jc w:val="left"/>
        <w:rPr>
          <w:szCs w:val="21"/>
        </w:rPr>
      </w:pPr>
      <w:r>
        <w:rPr>
          <w:rFonts w:hint="eastAsia"/>
          <w:szCs w:val="21"/>
        </w:rPr>
        <w:t>建设银行江门市分行 咨询电话：0750-3298354、0750-3500108；</w:t>
      </w:r>
    </w:p>
    <w:p>
      <w:pPr>
        <w:autoSpaceDE w:val="0"/>
        <w:autoSpaceDN w:val="0"/>
        <w:adjustRightInd w:val="0"/>
        <w:snapToGrid w:val="0"/>
        <w:spacing w:line="360" w:lineRule="atLeast"/>
        <w:ind w:firstLine="420" w:firstLineChars="200"/>
        <w:jc w:val="left"/>
        <w:rPr>
          <w:szCs w:val="21"/>
        </w:rPr>
      </w:pPr>
      <w:r>
        <w:rPr>
          <w:rFonts w:hint="eastAsia"/>
          <w:szCs w:val="21"/>
        </w:rPr>
        <w:t>中国银行江门分行  咨询电话：0750-3163356、0750-3163221；</w:t>
      </w:r>
    </w:p>
    <w:p>
      <w:pPr>
        <w:autoSpaceDE w:val="0"/>
        <w:autoSpaceDN w:val="0"/>
        <w:adjustRightInd w:val="0"/>
        <w:snapToGrid w:val="0"/>
        <w:spacing w:line="360" w:lineRule="atLeast"/>
        <w:ind w:firstLine="420" w:firstLineChars="200"/>
        <w:jc w:val="left"/>
        <w:rPr>
          <w:szCs w:val="21"/>
        </w:rPr>
      </w:pPr>
      <w:r>
        <w:rPr>
          <w:rFonts w:hint="eastAsia"/>
          <w:szCs w:val="21"/>
        </w:rPr>
        <w:t>邮政储蓄银行江门市分行营业部 咨询电话：0750-3981226；</w:t>
      </w:r>
    </w:p>
    <w:p>
      <w:pPr>
        <w:autoSpaceDE w:val="0"/>
        <w:autoSpaceDN w:val="0"/>
        <w:adjustRightInd w:val="0"/>
        <w:snapToGrid w:val="0"/>
        <w:spacing w:line="360" w:lineRule="atLeast"/>
        <w:ind w:firstLine="420" w:firstLineChars="200"/>
        <w:jc w:val="left"/>
        <w:rPr>
          <w:szCs w:val="21"/>
        </w:rPr>
      </w:pPr>
      <w:r>
        <w:rPr>
          <w:rFonts w:hint="eastAsia"/>
          <w:szCs w:val="21"/>
        </w:rPr>
        <w:t>广发银行江门分行  咨询电话：0750-3288635；</w:t>
      </w:r>
    </w:p>
    <w:p>
      <w:pPr>
        <w:autoSpaceDE w:val="0"/>
        <w:autoSpaceDN w:val="0"/>
        <w:adjustRightInd w:val="0"/>
        <w:snapToGrid w:val="0"/>
        <w:spacing w:line="360" w:lineRule="atLeast"/>
        <w:ind w:firstLine="420" w:firstLineChars="200"/>
        <w:jc w:val="left"/>
        <w:rPr>
          <w:szCs w:val="21"/>
        </w:rPr>
      </w:pPr>
      <w:r>
        <w:rPr>
          <w:rFonts w:hint="eastAsia"/>
          <w:szCs w:val="21"/>
        </w:rPr>
        <w:t>工商银行江门分行营业部 咨询电话：0750-3169928、0750-3393983；</w:t>
      </w:r>
    </w:p>
    <w:p>
      <w:pPr>
        <w:autoSpaceDE w:val="0"/>
        <w:autoSpaceDN w:val="0"/>
        <w:adjustRightInd w:val="0"/>
        <w:snapToGrid w:val="0"/>
        <w:spacing w:line="360" w:lineRule="atLeast"/>
        <w:ind w:firstLine="420" w:firstLineChars="200"/>
        <w:jc w:val="left"/>
        <w:rPr>
          <w:szCs w:val="21"/>
        </w:rPr>
      </w:pPr>
      <w:r>
        <w:rPr>
          <w:rFonts w:hint="eastAsia"/>
          <w:szCs w:val="21"/>
        </w:rPr>
        <w:t>江门农商银行 咨询电话：0750-6326676；</w:t>
      </w:r>
    </w:p>
    <w:p>
      <w:pPr>
        <w:autoSpaceDE w:val="0"/>
        <w:autoSpaceDN w:val="0"/>
        <w:adjustRightInd w:val="0"/>
        <w:snapToGrid w:val="0"/>
        <w:spacing w:line="360" w:lineRule="atLeast"/>
        <w:ind w:firstLine="420" w:firstLineChars="200"/>
        <w:jc w:val="left"/>
        <w:rPr>
          <w:szCs w:val="21"/>
        </w:rPr>
      </w:pPr>
      <w:r>
        <w:rPr>
          <w:rFonts w:hint="eastAsia"/>
          <w:szCs w:val="21"/>
        </w:rPr>
        <w:t>中信银行江门分行 咨询电话：0750-3939032；</w:t>
      </w:r>
    </w:p>
    <w:p>
      <w:pPr>
        <w:autoSpaceDE w:val="0"/>
        <w:autoSpaceDN w:val="0"/>
        <w:adjustRightInd w:val="0"/>
        <w:snapToGrid w:val="0"/>
        <w:spacing w:line="360" w:lineRule="atLeast"/>
        <w:ind w:firstLine="420" w:firstLineChars="200"/>
        <w:jc w:val="left"/>
        <w:rPr>
          <w:szCs w:val="21"/>
        </w:rPr>
      </w:pPr>
      <w:r>
        <w:rPr>
          <w:rFonts w:hint="eastAsia"/>
          <w:szCs w:val="21"/>
        </w:rPr>
        <w:t>兴业银行江门分行营业部 咨询电话：0750-3939519；</w:t>
      </w:r>
    </w:p>
    <w:p>
      <w:pPr>
        <w:autoSpaceDE w:val="0"/>
        <w:autoSpaceDN w:val="0"/>
        <w:adjustRightInd w:val="0"/>
        <w:snapToGrid w:val="0"/>
        <w:spacing w:line="360" w:lineRule="atLeast"/>
        <w:ind w:firstLine="420" w:firstLineChars="200"/>
        <w:jc w:val="left"/>
        <w:rPr>
          <w:rFonts w:ascii="仿宋_GB2312" w:eastAsia="仿宋_GB2312"/>
          <w:sz w:val="32"/>
          <w:szCs w:val="32"/>
        </w:rPr>
      </w:pPr>
      <w:r>
        <w:rPr>
          <w:rFonts w:hint="eastAsia"/>
          <w:szCs w:val="21"/>
        </w:rPr>
        <w:t>光大银行江门分行 咨询电话：0750-8252712。</w:t>
      </w:r>
      <w:bookmarkStart w:id="0" w:name="_GoBack"/>
      <w:bookmarkEnd w:id="0"/>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E6EA0"/>
    <w:rsid w:val="003F0D2F"/>
    <w:rsid w:val="005B091A"/>
    <w:rsid w:val="00957CDD"/>
    <w:rsid w:val="00E45EE4"/>
    <w:rsid w:val="3FBE8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189</Words>
  <Characters>1083</Characters>
  <Lines>9</Lines>
  <Paragraphs>2</Paragraphs>
  <TotalTime>1</TotalTime>
  <ScaleCrop>false</ScaleCrop>
  <LinksUpToDate>false</LinksUpToDate>
  <CharactersWithSpaces>1270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2015-11-06T14:46:00Z</dcterms:created>
  <dc:creator>小严</dc:creator>
  <cp:lastModifiedBy>uos</cp:lastModifiedBy>
  <dcterms:modified xsi:type="dcterms:W3CDTF">2024-11-20T10:56:12Z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529A68ED96436B1ECC4F3D6788D79E19</vt:lpwstr>
  </property>
</Properties>
</file>