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800" w:firstLineChars="500"/>
        <w:rPr>
          <w:rFonts w:hint="eastAsia" w:eastAsiaTheme="minorEastAsia"/>
          <w:sz w:val="36"/>
          <w:szCs w:val="36"/>
          <w:lang w:val="en-US" w:eastAsia="zh-CN"/>
        </w:rPr>
      </w:pPr>
      <w:r>
        <w:rPr>
          <w:rFonts w:hint="eastAsia"/>
          <w:sz w:val="36"/>
          <w:szCs w:val="36"/>
          <w:lang w:eastAsia="zh-CN"/>
        </w:rPr>
        <w:t>江门市非税收入缴款通知书</w:t>
      </w:r>
      <w:r>
        <w:rPr>
          <w:rFonts w:hint="eastAsia"/>
          <w:sz w:val="36"/>
          <w:szCs w:val="36"/>
          <w:lang w:val="en-US" w:eastAsia="zh-CN"/>
        </w:rPr>
        <w:t xml:space="preserve"> NO:</w:t>
      </w:r>
    </w:p>
    <w:p>
      <w:pPr>
        <w:rPr>
          <w:rFonts w:hint="default" w:ascii="宋体" w:hAnsi="宋体" w:eastAsia="宋体" w:cs="宋体"/>
          <w:sz w:val="21"/>
          <w:szCs w:val="21"/>
          <w:lang w:val="en-US" w:eastAsia="zh-CN"/>
        </w:rPr>
      </w:pPr>
      <w:r>
        <w:rPr>
          <w:rFonts w:hint="eastAsia" w:ascii="宋体" w:hAnsi="宋体" w:eastAsia="宋体" w:cs="宋体"/>
          <w:sz w:val="21"/>
          <w:szCs w:val="21"/>
          <w:lang w:eastAsia="zh-CN"/>
        </w:rPr>
        <w:t>日期：</w:t>
      </w:r>
      <w:r>
        <w:rPr>
          <w:rFonts w:hint="eastAsia" w:ascii="宋体" w:hAnsi="宋体" w:eastAsia="宋体" w:cs="宋体"/>
          <w:sz w:val="21"/>
          <w:szCs w:val="21"/>
          <w:lang w:val="en-US" w:eastAsia="zh-CN"/>
        </w:rPr>
        <w:t xml:space="preserve">     年  月  日                       金额单位：(元)</w:t>
      </w:r>
    </w:p>
    <w:tbl>
      <w:tblPr>
        <w:tblStyle w:val="3"/>
        <w:tblW w:w="0" w:type="auto"/>
        <w:tblInd w:w="-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6"/>
        <w:gridCol w:w="1932"/>
        <w:gridCol w:w="1050"/>
        <w:gridCol w:w="1162"/>
        <w:gridCol w:w="1219"/>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86" w:type="dxa"/>
            <w:vAlign w:val="center"/>
          </w:tcPr>
          <w:p>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执收单位名称</w:t>
            </w:r>
          </w:p>
        </w:tc>
        <w:tc>
          <w:tcPr>
            <w:tcW w:w="2982" w:type="dxa"/>
            <w:gridSpan w:val="2"/>
            <w:vAlign w:val="center"/>
          </w:tcPr>
          <w:p>
            <w:pPr>
              <w:jc w:val="center"/>
              <w:rPr>
                <w:rFonts w:hint="eastAsia" w:ascii="宋体" w:hAnsi="宋体" w:eastAsia="宋体" w:cs="宋体"/>
                <w:sz w:val="15"/>
                <w:szCs w:val="15"/>
                <w:vertAlign w:val="baseline"/>
                <w:lang w:val="en-US" w:eastAsia="zh-CN"/>
              </w:rPr>
            </w:pPr>
          </w:p>
        </w:tc>
        <w:tc>
          <w:tcPr>
            <w:tcW w:w="1162" w:type="dxa"/>
            <w:vAlign w:val="center"/>
          </w:tcPr>
          <w:p>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执收单位编码</w:t>
            </w:r>
          </w:p>
        </w:tc>
        <w:tc>
          <w:tcPr>
            <w:tcW w:w="2545" w:type="dxa"/>
            <w:gridSpan w:val="2"/>
            <w:vAlign w:val="center"/>
          </w:tcPr>
          <w:p>
            <w:pPr>
              <w:jc w:val="center"/>
              <w:rPr>
                <w:rFonts w:hint="eastAsia" w:ascii="宋体" w:hAnsi="宋体" w:eastAsia="宋体" w:cs="宋体"/>
                <w:sz w:val="15"/>
                <w:szCs w:val="15"/>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86" w:type="dxa"/>
            <w:vAlign w:val="center"/>
          </w:tcPr>
          <w:p>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缴款单位/个人</w:t>
            </w:r>
          </w:p>
        </w:tc>
        <w:tc>
          <w:tcPr>
            <w:tcW w:w="6689" w:type="dxa"/>
            <w:gridSpan w:val="5"/>
            <w:vAlign w:val="center"/>
          </w:tcPr>
          <w:p>
            <w:pPr>
              <w:jc w:val="center"/>
              <w:rPr>
                <w:rFonts w:hint="eastAsia" w:ascii="宋体" w:hAnsi="宋体" w:eastAsia="宋体" w:cs="宋体"/>
                <w:sz w:val="15"/>
                <w:szCs w:val="15"/>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86" w:type="dxa"/>
            <w:vAlign w:val="center"/>
          </w:tcPr>
          <w:p>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缴款项目编码</w:t>
            </w:r>
          </w:p>
        </w:tc>
        <w:tc>
          <w:tcPr>
            <w:tcW w:w="1932" w:type="dxa"/>
            <w:vAlign w:val="center"/>
          </w:tcPr>
          <w:p>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缴款项目名称</w:t>
            </w:r>
          </w:p>
        </w:tc>
        <w:tc>
          <w:tcPr>
            <w:tcW w:w="1050" w:type="dxa"/>
            <w:vAlign w:val="center"/>
          </w:tcPr>
          <w:p>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标准</w:t>
            </w:r>
          </w:p>
        </w:tc>
        <w:tc>
          <w:tcPr>
            <w:tcW w:w="1162" w:type="dxa"/>
            <w:vAlign w:val="center"/>
          </w:tcPr>
          <w:p>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数量</w:t>
            </w:r>
          </w:p>
        </w:tc>
        <w:tc>
          <w:tcPr>
            <w:tcW w:w="1219" w:type="dxa"/>
            <w:vAlign w:val="center"/>
          </w:tcPr>
          <w:p>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滞纳金率</w:t>
            </w:r>
          </w:p>
        </w:tc>
        <w:tc>
          <w:tcPr>
            <w:tcW w:w="1326" w:type="dxa"/>
            <w:vAlign w:val="center"/>
          </w:tcPr>
          <w:p>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86" w:type="dxa"/>
            <w:vAlign w:val="center"/>
          </w:tcPr>
          <w:p>
            <w:pPr>
              <w:jc w:val="center"/>
              <w:rPr>
                <w:rFonts w:hint="default"/>
                <w:sz w:val="24"/>
                <w:szCs w:val="24"/>
                <w:vertAlign w:val="baseline"/>
                <w:lang w:val="en-US" w:eastAsia="zh-CN"/>
              </w:rPr>
            </w:pPr>
          </w:p>
        </w:tc>
        <w:tc>
          <w:tcPr>
            <w:tcW w:w="1932" w:type="dxa"/>
            <w:vAlign w:val="center"/>
          </w:tcPr>
          <w:p>
            <w:pPr>
              <w:jc w:val="center"/>
              <w:rPr>
                <w:rFonts w:hint="eastAsia" w:ascii="宋体" w:hAnsi="宋体" w:eastAsia="宋体" w:cs="宋体"/>
                <w:sz w:val="15"/>
                <w:szCs w:val="15"/>
                <w:vertAlign w:val="baseline"/>
                <w:lang w:val="en-US" w:eastAsia="zh-CN"/>
              </w:rPr>
            </w:pPr>
          </w:p>
        </w:tc>
        <w:tc>
          <w:tcPr>
            <w:tcW w:w="1050" w:type="dxa"/>
            <w:vAlign w:val="center"/>
          </w:tcPr>
          <w:p>
            <w:pPr>
              <w:jc w:val="center"/>
              <w:rPr>
                <w:rFonts w:hint="eastAsia" w:ascii="宋体" w:hAnsi="宋体" w:eastAsia="宋体" w:cs="宋体"/>
                <w:sz w:val="15"/>
                <w:szCs w:val="15"/>
                <w:vertAlign w:val="baseline"/>
                <w:lang w:val="en-US" w:eastAsia="zh-CN"/>
              </w:rPr>
            </w:pPr>
          </w:p>
        </w:tc>
        <w:tc>
          <w:tcPr>
            <w:tcW w:w="1162" w:type="dxa"/>
            <w:vAlign w:val="center"/>
          </w:tcPr>
          <w:p>
            <w:pPr>
              <w:jc w:val="center"/>
              <w:rPr>
                <w:rFonts w:hint="eastAsia" w:ascii="宋体" w:hAnsi="宋体" w:eastAsia="宋体" w:cs="宋体"/>
                <w:sz w:val="15"/>
                <w:szCs w:val="15"/>
                <w:vertAlign w:val="baseline"/>
                <w:lang w:val="en-US" w:eastAsia="zh-CN"/>
              </w:rPr>
            </w:pPr>
          </w:p>
        </w:tc>
        <w:tc>
          <w:tcPr>
            <w:tcW w:w="1219" w:type="dxa"/>
            <w:vAlign w:val="center"/>
          </w:tcPr>
          <w:p>
            <w:pPr>
              <w:jc w:val="center"/>
              <w:rPr>
                <w:rFonts w:hint="eastAsia" w:ascii="宋体" w:hAnsi="宋体" w:eastAsia="宋体" w:cs="宋体"/>
                <w:sz w:val="15"/>
                <w:szCs w:val="15"/>
                <w:vertAlign w:val="baseline"/>
                <w:lang w:val="en-US" w:eastAsia="zh-CN"/>
              </w:rPr>
            </w:pPr>
          </w:p>
        </w:tc>
        <w:tc>
          <w:tcPr>
            <w:tcW w:w="1326" w:type="dxa"/>
            <w:vAlign w:val="center"/>
          </w:tcPr>
          <w:p>
            <w:pPr>
              <w:jc w:val="center"/>
              <w:rPr>
                <w:rFonts w:hint="eastAsia" w:ascii="宋体" w:hAnsi="宋体" w:eastAsia="宋体" w:cs="宋体"/>
                <w:sz w:val="15"/>
                <w:szCs w:val="15"/>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86" w:type="dxa"/>
            <w:vAlign w:val="center"/>
          </w:tcPr>
          <w:p>
            <w:pPr>
              <w:jc w:val="center"/>
              <w:rPr>
                <w:rFonts w:hint="default"/>
                <w:sz w:val="24"/>
                <w:szCs w:val="24"/>
                <w:vertAlign w:val="baseline"/>
                <w:lang w:val="en-US" w:eastAsia="zh-CN"/>
              </w:rPr>
            </w:pPr>
          </w:p>
        </w:tc>
        <w:tc>
          <w:tcPr>
            <w:tcW w:w="1932" w:type="dxa"/>
            <w:vAlign w:val="center"/>
          </w:tcPr>
          <w:p>
            <w:pPr>
              <w:jc w:val="center"/>
              <w:rPr>
                <w:rFonts w:hint="eastAsia" w:ascii="宋体" w:hAnsi="宋体" w:eastAsia="宋体" w:cs="宋体"/>
                <w:sz w:val="15"/>
                <w:szCs w:val="15"/>
                <w:vertAlign w:val="baseline"/>
                <w:lang w:val="en-US" w:eastAsia="zh-CN"/>
              </w:rPr>
            </w:pPr>
          </w:p>
        </w:tc>
        <w:tc>
          <w:tcPr>
            <w:tcW w:w="1050" w:type="dxa"/>
            <w:vAlign w:val="center"/>
          </w:tcPr>
          <w:p>
            <w:pPr>
              <w:jc w:val="center"/>
              <w:rPr>
                <w:rFonts w:hint="eastAsia" w:ascii="宋体" w:hAnsi="宋体" w:eastAsia="宋体" w:cs="宋体"/>
                <w:sz w:val="15"/>
                <w:szCs w:val="15"/>
                <w:vertAlign w:val="baseline"/>
                <w:lang w:val="en-US" w:eastAsia="zh-CN"/>
              </w:rPr>
            </w:pPr>
          </w:p>
        </w:tc>
        <w:tc>
          <w:tcPr>
            <w:tcW w:w="1162" w:type="dxa"/>
            <w:vAlign w:val="center"/>
          </w:tcPr>
          <w:p>
            <w:pPr>
              <w:jc w:val="center"/>
              <w:rPr>
                <w:rFonts w:hint="eastAsia" w:ascii="宋体" w:hAnsi="宋体" w:eastAsia="宋体" w:cs="宋体"/>
                <w:sz w:val="15"/>
                <w:szCs w:val="15"/>
                <w:vertAlign w:val="baseline"/>
                <w:lang w:val="en-US" w:eastAsia="zh-CN"/>
              </w:rPr>
            </w:pPr>
          </w:p>
        </w:tc>
        <w:tc>
          <w:tcPr>
            <w:tcW w:w="1219" w:type="dxa"/>
            <w:vAlign w:val="center"/>
          </w:tcPr>
          <w:p>
            <w:pPr>
              <w:jc w:val="center"/>
              <w:rPr>
                <w:rFonts w:hint="eastAsia" w:ascii="宋体" w:hAnsi="宋体" w:eastAsia="宋体" w:cs="宋体"/>
                <w:sz w:val="15"/>
                <w:szCs w:val="15"/>
                <w:vertAlign w:val="baseline"/>
                <w:lang w:val="en-US" w:eastAsia="zh-CN"/>
              </w:rPr>
            </w:pPr>
          </w:p>
        </w:tc>
        <w:tc>
          <w:tcPr>
            <w:tcW w:w="1326" w:type="dxa"/>
            <w:vAlign w:val="center"/>
          </w:tcPr>
          <w:p>
            <w:pPr>
              <w:jc w:val="center"/>
              <w:rPr>
                <w:rFonts w:hint="eastAsia" w:ascii="宋体" w:hAnsi="宋体" w:eastAsia="宋体" w:cs="宋体"/>
                <w:sz w:val="15"/>
                <w:szCs w:val="15"/>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86" w:type="dxa"/>
            <w:vAlign w:val="center"/>
          </w:tcPr>
          <w:p>
            <w:pPr>
              <w:jc w:val="center"/>
              <w:rPr>
                <w:rFonts w:hint="default"/>
                <w:sz w:val="24"/>
                <w:szCs w:val="24"/>
                <w:vertAlign w:val="baseline"/>
                <w:lang w:val="en-US" w:eastAsia="zh-CN"/>
              </w:rPr>
            </w:pPr>
          </w:p>
        </w:tc>
        <w:tc>
          <w:tcPr>
            <w:tcW w:w="1932" w:type="dxa"/>
            <w:vAlign w:val="center"/>
          </w:tcPr>
          <w:p>
            <w:pPr>
              <w:jc w:val="center"/>
              <w:rPr>
                <w:rFonts w:hint="eastAsia" w:ascii="宋体" w:hAnsi="宋体" w:eastAsia="宋体" w:cs="宋体"/>
                <w:sz w:val="15"/>
                <w:szCs w:val="15"/>
                <w:vertAlign w:val="baseline"/>
                <w:lang w:val="en-US" w:eastAsia="zh-CN"/>
              </w:rPr>
            </w:pPr>
          </w:p>
        </w:tc>
        <w:tc>
          <w:tcPr>
            <w:tcW w:w="1050" w:type="dxa"/>
            <w:vAlign w:val="center"/>
          </w:tcPr>
          <w:p>
            <w:pPr>
              <w:jc w:val="center"/>
              <w:rPr>
                <w:rFonts w:hint="eastAsia" w:ascii="宋体" w:hAnsi="宋体" w:eastAsia="宋体" w:cs="宋体"/>
                <w:sz w:val="15"/>
                <w:szCs w:val="15"/>
                <w:vertAlign w:val="baseline"/>
                <w:lang w:val="en-US" w:eastAsia="zh-CN"/>
              </w:rPr>
            </w:pPr>
          </w:p>
        </w:tc>
        <w:tc>
          <w:tcPr>
            <w:tcW w:w="1162" w:type="dxa"/>
            <w:vAlign w:val="center"/>
          </w:tcPr>
          <w:p>
            <w:pPr>
              <w:jc w:val="center"/>
              <w:rPr>
                <w:rFonts w:hint="eastAsia" w:ascii="宋体" w:hAnsi="宋体" w:eastAsia="宋体" w:cs="宋体"/>
                <w:sz w:val="15"/>
                <w:szCs w:val="15"/>
                <w:vertAlign w:val="baseline"/>
                <w:lang w:val="en-US" w:eastAsia="zh-CN"/>
              </w:rPr>
            </w:pPr>
          </w:p>
        </w:tc>
        <w:tc>
          <w:tcPr>
            <w:tcW w:w="1219" w:type="dxa"/>
            <w:vAlign w:val="center"/>
          </w:tcPr>
          <w:p>
            <w:pPr>
              <w:jc w:val="center"/>
              <w:rPr>
                <w:rFonts w:hint="eastAsia" w:ascii="宋体" w:hAnsi="宋体" w:eastAsia="宋体" w:cs="宋体"/>
                <w:sz w:val="15"/>
                <w:szCs w:val="15"/>
                <w:vertAlign w:val="baseline"/>
                <w:lang w:val="en-US" w:eastAsia="zh-CN"/>
              </w:rPr>
            </w:pPr>
          </w:p>
        </w:tc>
        <w:tc>
          <w:tcPr>
            <w:tcW w:w="1326" w:type="dxa"/>
            <w:vAlign w:val="center"/>
          </w:tcPr>
          <w:p>
            <w:pPr>
              <w:jc w:val="center"/>
              <w:rPr>
                <w:rFonts w:hint="eastAsia" w:ascii="宋体" w:hAnsi="宋体" w:eastAsia="宋体" w:cs="宋体"/>
                <w:sz w:val="15"/>
                <w:szCs w:val="15"/>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86"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default"/>
                <w:sz w:val="24"/>
                <w:szCs w:val="24"/>
                <w:vertAlign w:val="baseline"/>
                <w:lang w:val="en-US" w:eastAsia="zh-CN"/>
              </w:rPr>
            </w:pPr>
            <w:r>
              <w:rPr>
                <w:rFonts w:hint="eastAsia" w:ascii="宋体" w:hAnsi="宋体" w:eastAsia="宋体" w:cs="宋体"/>
                <w:sz w:val="15"/>
                <w:szCs w:val="15"/>
                <w:vertAlign w:val="baseline"/>
                <w:lang w:val="en-US" w:eastAsia="zh-CN"/>
              </w:rPr>
              <w:t>合计</w:t>
            </w:r>
          </w:p>
        </w:tc>
        <w:tc>
          <w:tcPr>
            <w:tcW w:w="6689" w:type="dxa"/>
            <w:gridSpan w:val="5"/>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 xml:space="preserve">万    仟     佰     拾     元整       </w:t>
            </w:r>
            <w:bookmarkStart w:id="0" w:name="_GoBack"/>
            <w:bookmarkEnd w:id="0"/>
            <w:r>
              <w:rPr>
                <w:rFonts w:hint="eastAsia" w:ascii="宋体" w:hAnsi="宋体" w:eastAsia="宋体" w:cs="宋体"/>
                <w:sz w:val="15"/>
                <w:szCs w:val="15"/>
                <w:vertAlign w:val="baseline"/>
                <w:lang w:val="en-US" w:eastAsia="zh-CN"/>
              </w:rPr>
              <w:t>¥</w:t>
            </w:r>
          </w:p>
        </w:tc>
      </w:tr>
    </w:tbl>
    <w:tbl>
      <w:tblPr>
        <w:tblStyle w:val="3"/>
        <w:tblpPr w:leftFromText="180" w:rightFromText="180" w:vertAnchor="text" w:horzAnchor="page" w:tblpX="1765" w:tblpY="87"/>
        <w:tblOverlap w:val="never"/>
        <w:tblW w:w="85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
        <w:gridCol w:w="2067"/>
        <w:gridCol w:w="2720"/>
        <w:gridCol w:w="2307"/>
        <w:gridCol w:w="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3"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序号</w:t>
            </w:r>
          </w:p>
        </w:tc>
        <w:tc>
          <w:tcPr>
            <w:tcW w:w="2067"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银行</w:t>
            </w:r>
          </w:p>
        </w:tc>
        <w:tc>
          <w:tcPr>
            <w:tcW w:w="2720"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账户名称</w:t>
            </w:r>
          </w:p>
        </w:tc>
        <w:tc>
          <w:tcPr>
            <w:tcW w:w="2307"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账号</w:t>
            </w:r>
          </w:p>
        </w:tc>
        <w:tc>
          <w:tcPr>
            <w:tcW w:w="890"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default"/>
                <w:sz w:val="24"/>
                <w:szCs w:val="24"/>
                <w:vertAlign w:val="baseline"/>
                <w:lang w:val="en-US" w:eastAsia="zh-CN"/>
              </w:rPr>
            </w:pPr>
            <w:r>
              <w:rPr>
                <w:rFonts w:hint="eastAsia" w:ascii="宋体" w:hAnsi="宋体" w:eastAsia="宋体" w:cs="宋体"/>
                <w:sz w:val="15"/>
                <w:szCs w:val="15"/>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3" w:type="dxa"/>
            <w:vAlign w:val="center"/>
          </w:tcPr>
          <w:p>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1</w:t>
            </w:r>
          </w:p>
        </w:tc>
        <w:tc>
          <w:tcPr>
            <w:tcW w:w="2067" w:type="dxa"/>
            <w:vAlign w:val="center"/>
          </w:tcPr>
          <w:p>
            <w:pPr>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建设银行江门分行</w:t>
            </w:r>
          </w:p>
        </w:tc>
        <w:tc>
          <w:tcPr>
            <w:tcW w:w="2720" w:type="dxa"/>
            <w:vAlign w:val="center"/>
          </w:tcPr>
          <w:p>
            <w:pPr>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待报解预算收入暂挂户</w:t>
            </w:r>
          </w:p>
        </w:tc>
        <w:tc>
          <w:tcPr>
            <w:tcW w:w="2307" w:type="dxa"/>
            <w:vAlign w:val="center"/>
          </w:tcPr>
          <w:p>
            <w:pPr>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440670239156241035009908003</w:t>
            </w:r>
          </w:p>
        </w:tc>
        <w:tc>
          <w:tcPr>
            <w:tcW w:w="890" w:type="dxa"/>
            <w:vMerge w:val="restart"/>
            <w:vAlign w:val="center"/>
          </w:tcPr>
          <w:p>
            <w:pPr>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3" w:type="dxa"/>
            <w:vAlign w:val="center"/>
          </w:tcPr>
          <w:p>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2</w:t>
            </w:r>
          </w:p>
        </w:tc>
        <w:tc>
          <w:tcPr>
            <w:tcW w:w="2067" w:type="dxa"/>
            <w:vAlign w:val="center"/>
          </w:tcPr>
          <w:p>
            <w:pPr>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中国银行江门分行</w:t>
            </w:r>
          </w:p>
        </w:tc>
        <w:tc>
          <w:tcPr>
            <w:tcW w:w="2720" w:type="dxa"/>
            <w:vAlign w:val="center"/>
          </w:tcPr>
          <w:p>
            <w:pPr>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待结算地方财政非税收入</w:t>
            </w:r>
          </w:p>
        </w:tc>
        <w:tc>
          <w:tcPr>
            <w:tcW w:w="2307" w:type="dxa"/>
            <w:vAlign w:val="center"/>
          </w:tcPr>
          <w:p>
            <w:pPr>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9336770018535022</w:t>
            </w:r>
          </w:p>
        </w:tc>
        <w:tc>
          <w:tcPr>
            <w:tcW w:w="890" w:type="dxa"/>
            <w:vMerge w:val="continue"/>
            <w:vAlign w:val="center"/>
          </w:tcPr>
          <w:p>
            <w:pPr>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3" w:type="dxa"/>
            <w:vAlign w:val="center"/>
          </w:tcPr>
          <w:p>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3</w:t>
            </w:r>
          </w:p>
        </w:tc>
        <w:tc>
          <w:tcPr>
            <w:tcW w:w="2067" w:type="dxa"/>
            <w:vAlign w:val="center"/>
          </w:tcPr>
          <w:p>
            <w:pPr>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广发银行江门分行</w:t>
            </w:r>
          </w:p>
        </w:tc>
        <w:tc>
          <w:tcPr>
            <w:tcW w:w="2720" w:type="dxa"/>
            <w:vAlign w:val="center"/>
          </w:tcPr>
          <w:p>
            <w:pPr>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待报解预算收入-非税</w:t>
            </w:r>
          </w:p>
        </w:tc>
        <w:tc>
          <w:tcPr>
            <w:tcW w:w="2307" w:type="dxa"/>
            <w:vAlign w:val="center"/>
          </w:tcPr>
          <w:p>
            <w:pPr>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10300115622159021990001</w:t>
            </w:r>
          </w:p>
        </w:tc>
        <w:tc>
          <w:tcPr>
            <w:tcW w:w="890" w:type="dxa"/>
            <w:vMerge w:val="continue"/>
            <w:vAlign w:val="center"/>
          </w:tcPr>
          <w:p>
            <w:pPr>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3" w:type="dxa"/>
            <w:vAlign w:val="center"/>
          </w:tcPr>
          <w:p>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4</w:t>
            </w:r>
          </w:p>
        </w:tc>
        <w:tc>
          <w:tcPr>
            <w:tcW w:w="2067" w:type="dxa"/>
            <w:vAlign w:val="center"/>
          </w:tcPr>
          <w:p>
            <w:pPr>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中国邮政储蓄银行江门分行</w:t>
            </w:r>
          </w:p>
        </w:tc>
        <w:tc>
          <w:tcPr>
            <w:tcW w:w="2720" w:type="dxa"/>
            <w:vAlign w:val="center"/>
          </w:tcPr>
          <w:p>
            <w:pPr>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代理收缴非税收入款项</w:t>
            </w:r>
          </w:p>
        </w:tc>
        <w:tc>
          <w:tcPr>
            <w:tcW w:w="2307" w:type="dxa"/>
            <w:vAlign w:val="center"/>
          </w:tcPr>
          <w:p>
            <w:pPr>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4415602000860491</w:t>
            </w:r>
          </w:p>
        </w:tc>
        <w:tc>
          <w:tcPr>
            <w:tcW w:w="890" w:type="dxa"/>
            <w:vMerge w:val="continue"/>
            <w:vAlign w:val="center"/>
          </w:tcPr>
          <w:p>
            <w:pPr>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3" w:type="dxa"/>
            <w:vAlign w:val="center"/>
          </w:tcPr>
          <w:p>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5</w:t>
            </w:r>
          </w:p>
        </w:tc>
        <w:tc>
          <w:tcPr>
            <w:tcW w:w="2067" w:type="dxa"/>
            <w:vAlign w:val="center"/>
          </w:tcPr>
          <w:p>
            <w:pPr>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农业银行江门分行</w:t>
            </w:r>
          </w:p>
        </w:tc>
        <w:tc>
          <w:tcPr>
            <w:tcW w:w="2720" w:type="dxa"/>
            <w:vAlign w:val="center"/>
          </w:tcPr>
          <w:p>
            <w:pPr>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待结算江门市非税代收缴专户</w:t>
            </w:r>
          </w:p>
        </w:tc>
        <w:tc>
          <w:tcPr>
            <w:tcW w:w="2307" w:type="dxa"/>
            <w:vAlign w:val="center"/>
          </w:tcPr>
          <w:p>
            <w:pPr>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370301012000158</w:t>
            </w:r>
          </w:p>
        </w:tc>
        <w:tc>
          <w:tcPr>
            <w:tcW w:w="890" w:type="dxa"/>
            <w:vMerge w:val="continue"/>
            <w:vAlign w:val="center"/>
          </w:tcPr>
          <w:p>
            <w:pPr>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3" w:type="dxa"/>
            <w:vAlign w:val="center"/>
          </w:tcPr>
          <w:p>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6</w:t>
            </w:r>
          </w:p>
        </w:tc>
        <w:tc>
          <w:tcPr>
            <w:tcW w:w="2067" w:type="dxa"/>
            <w:vAlign w:val="center"/>
          </w:tcPr>
          <w:p>
            <w:pPr>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工商银行江门分行</w:t>
            </w:r>
          </w:p>
        </w:tc>
        <w:tc>
          <w:tcPr>
            <w:tcW w:w="2720" w:type="dxa"/>
            <w:vAlign w:val="center"/>
          </w:tcPr>
          <w:p>
            <w:pPr>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待报解预算收入-江门市市级非税收入</w:t>
            </w:r>
          </w:p>
        </w:tc>
        <w:tc>
          <w:tcPr>
            <w:tcW w:w="2307" w:type="dxa"/>
            <w:vAlign w:val="center"/>
          </w:tcPr>
          <w:p>
            <w:pPr>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2012002711200317833</w:t>
            </w:r>
          </w:p>
        </w:tc>
        <w:tc>
          <w:tcPr>
            <w:tcW w:w="890" w:type="dxa"/>
            <w:vMerge w:val="continue"/>
            <w:vAlign w:val="center"/>
          </w:tcPr>
          <w:p>
            <w:pPr>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3"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7</w:t>
            </w:r>
          </w:p>
        </w:tc>
        <w:tc>
          <w:tcPr>
            <w:tcW w:w="2067"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both"/>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江门农村商业银行</w:t>
            </w:r>
          </w:p>
        </w:tc>
        <w:tc>
          <w:tcPr>
            <w:tcW w:w="2720"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both"/>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待划款项</w:t>
            </w:r>
          </w:p>
        </w:tc>
        <w:tc>
          <w:tcPr>
            <w:tcW w:w="2307"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both"/>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9083510012030001</w:t>
            </w:r>
          </w:p>
        </w:tc>
        <w:tc>
          <w:tcPr>
            <w:tcW w:w="890" w:type="dxa"/>
            <w:vMerge w:val="continue"/>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default"/>
                <w:sz w:val="24"/>
                <w:szCs w:val="24"/>
                <w:vertAlign w:val="baseline"/>
                <w:lang w:val="en-US" w:eastAsia="zh-CN"/>
              </w:rPr>
            </w:pPr>
          </w:p>
        </w:tc>
      </w:tr>
    </w:tbl>
    <w:tbl>
      <w:tblPr>
        <w:tblStyle w:val="3"/>
        <w:tblpPr w:leftFromText="180" w:rightFromText="180" w:vertAnchor="text" w:horzAnchor="page" w:tblpX="1756" w:tblpY="370"/>
        <w:tblOverlap w:val="never"/>
        <w:tblW w:w="86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6"/>
        <w:gridCol w:w="819"/>
        <w:gridCol w:w="1221"/>
        <w:gridCol w:w="900"/>
        <w:gridCol w:w="1061"/>
        <w:gridCol w:w="1060"/>
        <w:gridCol w:w="1062"/>
        <w:gridCol w:w="1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426"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滞纳金起计日期</w:t>
            </w:r>
          </w:p>
        </w:tc>
        <w:tc>
          <w:tcPr>
            <w:tcW w:w="819"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宋体" w:hAnsi="宋体" w:eastAsia="宋体" w:cs="宋体"/>
                <w:sz w:val="15"/>
                <w:szCs w:val="15"/>
                <w:vertAlign w:val="baseline"/>
                <w:lang w:val="en-US" w:eastAsia="zh-CN"/>
              </w:rPr>
            </w:pPr>
          </w:p>
        </w:tc>
        <w:tc>
          <w:tcPr>
            <w:tcW w:w="1221"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缴款截止日期</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宋体" w:hAnsi="宋体" w:eastAsia="宋体" w:cs="宋体"/>
                <w:sz w:val="15"/>
                <w:szCs w:val="15"/>
                <w:vertAlign w:val="baseline"/>
                <w:lang w:val="en-US" w:eastAsia="zh-CN"/>
              </w:rPr>
            </w:pPr>
          </w:p>
        </w:tc>
        <w:tc>
          <w:tcPr>
            <w:tcW w:w="1061"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号码校验码</w:t>
            </w:r>
          </w:p>
        </w:tc>
        <w:tc>
          <w:tcPr>
            <w:tcW w:w="1060"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宋体" w:hAnsi="宋体" w:eastAsia="宋体" w:cs="宋体"/>
                <w:sz w:val="15"/>
                <w:szCs w:val="15"/>
                <w:vertAlign w:val="baseline"/>
                <w:lang w:val="en-US" w:eastAsia="zh-CN"/>
              </w:rPr>
            </w:pPr>
          </w:p>
        </w:tc>
        <w:tc>
          <w:tcPr>
            <w:tcW w:w="1062"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全书校验码</w:t>
            </w:r>
          </w:p>
        </w:tc>
        <w:tc>
          <w:tcPr>
            <w:tcW w:w="1055" w:type="dxa"/>
            <w:vAlign w:val="top"/>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sz w:val="15"/>
                <w:szCs w:val="15"/>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default"/>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default"/>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执收单位（盖章）                经办人：               复核人：</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注：</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lang w:val="en-US" w:eastAsia="zh-CN"/>
        </w:rPr>
        <w:t>缴费单位（个人）可往农业银行江门分行市区的营业网点；建设银行江门分行市区对公营业网点办理缴款手续；</w:t>
      </w:r>
      <w:r>
        <w:rPr>
          <w:rFonts w:hint="eastAsia" w:ascii="宋体" w:hAnsi="宋体" w:eastAsia="宋体" w:cs="宋体"/>
          <w:color w:val="auto"/>
          <w:sz w:val="21"/>
          <w:szCs w:val="21"/>
          <w:highlight w:val="none"/>
          <w:lang w:val="en-US" w:eastAsia="zh-CN"/>
        </w:rPr>
        <w:t>中行江门市蓬江区港口路22号。</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代收银行咨询电话：农行：3287620，建行：3500108，中行：3163222，邮政行：3500283，发展行3288621，工行：3169861。如遇银行拒收，缴款人可直接拨打上述电话投诉或请银行柜台人员拨打上述电话进行咨询。</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需转账缴款时，本缴款通知书必须随转账凭证一并交换至收款银行。</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采用转账方式缴款的，转账时需备注执收单位编码和通知书编码；转账后请及时到收款银行开具财政票据，未开具的视为未缴款。</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非税网上缴费，目前只支持建行、农行、中行网银。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73AE0A"/>
    <w:multiLevelType w:val="singleLevel"/>
    <w:tmpl w:val="B773AE0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C2163E"/>
    <w:rsid w:val="11BD61AE"/>
    <w:rsid w:val="1CD833D1"/>
    <w:rsid w:val="1EC27692"/>
    <w:rsid w:val="362B6D8E"/>
    <w:rsid w:val="5BE2171C"/>
    <w:rsid w:val="5DC2163E"/>
    <w:rsid w:val="61604A59"/>
    <w:rsid w:val="73417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2021-04-01T03:51:00Z</dcterms:created>
  <dc:creator>Mascot</dc:creator>
  <cp:lastModifiedBy>Mascot</cp:lastModifiedBy>
  <cp:lastPrinted>2021-04-01T08:32:00Z</cp:lastPrinted>
  <dcterms:modified xsi:type="dcterms:W3CDTF">2021-04-01T08:53:25Z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D7E6F9412379413C89588C0F31D557EF</vt:lpwstr>
  </property>
</Properties>
</file>