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63728C">
      <w:pPr>
        <w:spacing w:line="720" w:lineRule="auto"/>
        <w:jc w:val="center"/>
        <w:rPr>
          <w:rFonts w:ascii="宋体" w:hAnsi="宋体" w:cs="宋体"/>
          <w:b/>
          <w:sz w:val="40"/>
          <w:szCs w:val="24"/>
        </w:rPr>
      </w:pPr>
      <w:bookmarkStart w:id="0" w:name="_Toc4216"/>
      <w:r>
        <w:rPr>
          <w:rFonts w:hint="eastAsia" w:ascii="宋体" w:hAnsi="宋体" w:cs="宋体"/>
          <w:b/>
          <w:sz w:val="40"/>
          <w:szCs w:val="24"/>
        </w:rPr>
        <w:t>项目</w:t>
      </w:r>
      <w:bookmarkEnd w:id="0"/>
      <w:r>
        <w:rPr>
          <w:rFonts w:hint="eastAsia" w:ascii="宋体" w:hAnsi="宋体" w:cs="宋体"/>
          <w:b/>
          <w:sz w:val="40"/>
          <w:szCs w:val="24"/>
        </w:rPr>
        <w:t>需求书</w:t>
      </w:r>
    </w:p>
    <w:p w14:paraId="742E3315">
      <w:pPr>
        <w:spacing w:line="360" w:lineRule="auto"/>
        <w:ind w:firstLine="480" w:firstLineChars="200"/>
        <w:rPr>
          <w:rFonts w:ascii="宋体" w:hAnsi="宋体"/>
          <w:sz w:val="24"/>
        </w:rPr>
      </w:pPr>
      <w:r>
        <w:rPr>
          <w:rFonts w:hint="eastAsia" w:ascii="宋体" w:hAnsi="宋体"/>
          <w:sz w:val="24"/>
        </w:rPr>
        <w:t>本项目需要根据《国家医疗保障局关于印发加强网络安全和数据保护工作指导意见的通知》、《</w:t>
      </w:r>
      <w:r>
        <w:rPr>
          <w:rFonts w:ascii="宋体" w:hAnsi="宋体"/>
          <w:sz w:val="24"/>
        </w:rPr>
        <w:t xml:space="preserve">GBT22239-2019信息安全技术网络安全等级保护基本要求 </w:t>
      </w:r>
      <w:r>
        <w:rPr>
          <w:rFonts w:hint="eastAsia" w:ascii="宋体" w:hAnsi="宋体"/>
          <w:sz w:val="24"/>
        </w:rPr>
        <w:t>》的网络安全指导意见，建立并完善市医疗保障信息平台核心业务区骨干网网络安全能力，具体需求如下：</w:t>
      </w:r>
    </w:p>
    <w:p w14:paraId="2B6A9EBF">
      <w:pPr>
        <w:spacing w:line="360" w:lineRule="auto"/>
        <w:ind w:firstLine="482" w:firstLineChars="200"/>
        <w:rPr>
          <w:rFonts w:ascii="宋体" w:hAnsi="宋体"/>
          <w:b/>
          <w:sz w:val="24"/>
        </w:rPr>
      </w:pPr>
      <w:r>
        <w:rPr>
          <w:rFonts w:hint="eastAsia" w:ascii="宋体" w:hAnsi="宋体"/>
          <w:b/>
          <w:sz w:val="24"/>
        </w:rPr>
        <w:t>一、市级汇聚边界实时防护服务工具</w:t>
      </w:r>
    </w:p>
    <w:p w14:paraId="3458D171">
      <w:pPr>
        <w:spacing w:line="360" w:lineRule="auto"/>
        <w:ind w:firstLine="482" w:firstLineChars="200"/>
        <w:rPr>
          <w:rFonts w:ascii="宋体" w:hAnsi="宋体"/>
          <w:b/>
          <w:sz w:val="24"/>
        </w:rPr>
      </w:pPr>
      <w:r>
        <w:rPr>
          <w:rFonts w:hint="eastAsia" w:ascii="宋体" w:hAnsi="宋体"/>
          <w:b/>
          <w:sz w:val="24"/>
        </w:rPr>
        <w:t>（一）边界安全防护服务工具</w:t>
      </w:r>
    </w:p>
    <w:p w14:paraId="4E679D8A">
      <w:pPr>
        <w:spacing w:line="360" w:lineRule="auto"/>
        <w:ind w:firstLine="480" w:firstLineChars="200"/>
        <w:rPr>
          <w:rFonts w:ascii="宋体" w:hAnsi="宋体"/>
          <w:sz w:val="24"/>
        </w:rPr>
      </w:pPr>
      <w:r>
        <w:rPr>
          <w:rFonts w:ascii="宋体" w:hAnsi="宋体"/>
          <w:sz w:val="24"/>
        </w:rPr>
        <w:t>1</w:t>
      </w:r>
      <w:r>
        <w:rPr>
          <w:rFonts w:hint="eastAsia" w:ascii="宋体" w:hAnsi="宋体"/>
          <w:sz w:val="24"/>
        </w:rPr>
        <w:t>）授权年限：入侵防御特征库、威胁情报库、防病毒特征库、</w:t>
      </w:r>
      <w:r>
        <w:rPr>
          <w:rFonts w:ascii="宋体" w:hAnsi="宋体"/>
          <w:sz w:val="24"/>
        </w:rPr>
        <w:t>URL</w:t>
      </w:r>
      <w:r>
        <w:rPr>
          <w:rFonts w:hint="eastAsia" w:ascii="宋体" w:hAnsi="宋体"/>
          <w:sz w:val="24"/>
        </w:rPr>
        <w:t>特征库、应用特征识别特征库共</w:t>
      </w:r>
      <w:r>
        <w:rPr>
          <w:rFonts w:ascii="宋体" w:hAnsi="宋体"/>
          <w:sz w:val="24"/>
        </w:rPr>
        <w:t>5</w:t>
      </w:r>
      <w:r>
        <w:rPr>
          <w:rFonts w:hint="eastAsia" w:ascii="宋体" w:hAnsi="宋体"/>
          <w:sz w:val="24"/>
        </w:rPr>
        <w:t>个库：授权年限≥</w:t>
      </w:r>
      <w:r>
        <w:rPr>
          <w:rFonts w:ascii="宋体" w:hAnsi="宋体"/>
          <w:sz w:val="24"/>
        </w:rPr>
        <w:t>1</w:t>
      </w:r>
      <w:r>
        <w:rPr>
          <w:rFonts w:hint="eastAsia" w:ascii="宋体" w:hAnsi="宋体"/>
          <w:sz w:val="24"/>
        </w:rPr>
        <w:t>年。</w:t>
      </w:r>
    </w:p>
    <w:p w14:paraId="78138787">
      <w:pPr>
        <w:spacing w:line="360" w:lineRule="auto"/>
        <w:ind w:firstLine="480" w:firstLineChars="200"/>
        <w:rPr>
          <w:rFonts w:ascii="宋体" w:hAnsi="宋体"/>
          <w:sz w:val="24"/>
        </w:rPr>
      </w:pPr>
      <w:r>
        <w:rPr>
          <w:rFonts w:ascii="宋体" w:hAnsi="宋体"/>
          <w:sz w:val="24"/>
        </w:rPr>
        <w:t>2</w:t>
      </w:r>
      <w:r>
        <w:rPr>
          <w:rFonts w:hint="eastAsia" w:ascii="宋体" w:hAnsi="宋体"/>
          <w:sz w:val="24"/>
        </w:rPr>
        <w:t>）特征库数量：专线网关设备：≥</w:t>
      </w:r>
      <w:r>
        <w:rPr>
          <w:rFonts w:ascii="宋体" w:hAnsi="宋体"/>
          <w:sz w:val="24"/>
        </w:rPr>
        <w:t>3000</w:t>
      </w:r>
      <w:r>
        <w:rPr>
          <w:rFonts w:hint="eastAsia" w:ascii="宋体" w:hAnsi="宋体"/>
          <w:sz w:val="24"/>
        </w:rPr>
        <w:t>种入侵防御特征，≥</w:t>
      </w:r>
      <w:r>
        <w:rPr>
          <w:rFonts w:ascii="宋体" w:hAnsi="宋体"/>
          <w:sz w:val="24"/>
        </w:rPr>
        <w:t>600</w:t>
      </w:r>
      <w:r>
        <w:rPr>
          <w:rFonts w:hint="eastAsia" w:ascii="宋体" w:hAnsi="宋体"/>
          <w:sz w:val="24"/>
        </w:rPr>
        <w:t>万种</w:t>
      </w:r>
      <w:r>
        <w:rPr>
          <w:rFonts w:ascii="宋体" w:hAnsi="宋体"/>
          <w:sz w:val="24"/>
        </w:rPr>
        <w:t>AV</w:t>
      </w:r>
      <w:r>
        <w:rPr>
          <w:rFonts w:hint="eastAsia" w:ascii="宋体" w:hAnsi="宋体"/>
          <w:sz w:val="24"/>
        </w:rPr>
        <w:t>病毒特征，≥</w:t>
      </w:r>
      <w:r>
        <w:rPr>
          <w:rFonts w:ascii="宋体" w:hAnsi="宋体"/>
          <w:sz w:val="24"/>
        </w:rPr>
        <w:t>2000</w:t>
      </w:r>
      <w:r>
        <w:rPr>
          <w:rFonts w:hint="eastAsia" w:ascii="宋体" w:hAnsi="宋体"/>
          <w:sz w:val="24"/>
        </w:rPr>
        <w:t>万条</w:t>
      </w:r>
      <w:r>
        <w:rPr>
          <w:rFonts w:ascii="宋体" w:hAnsi="宋体"/>
          <w:sz w:val="24"/>
        </w:rPr>
        <w:t>URL</w:t>
      </w:r>
      <w:r>
        <w:rPr>
          <w:rFonts w:hint="eastAsia" w:ascii="宋体" w:hAnsi="宋体"/>
          <w:sz w:val="24"/>
        </w:rPr>
        <w:t>规则，≥</w:t>
      </w:r>
      <w:r>
        <w:rPr>
          <w:rFonts w:ascii="宋体" w:hAnsi="宋体"/>
          <w:sz w:val="24"/>
        </w:rPr>
        <w:t>5000</w:t>
      </w:r>
      <w:r>
        <w:rPr>
          <w:rFonts w:hint="eastAsia" w:ascii="宋体" w:hAnsi="宋体"/>
          <w:sz w:val="24"/>
        </w:rPr>
        <w:t>种应用识别特征库，云端病毒特征库≥</w:t>
      </w:r>
      <w:r>
        <w:rPr>
          <w:rFonts w:ascii="宋体" w:hAnsi="宋体"/>
          <w:sz w:val="24"/>
        </w:rPr>
        <w:t>1</w:t>
      </w:r>
      <w:r>
        <w:rPr>
          <w:rFonts w:hint="eastAsia" w:ascii="宋体" w:hAnsi="宋体"/>
          <w:sz w:val="24"/>
        </w:rPr>
        <w:t>亿条，云端</w:t>
      </w:r>
      <w:r>
        <w:rPr>
          <w:rFonts w:ascii="宋体" w:hAnsi="宋体"/>
          <w:sz w:val="24"/>
        </w:rPr>
        <w:t>URL</w:t>
      </w:r>
      <w:r>
        <w:rPr>
          <w:rFonts w:hint="eastAsia" w:ascii="宋体" w:hAnsi="宋体"/>
          <w:sz w:val="24"/>
        </w:rPr>
        <w:t>规则≥</w:t>
      </w:r>
      <w:r>
        <w:rPr>
          <w:rFonts w:ascii="宋体" w:hAnsi="宋体"/>
          <w:sz w:val="24"/>
        </w:rPr>
        <w:t>900</w:t>
      </w:r>
      <w:r>
        <w:rPr>
          <w:rFonts w:hint="eastAsia" w:ascii="宋体" w:hAnsi="宋体"/>
          <w:sz w:val="24"/>
        </w:rPr>
        <w:t>万条。</w:t>
      </w:r>
    </w:p>
    <w:p w14:paraId="2043426D">
      <w:pPr>
        <w:spacing w:line="360" w:lineRule="auto"/>
        <w:ind w:firstLine="480" w:firstLineChars="200"/>
        <w:rPr>
          <w:rFonts w:ascii="宋体" w:hAnsi="宋体"/>
          <w:sz w:val="24"/>
        </w:rPr>
      </w:pPr>
      <w:r>
        <w:rPr>
          <w:rFonts w:ascii="宋体" w:hAnsi="宋体"/>
          <w:sz w:val="24"/>
        </w:rPr>
        <w:t>3</w:t>
      </w:r>
      <w:r>
        <w:rPr>
          <w:rFonts w:hint="eastAsia" w:ascii="宋体" w:hAnsi="宋体"/>
          <w:sz w:val="24"/>
        </w:rPr>
        <w:t>）</w:t>
      </w:r>
      <w:r>
        <w:rPr>
          <w:rFonts w:ascii="宋体" w:hAnsi="宋体"/>
          <w:sz w:val="24"/>
        </w:rPr>
        <w:t>SSL VPN</w:t>
      </w:r>
      <w:r>
        <w:rPr>
          <w:rFonts w:hint="eastAsia" w:ascii="宋体" w:hAnsi="宋体"/>
          <w:sz w:val="24"/>
        </w:rPr>
        <w:t>授权：支持</w:t>
      </w:r>
      <w:r>
        <w:rPr>
          <w:rFonts w:ascii="宋体" w:hAnsi="宋体"/>
          <w:sz w:val="24"/>
        </w:rPr>
        <w:t>SSL VPN</w:t>
      </w:r>
      <w:r>
        <w:rPr>
          <w:rFonts w:hint="eastAsia" w:ascii="宋体" w:hAnsi="宋体"/>
          <w:sz w:val="24"/>
        </w:rPr>
        <w:t>并发用户≥</w:t>
      </w:r>
      <w:r>
        <w:rPr>
          <w:rFonts w:ascii="宋体" w:hAnsi="宋体"/>
          <w:sz w:val="24"/>
        </w:rPr>
        <w:t>500</w:t>
      </w:r>
      <w:r>
        <w:rPr>
          <w:rFonts w:hint="eastAsia" w:ascii="宋体" w:hAnsi="宋体"/>
          <w:sz w:val="24"/>
        </w:rPr>
        <w:t>，</w:t>
      </w:r>
      <w:r>
        <w:rPr>
          <w:rFonts w:ascii="宋体" w:hAnsi="宋体"/>
          <w:sz w:val="24"/>
        </w:rPr>
        <w:t>IPSec VPN</w:t>
      </w:r>
      <w:r>
        <w:rPr>
          <w:rFonts w:hint="eastAsia" w:ascii="宋体" w:hAnsi="宋体"/>
          <w:sz w:val="24"/>
        </w:rPr>
        <w:t>隧道数≥</w:t>
      </w:r>
      <w:r>
        <w:rPr>
          <w:rFonts w:ascii="宋体" w:hAnsi="宋体"/>
          <w:sz w:val="24"/>
        </w:rPr>
        <w:t>500</w:t>
      </w:r>
      <w:r>
        <w:rPr>
          <w:rFonts w:hint="eastAsia" w:ascii="宋体" w:hAnsi="宋体"/>
          <w:sz w:val="24"/>
        </w:rPr>
        <w:t>，授权数量</w:t>
      </w:r>
      <w:r>
        <w:rPr>
          <w:rFonts w:ascii="宋体" w:hAnsi="宋体"/>
          <w:sz w:val="24"/>
        </w:rPr>
        <w:t>SSL VPN</w:t>
      </w:r>
      <w:r>
        <w:rPr>
          <w:rFonts w:hint="eastAsia" w:ascii="宋体" w:hAnsi="宋体"/>
          <w:sz w:val="24"/>
        </w:rPr>
        <w:t>授权≥</w:t>
      </w:r>
      <w:r>
        <w:rPr>
          <w:rFonts w:ascii="宋体" w:hAnsi="宋体"/>
          <w:sz w:val="24"/>
        </w:rPr>
        <w:t>40</w:t>
      </w:r>
      <w:r>
        <w:rPr>
          <w:rFonts w:hint="eastAsia" w:ascii="宋体" w:hAnsi="宋体"/>
          <w:sz w:val="24"/>
        </w:rPr>
        <w:t>。</w:t>
      </w:r>
    </w:p>
    <w:p w14:paraId="4F581727">
      <w:pPr>
        <w:spacing w:line="360" w:lineRule="auto"/>
        <w:ind w:firstLine="480" w:firstLineChars="200"/>
        <w:rPr>
          <w:rFonts w:ascii="宋体" w:hAnsi="宋体"/>
          <w:sz w:val="24"/>
        </w:rPr>
      </w:pPr>
      <w:r>
        <w:rPr>
          <w:rFonts w:ascii="宋体" w:hAnsi="宋体"/>
          <w:sz w:val="24"/>
        </w:rPr>
        <w:t>4</w:t>
      </w:r>
      <w:r>
        <w:rPr>
          <w:rFonts w:hint="eastAsia" w:ascii="宋体" w:hAnsi="宋体"/>
          <w:sz w:val="24"/>
        </w:rPr>
        <w:t>）带宽管理，支持对</w:t>
      </w:r>
      <w:r>
        <w:rPr>
          <w:rFonts w:ascii="宋体" w:hAnsi="宋体"/>
          <w:sz w:val="24"/>
        </w:rPr>
        <w:t>IP</w:t>
      </w:r>
      <w:r>
        <w:rPr>
          <w:rFonts w:hint="eastAsia" w:ascii="宋体" w:hAnsi="宋体"/>
          <w:sz w:val="24"/>
        </w:rPr>
        <w:t>和应用进行流量控制，能够根据安全域、接口、地址、用户</w:t>
      </w:r>
      <w:r>
        <w:rPr>
          <w:rFonts w:ascii="宋体" w:hAnsi="宋体"/>
          <w:sz w:val="24"/>
        </w:rPr>
        <w:t>/</w:t>
      </w:r>
      <w:r>
        <w:rPr>
          <w:rFonts w:hint="eastAsia" w:ascii="宋体" w:hAnsi="宋体"/>
          <w:sz w:val="24"/>
        </w:rPr>
        <w:t>用户组、服务</w:t>
      </w:r>
      <w:r>
        <w:rPr>
          <w:rFonts w:ascii="宋体" w:hAnsi="宋体"/>
          <w:sz w:val="24"/>
        </w:rPr>
        <w:t>/</w:t>
      </w:r>
      <w:r>
        <w:rPr>
          <w:rFonts w:hint="eastAsia" w:ascii="宋体" w:hAnsi="宋体"/>
          <w:sz w:val="24"/>
        </w:rPr>
        <w:t>服务组、应用</w:t>
      </w:r>
      <w:r>
        <w:rPr>
          <w:rFonts w:ascii="宋体" w:hAnsi="宋体"/>
          <w:sz w:val="24"/>
        </w:rPr>
        <w:t>/</w:t>
      </w:r>
      <w:r>
        <w:rPr>
          <w:rFonts w:hint="eastAsia" w:ascii="宋体" w:hAnsi="宋体"/>
          <w:sz w:val="24"/>
        </w:rPr>
        <w:t>应用组、</w:t>
      </w:r>
      <w:r>
        <w:rPr>
          <w:rFonts w:ascii="宋体" w:hAnsi="宋体"/>
          <w:sz w:val="24"/>
        </w:rPr>
        <w:t>Vlan</w:t>
      </w:r>
      <w:r>
        <w:rPr>
          <w:rFonts w:hint="eastAsia" w:ascii="宋体" w:hAnsi="宋体"/>
          <w:sz w:val="24"/>
        </w:rPr>
        <w:t>等信息划分管道。</w:t>
      </w:r>
    </w:p>
    <w:p w14:paraId="017D1EEB">
      <w:pPr>
        <w:spacing w:line="360" w:lineRule="auto"/>
        <w:ind w:firstLine="480" w:firstLineChars="200"/>
        <w:rPr>
          <w:rFonts w:ascii="宋体" w:hAnsi="宋体"/>
          <w:sz w:val="24"/>
        </w:rPr>
      </w:pPr>
      <w:r>
        <w:rPr>
          <w:rFonts w:ascii="宋体" w:hAnsi="宋体"/>
          <w:sz w:val="24"/>
        </w:rPr>
        <w:t>5</w:t>
      </w:r>
      <w:r>
        <w:rPr>
          <w:rFonts w:hint="eastAsia" w:ascii="宋体" w:hAnsi="宋体"/>
          <w:sz w:val="24"/>
        </w:rPr>
        <w:t>）支持防火墙策略命中次数统计及分析，统计首次命中及最近命中天数等细粒度分析，以及策略冗余检查，能够提升策略运维效率。</w:t>
      </w:r>
    </w:p>
    <w:p w14:paraId="3817D87E">
      <w:pPr>
        <w:spacing w:line="360" w:lineRule="auto"/>
        <w:ind w:firstLine="480" w:firstLineChars="200"/>
        <w:rPr>
          <w:rFonts w:ascii="宋体" w:hAnsi="宋体"/>
          <w:sz w:val="24"/>
        </w:rPr>
      </w:pPr>
      <w:r>
        <w:rPr>
          <w:rFonts w:ascii="宋体" w:hAnsi="宋体"/>
          <w:sz w:val="24"/>
        </w:rPr>
        <w:t>6</w:t>
      </w:r>
      <w:r>
        <w:rPr>
          <w:rFonts w:hint="eastAsia" w:ascii="宋体" w:hAnsi="宋体"/>
          <w:sz w:val="24"/>
        </w:rPr>
        <w:t>）防护版接口：千兆电口≥</w:t>
      </w:r>
      <w:r>
        <w:rPr>
          <w:rFonts w:ascii="宋体" w:hAnsi="宋体"/>
          <w:sz w:val="24"/>
        </w:rPr>
        <w:t>8</w:t>
      </w:r>
      <w:r>
        <w:rPr>
          <w:rFonts w:hint="eastAsia" w:ascii="宋体" w:hAnsi="宋体"/>
          <w:sz w:val="24"/>
        </w:rPr>
        <w:t>个，千兆</w:t>
      </w:r>
      <w:r>
        <w:rPr>
          <w:rFonts w:ascii="宋体" w:hAnsi="宋体"/>
          <w:sz w:val="24"/>
        </w:rPr>
        <w:t>combo</w:t>
      </w:r>
      <w:r>
        <w:rPr>
          <w:rFonts w:hint="eastAsia" w:ascii="宋体" w:hAnsi="宋体"/>
          <w:sz w:val="24"/>
        </w:rPr>
        <w:t>口≥</w:t>
      </w:r>
      <w:r>
        <w:rPr>
          <w:rFonts w:ascii="宋体" w:hAnsi="宋体"/>
          <w:sz w:val="24"/>
        </w:rPr>
        <w:t>2</w:t>
      </w:r>
      <w:r>
        <w:rPr>
          <w:rFonts w:hint="eastAsia" w:ascii="宋体" w:hAnsi="宋体"/>
          <w:sz w:val="24"/>
        </w:rPr>
        <w:t>个，</w:t>
      </w:r>
      <w:r>
        <w:rPr>
          <w:rFonts w:ascii="宋体" w:hAnsi="宋体"/>
          <w:sz w:val="24"/>
        </w:rPr>
        <w:t>Bypass</w:t>
      </w:r>
      <w:r>
        <w:rPr>
          <w:rFonts w:hint="eastAsia" w:ascii="宋体" w:hAnsi="宋体"/>
          <w:sz w:val="24"/>
        </w:rPr>
        <w:t>口≥</w:t>
      </w:r>
      <w:r>
        <w:rPr>
          <w:rFonts w:ascii="宋体" w:hAnsi="宋体"/>
          <w:sz w:val="24"/>
        </w:rPr>
        <w:t>2</w:t>
      </w:r>
      <w:r>
        <w:rPr>
          <w:rFonts w:hint="eastAsia" w:ascii="宋体" w:hAnsi="宋体"/>
          <w:sz w:val="24"/>
        </w:rPr>
        <w:t>个。防护设备吞吐量性能：</w:t>
      </w:r>
      <w:r>
        <w:rPr>
          <w:rFonts w:ascii="宋体" w:hAnsi="宋体"/>
          <w:sz w:val="24"/>
        </w:rPr>
        <w:t>1000M</w:t>
      </w:r>
      <w:r>
        <w:rPr>
          <w:rFonts w:hint="eastAsia" w:ascii="宋体" w:hAnsi="宋体"/>
          <w:sz w:val="24"/>
        </w:rPr>
        <w:t>专线网关设备：防火墙大包吞吐量≥</w:t>
      </w:r>
      <w:r>
        <w:rPr>
          <w:rFonts w:ascii="宋体" w:hAnsi="宋体"/>
          <w:sz w:val="24"/>
        </w:rPr>
        <w:t>2Gbps</w:t>
      </w:r>
      <w:r>
        <w:rPr>
          <w:rFonts w:hint="eastAsia" w:ascii="宋体" w:hAnsi="宋体"/>
          <w:sz w:val="24"/>
        </w:rPr>
        <w:t>，应用层检测大包吞吐量（</w:t>
      </w:r>
      <w:r>
        <w:rPr>
          <w:rFonts w:ascii="宋体" w:hAnsi="宋体"/>
          <w:sz w:val="24"/>
        </w:rPr>
        <w:t>IPS+AV+URL</w:t>
      </w:r>
      <w:r>
        <w:rPr>
          <w:rFonts w:hint="eastAsia" w:ascii="宋体" w:hAnsi="宋体"/>
          <w:sz w:val="24"/>
        </w:rPr>
        <w:t>）≥</w:t>
      </w:r>
      <w:r>
        <w:rPr>
          <w:rFonts w:ascii="宋体" w:hAnsi="宋体"/>
          <w:sz w:val="24"/>
        </w:rPr>
        <w:t>1.7Gbps</w:t>
      </w:r>
      <w:r>
        <w:rPr>
          <w:rFonts w:hint="eastAsia" w:ascii="宋体" w:hAnsi="宋体"/>
          <w:sz w:val="24"/>
        </w:rPr>
        <w:t>；</w:t>
      </w:r>
    </w:p>
    <w:p w14:paraId="05D91951">
      <w:pPr>
        <w:spacing w:line="360" w:lineRule="auto"/>
        <w:ind w:firstLine="480" w:firstLineChars="200"/>
        <w:rPr>
          <w:rFonts w:ascii="宋体" w:hAnsi="宋体"/>
          <w:sz w:val="24"/>
        </w:rPr>
      </w:pPr>
      <w:r>
        <w:rPr>
          <w:rFonts w:hint="eastAsia" w:ascii="宋体" w:hAnsi="宋体"/>
          <w:sz w:val="24"/>
        </w:rPr>
        <w:t>7）支持IPSec诊断功能，诊断连接的双方地址的IPSec配置策略是否相同，并输出IPSec诊断的结果。</w:t>
      </w:r>
    </w:p>
    <w:p w14:paraId="74ACF890">
      <w:pPr>
        <w:spacing w:line="360" w:lineRule="auto"/>
        <w:ind w:firstLine="480" w:firstLineChars="200"/>
        <w:rPr>
          <w:rFonts w:ascii="宋体" w:hAnsi="宋体"/>
          <w:sz w:val="24"/>
        </w:rPr>
      </w:pPr>
      <w:r>
        <w:rPr>
          <w:rFonts w:ascii="宋体" w:hAnsi="宋体"/>
          <w:sz w:val="24"/>
        </w:rPr>
        <w:t>8</w:t>
      </w:r>
      <w:r>
        <w:rPr>
          <w:rFonts w:hint="eastAsia" w:ascii="宋体" w:hAnsi="宋体"/>
          <w:sz w:val="24"/>
        </w:rPr>
        <w:t>）支持</w:t>
      </w:r>
      <w:r>
        <w:rPr>
          <w:rFonts w:ascii="宋体" w:hAnsi="宋体"/>
          <w:sz w:val="24"/>
        </w:rPr>
        <w:t>TLSv1</w:t>
      </w:r>
      <w:r>
        <w:rPr>
          <w:rFonts w:hint="eastAsia" w:ascii="宋体" w:hAnsi="宋体"/>
          <w:sz w:val="24"/>
        </w:rPr>
        <w:t>加密流量的安全检测和支持多数据流控制，当检测到满足数据流表中已存在表象的加密数据流，则对其加密数据流进行流量控制。</w:t>
      </w:r>
    </w:p>
    <w:p w14:paraId="2AC898BC">
      <w:pPr>
        <w:spacing w:line="360" w:lineRule="auto"/>
        <w:ind w:firstLine="482" w:firstLineChars="200"/>
        <w:rPr>
          <w:rFonts w:ascii="宋体" w:hAnsi="宋体"/>
          <w:b/>
          <w:sz w:val="24"/>
        </w:rPr>
      </w:pPr>
      <w:r>
        <w:rPr>
          <w:rFonts w:hint="eastAsia" w:ascii="宋体" w:hAnsi="宋体"/>
          <w:b/>
          <w:sz w:val="24"/>
        </w:rPr>
        <w:t>（二）</w:t>
      </w:r>
      <w:r>
        <w:rPr>
          <w:rFonts w:ascii="宋体" w:hAnsi="宋体"/>
          <w:b/>
          <w:sz w:val="24"/>
        </w:rPr>
        <w:t>7*24</w:t>
      </w:r>
      <w:r>
        <w:rPr>
          <w:rFonts w:hint="eastAsia" w:ascii="宋体" w:hAnsi="宋体"/>
          <w:b/>
          <w:sz w:val="24"/>
        </w:rPr>
        <w:t>小时监控服务要求</w:t>
      </w:r>
    </w:p>
    <w:p w14:paraId="6C9837D7">
      <w:pPr>
        <w:spacing w:line="360" w:lineRule="auto"/>
        <w:ind w:firstLine="480" w:firstLineChars="200"/>
        <w:rPr>
          <w:rFonts w:ascii="宋体" w:hAnsi="宋体"/>
          <w:sz w:val="24"/>
        </w:rPr>
      </w:pPr>
      <w:r>
        <w:rPr>
          <w:rFonts w:ascii="宋体" w:hAnsi="宋体"/>
          <w:sz w:val="24"/>
        </w:rPr>
        <w:t>1</w:t>
      </w:r>
      <w:r>
        <w:rPr>
          <w:rFonts w:hint="eastAsia" w:ascii="宋体" w:hAnsi="宋体"/>
          <w:sz w:val="24"/>
        </w:rPr>
        <w:t>）提供</w:t>
      </w:r>
      <w:r>
        <w:rPr>
          <w:rFonts w:ascii="宋体" w:hAnsi="宋体"/>
          <w:sz w:val="24"/>
        </w:rPr>
        <w:t>7*24</w:t>
      </w:r>
      <w:r>
        <w:rPr>
          <w:rFonts w:hint="eastAsia" w:ascii="宋体" w:hAnsi="宋体"/>
          <w:sz w:val="24"/>
        </w:rPr>
        <w:t>小时常规化安全监控服务，监控业务可用性和安全告警事件，主动发现江门市医保保障核心业务骨干网络上攻击威胁，识别骨干网运行系统中潜在的安全威胁。</w:t>
      </w:r>
    </w:p>
    <w:p w14:paraId="26A32140">
      <w:pPr>
        <w:spacing w:line="360" w:lineRule="auto"/>
        <w:ind w:firstLine="480" w:firstLineChars="200"/>
        <w:rPr>
          <w:rFonts w:ascii="宋体" w:hAnsi="宋体"/>
          <w:sz w:val="24"/>
        </w:rPr>
      </w:pPr>
      <w:r>
        <w:rPr>
          <w:rFonts w:ascii="宋体" w:hAnsi="宋体"/>
          <w:sz w:val="24"/>
        </w:rPr>
        <w:t>2</w:t>
      </w:r>
      <w:r>
        <w:rPr>
          <w:rFonts w:hint="eastAsia" w:ascii="宋体" w:hAnsi="宋体"/>
          <w:sz w:val="24"/>
        </w:rPr>
        <w:t>）通过服务提供商提供的安全能力进行威胁检测、可疑事件监测等多种方法对威胁进行安全风险检测，并在此基础上进行威胁分析（包括安全威胁分析、安全隐患分析、重要信息系统安全状况分析等），通过威胁源攻击能力、威胁源攻击动机、威胁发生频率及影响程度等因素，确定威胁值，形成威胁分析报告，并协助江门市医保安全运维人员进行整改，具体工作：</w:t>
      </w:r>
    </w:p>
    <w:p w14:paraId="5B3F6EB0">
      <w:pPr>
        <w:spacing w:line="360" w:lineRule="auto"/>
        <w:ind w:firstLine="480" w:firstLineChars="200"/>
        <w:rPr>
          <w:rFonts w:ascii="宋体" w:hAnsi="宋体"/>
          <w:sz w:val="24"/>
        </w:rPr>
      </w:pPr>
      <w:r>
        <w:rPr>
          <w:rFonts w:hint="eastAsia" w:ascii="宋体" w:hAnsi="宋体"/>
          <w:sz w:val="24"/>
        </w:rPr>
        <w:t>（</w:t>
      </w:r>
      <w:r>
        <w:rPr>
          <w:rFonts w:ascii="宋体" w:hAnsi="宋体"/>
          <w:sz w:val="24"/>
        </w:rPr>
        <w:t>1</w:t>
      </w:r>
      <w:r>
        <w:rPr>
          <w:rFonts w:hint="eastAsia" w:ascii="宋体" w:hAnsi="宋体"/>
          <w:sz w:val="24"/>
        </w:rPr>
        <w:t>）结合江门市医保局的业务及防护设备情况进行风险分析、不限于热点事件预防，防护设备自定义规则防护编写、风险分析模型输入等，要求在热点事件发布后</w:t>
      </w:r>
      <w:r>
        <w:rPr>
          <w:rFonts w:ascii="宋体" w:hAnsi="宋体"/>
          <w:sz w:val="24"/>
        </w:rPr>
        <w:t>24</w:t>
      </w:r>
      <w:r>
        <w:rPr>
          <w:rFonts w:hint="eastAsia" w:ascii="宋体" w:hAnsi="宋体"/>
          <w:sz w:val="24"/>
        </w:rPr>
        <w:t>小时之内完成防护策略的建议</w:t>
      </w:r>
    </w:p>
    <w:p w14:paraId="2B8638FF">
      <w:pPr>
        <w:spacing w:line="360" w:lineRule="auto"/>
        <w:ind w:firstLine="480" w:firstLineChars="200"/>
        <w:rPr>
          <w:rFonts w:ascii="宋体" w:hAnsi="宋体"/>
          <w:sz w:val="24"/>
        </w:rPr>
      </w:pPr>
      <w:r>
        <w:rPr>
          <w:rFonts w:hint="eastAsia" w:ascii="宋体" w:hAnsi="宋体"/>
          <w:sz w:val="24"/>
        </w:rPr>
        <w:t>（</w:t>
      </w:r>
      <w:r>
        <w:rPr>
          <w:rFonts w:ascii="宋体" w:hAnsi="宋体"/>
          <w:sz w:val="24"/>
        </w:rPr>
        <w:t>2</w:t>
      </w:r>
      <w:r>
        <w:rPr>
          <w:rFonts w:hint="eastAsia" w:ascii="宋体" w:hAnsi="宋体"/>
          <w:sz w:val="24"/>
        </w:rPr>
        <w:t>）关联常态化的攻击威胁进行关联分析，针对持续的高级风险进行分析运营，在攻击者找到攻陷方法或路径之前，针对访问源进行拦截，破坏自动化攻击行为，达到比设备自动拦截和防护威胁行为更好的效果，针对高危访问源的封杀可以有效提升攻击者的时间成本、技术成本迫使对方放弃攻击。</w:t>
      </w:r>
    </w:p>
    <w:p w14:paraId="5745470E">
      <w:pPr>
        <w:spacing w:line="360" w:lineRule="auto"/>
        <w:ind w:firstLine="480" w:firstLineChars="200"/>
        <w:rPr>
          <w:rFonts w:ascii="宋体" w:hAnsi="宋体"/>
          <w:sz w:val="24"/>
        </w:rPr>
      </w:pPr>
      <w:r>
        <w:rPr>
          <w:rFonts w:hint="eastAsia" w:ascii="宋体" w:hAnsi="宋体"/>
          <w:sz w:val="24"/>
        </w:rPr>
        <w:t>（</w:t>
      </w:r>
      <w:r>
        <w:rPr>
          <w:rFonts w:ascii="宋体" w:hAnsi="宋体"/>
          <w:sz w:val="24"/>
        </w:rPr>
        <w:t>3</w:t>
      </w:r>
      <w:r>
        <w:rPr>
          <w:rFonts w:hint="eastAsia" w:ascii="宋体" w:hAnsi="宋体"/>
          <w:sz w:val="24"/>
        </w:rPr>
        <w:t>）匹配高危访问源，尤其在历史重保活动中有</w:t>
      </w:r>
      <w:r>
        <w:rPr>
          <w:rFonts w:ascii="宋体" w:hAnsi="宋体"/>
          <w:sz w:val="24"/>
        </w:rPr>
        <w:t>“</w:t>
      </w:r>
      <w:r>
        <w:rPr>
          <w:rFonts w:hint="eastAsia" w:ascii="宋体" w:hAnsi="宋体"/>
          <w:sz w:val="24"/>
        </w:rPr>
        <w:t>案底</w:t>
      </w:r>
      <w:r>
        <w:rPr>
          <w:rFonts w:ascii="宋体" w:hAnsi="宋体"/>
          <w:sz w:val="24"/>
        </w:rPr>
        <w:t>”</w:t>
      </w:r>
      <w:r>
        <w:rPr>
          <w:rFonts w:hint="eastAsia" w:ascii="宋体" w:hAnsi="宋体"/>
          <w:sz w:val="24"/>
        </w:rPr>
        <w:t>的高危访问源，即在攻击发生之前曾经对其他主机或系统采取攻击行为的高危访问源；</w:t>
      </w:r>
    </w:p>
    <w:p w14:paraId="17C3DBAD">
      <w:pPr>
        <w:spacing w:line="360" w:lineRule="auto"/>
        <w:ind w:firstLine="480" w:firstLineChars="200"/>
        <w:rPr>
          <w:rFonts w:ascii="宋体" w:hAnsi="宋体"/>
          <w:sz w:val="24"/>
        </w:rPr>
      </w:pPr>
      <w:r>
        <w:rPr>
          <w:rFonts w:hint="eastAsia" w:ascii="宋体" w:hAnsi="宋体"/>
          <w:sz w:val="24"/>
        </w:rPr>
        <w:t>（</w:t>
      </w:r>
      <w:r>
        <w:rPr>
          <w:rFonts w:ascii="宋体" w:hAnsi="宋体"/>
          <w:sz w:val="24"/>
        </w:rPr>
        <w:t>4</w:t>
      </w:r>
      <w:r>
        <w:rPr>
          <w:rFonts w:hint="eastAsia" w:ascii="宋体" w:hAnsi="宋体"/>
          <w:sz w:val="24"/>
        </w:rPr>
        <w:t>）识别扫描探测类的高危访问源，通过威胁分析平台对访问流量和日志分析，可精确识别各类有扫描行为和探测行为的访问源。</w:t>
      </w:r>
    </w:p>
    <w:p w14:paraId="4FCF2B6D">
      <w:pPr>
        <w:spacing w:line="360" w:lineRule="auto"/>
        <w:ind w:firstLine="480" w:firstLineChars="200"/>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）识别具有攻陷意图的高危访问源，精确识别攻击者攻击的步骤和环节，从而识别具有攻陷意图的高危访问源。</w:t>
      </w:r>
    </w:p>
    <w:p w14:paraId="59C1DB8C">
      <w:pPr>
        <w:spacing w:line="360" w:lineRule="auto"/>
        <w:ind w:firstLine="480" w:firstLineChars="200"/>
        <w:rPr>
          <w:rFonts w:ascii="宋体" w:hAnsi="宋体"/>
          <w:sz w:val="24"/>
        </w:rPr>
      </w:pPr>
      <w:r>
        <w:rPr>
          <w:rFonts w:hint="eastAsia" w:ascii="宋体" w:hAnsi="宋体"/>
          <w:sz w:val="24"/>
        </w:rPr>
        <w:t>（</w:t>
      </w:r>
      <w:r>
        <w:rPr>
          <w:rFonts w:ascii="宋体" w:hAnsi="宋体"/>
          <w:sz w:val="24"/>
        </w:rPr>
        <w:t>6</w:t>
      </w:r>
      <w:r>
        <w:rPr>
          <w:rFonts w:hint="eastAsia" w:ascii="宋体" w:hAnsi="宋体"/>
          <w:sz w:val="24"/>
        </w:rPr>
        <w:t>）日常实时监控承载业务的可用性和告警事件，主动发现江门市医疗保障核心业务骨干网络上攻击威胁。</w:t>
      </w:r>
    </w:p>
    <w:p w14:paraId="7D1079B9">
      <w:pPr>
        <w:spacing w:line="360" w:lineRule="auto"/>
        <w:ind w:firstLine="482" w:firstLineChars="200"/>
        <w:rPr>
          <w:rFonts w:ascii="宋体" w:hAnsi="宋体"/>
          <w:b/>
          <w:sz w:val="24"/>
        </w:rPr>
      </w:pPr>
      <w:r>
        <w:rPr>
          <w:rFonts w:hint="eastAsia" w:ascii="宋体" w:hAnsi="宋体"/>
          <w:b/>
          <w:sz w:val="24"/>
        </w:rPr>
        <w:t>二、重保服务要求</w:t>
      </w:r>
    </w:p>
    <w:p w14:paraId="7C1AB5AD">
      <w:pPr>
        <w:spacing w:line="360" w:lineRule="auto"/>
        <w:ind w:firstLine="482" w:firstLineChars="200"/>
        <w:rPr>
          <w:rFonts w:ascii="宋体" w:hAnsi="宋体"/>
          <w:b/>
          <w:sz w:val="24"/>
        </w:rPr>
      </w:pPr>
      <w:r>
        <w:rPr>
          <w:rFonts w:hint="eastAsia" w:ascii="宋体" w:hAnsi="宋体"/>
          <w:b/>
          <w:sz w:val="24"/>
        </w:rPr>
        <w:t>（一）安全规则及功能优化服务</w:t>
      </w:r>
    </w:p>
    <w:p w14:paraId="27B89746">
      <w:pPr>
        <w:spacing w:line="360" w:lineRule="auto"/>
        <w:ind w:firstLine="480" w:firstLineChars="200"/>
        <w:rPr>
          <w:rFonts w:ascii="宋体" w:hAnsi="宋体"/>
          <w:sz w:val="24"/>
        </w:rPr>
      </w:pPr>
      <w:r>
        <w:rPr>
          <w:rFonts w:ascii="宋体" w:hAnsi="宋体"/>
          <w:sz w:val="24"/>
        </w:rPr>
        <w:t>1</w:t>
      </w:r>
      <w:r>
        <w:rPr>
          <w:rFonts w:hint="eastAsia" w:ascii="宋体" w:hAnsi="宋体"/>
          <w:sz w:val="24"/>
        </w:rPr>
        <w:t>）提供安全规则</w:t>
      </w:r>
      <w:r>
        <w:rPr>
          <w:rFonts w:ascii="宋体" w:hAnsi="宋体"/>
          <w:sz w:val="24"/>
        </w:rPr>
        <w:t>/</w:t>
      </w:r>
      <w:r>
        <w:rPr>
          <w:rFonts w:hint="eastAsia" w:ascii="宋体" w:hAnsi="宋体"/>
          <w:sz w:val="24"/>
        </w:rPr>
        <w:t>功能优化服务，通过审核调整业务安全防护模型，减少业务流量误阻断的风险并根据新的攻击威胁实时更新安全防护规则和系统功能，提升攻击防护能力。</w:t>
      </w:r>
    </w:p>
    <w:p w14:paraId="6F9021C8">
      <w:pPr>
        <w:spacing w:line="360" w:lineRule="auto"/>
        <w:ind w:firstLine="480" w:firstLineChars="200"/>
        <w:rPr>
          <w:rFonts w:ascii="宋体" w:hAnsi="宋体"/>
          <w:sz w:val="24"/>
        </w:rPr>
      </w:pPr>
      <w:r>
        <w:rPr>
          <w:rFonts w:ascii="宋体" w:hAnsi="宋体"/>
          <w:sz w:val="24"/>
        </w:rPr>
        <w:t>2</w:t>
      </w:r>
      <w:r>
        <w:rPr>
          <w:rFonts w:hint="eastAsia" w:ascii="宋体" w:hAnsi="宋体"/>
          <w:sz w:val="24"/>
        </w:rPr>
        <w:t>）借助于骨干网的安全能力从网络会话、业务应用等层级基于特征规则匹配进行统一分析，实时进行威胁检测数据采集分析，实现已知威胁检测。同时，鉴于威胁分析的结果，远程安全运营人员定期针对安全能力的策略配置巡检及优化，配置适用于骨干网安全运行的防护策略，全面提升边界、网络、应用安全防护强度，进一步保障业务安全稳定运行。</w:t>
      </w:r>
    </w:p>
    <w:p w14:paraId="076CEF32">
      <w:pPr>
        <w:spacing w:line="360" w:lineRule="auto"/>
        <w:ind w:firstLine="482" w:firstLineChars="200"/>
        <w:rPr>
          <w:rFonts w:ascii="宋体" w:hAnsi="宋体"/>
          <w:b/>
          <w:sz w:val="24"/>
        </w:rPr>
      </w:pPr>
      <w:r>
        <w:rPr>
          <w:rFonts w:hint="eastAsia" w:ascii="宋体" w:hAnsi="宋体"/>
          <w:b/>
          <w:sz w:val="24"/>
        </w:rPr>
        <w:t>（二）恶意攻击封堵处置服务</w:t>
      </w:r>
    </w:p>
    <w:p w14:paraId="7920F640">
      <w:pPr>
        <w:spacing w:line="360" w:lineRule="auto"/>
        <w:ind w:firstLine="480" w:firstLineChars="200"/>
        <w:rPr>
          <w:rFonts w:ascii="宋体" w:hAnsi="宋体"/>
          <w:sz w:val="24"/>
        </w:rPr>
      </w:pPr>
      <w:r>
        <w:rPr>
          <w:rFonts w:hint="eastAsia" w:ascii="宋体" w:hAnsi="宋体"/>
          <w:sz w:val="24"/>
        </w:rPr>
        <w:t>1）提供一键封堵服务，结合现网安全能力、网络设备的能力梳理应急处置规则，接到告警后5分钟内完成封堵，并输出封堵处置报告。</w:t>
      </w:r>
    </w:p>
    <w:p w14:paraId="0093F216">
      <w:pPr>
        <w:spacing w:line="360" w:lineRule="auto"/>
        <w:ind w:firstLine="480" w:firstLineChars="200"/>
        <w:rPr>
          <w:rFonts w:ascii="宋体" w:hAnsi="宋体"/>
          <w:sz w:val="24"/>
        </w:rPr>
      </w:pPr>
      <w:r>
        <w:rPr>
          <w:rFonts w:hint="eastAsia" w:ascii="宋体" w:hAnsi="宋体"/>
          <w:sz w:val="24"/>
        </w:rPr>
        <w:t>2）结合现网安全设备、网络设备的能力，针对网页篡改应急、入侵事件应急、恶意程序应急提供分钟级的重大活动保障预演。</w:t>
      </w:r>
    </w:p>
    <w:p w14:paraId="46BADAC8">
      <w:pPr>
        <w:spacing w:line="360" w:lineRule="auto"/>
        <w:ind w:firstLine="480" w:firstLineChars="200"/>
        <w:rPr>
          <w:rFonts w:ascii="宋体" w:hAnsi="宋体"/>
          <w:sz w:val="24"/>
        </w:rPr>
      </w:pPr>
      <w:r>
        <w:rPr>
          <w:rFonts w:hint="eastAsia" w:ascii="宋体" w:hAnsi="宋体"/>
          <w:sz w:val="24"/>
        </w:rPr>
        <w:t>3）发现网页篡改攻击时，快速阻断用户通过访问医保平台的能力，阻断方式不限于防火墙、路由器、安全设备封堵等。</w:t>
      </w:r>
    </w:p>
    <w:p w14:paraId="09680B9E">
      <w:pPr>
        <w:spacing w:line="360" w:lineRule="auto"/>
        <w:ind w:firstLine="480" w:firstLineChars="200"/>
        <w:rPr>
          <w:rFonts w:ascii="宋体" w:hAnsi="宋体"/>
          <w:sz w:val="24"/>
        </w:rPr>
      </w:pPr>
      <w:r>
        <w:rPr>
          <w:rFonts w:hint="eastAsia" w:ascii="宋体" w:hAnsi="宋体"/>
          <w:sz w:val="24"/>
        </w:rPr>
        <w:t>4）发现入侵攻击告警时，快速对攻击源IP进行封堵，封堵方式不限于防火墙、安全设备策略等。</w:t>
      </w:r>
    </w:p>
    <w:p w14:paraId="77926CFC">
      <w:pPr>
        <w:spacing w:line="360" w:lineRule="auto"/>
        <w:ind w:firstLine="480" w:firstLineChars="200"/>
        <w:rPr>
          <w:rFonts w:ascii="宋体" w:hAnsi="宋体"/>
          <w:sz w:val="24"/>
        </w:rPr>
      </w:pPr>
      <w:r>
        <w:rPr>
          <w:rFonts w:hint="eastAsia" w:ascii="宋体" w:hAnsi="宋体"/>
          <w:sz w:val="24"/>
        </w:rPr>
        <w:t>5）发现恶意程序告警时，实现恶意程序地址封堵、内容过滤等。</w:t>
      </w:r>
    </w:p>
    <w:p w14:paraId="476BEF6A">
      <w:pPr>
        <w:spacing w:line="360" w:lineRule="auto"/>
        <w:ind w:firstLine="482" w:firstLineChars="200"/>
        <w:rPr>
          <w:rFonts w:ascii="宋体" w:hAnsi="宋体"/>
          <w:b/>
          <w:sz w:val="24"/>
        </w:rPr>
      </w:pPr>
      <w:r>
        <w:rPr>
          <w:rFonts w:hint="eastAsia" w:ascii="宋体" w:hAnsi="宋体"/>
          <w:b/>
          <w:sz w:val="24"/>
        </w:rPr>
        <w:t>（三）重大活动保障专项策略调优及演习协助服务</w:t>
      </w:r>
    </w:p>
    <w:p w14:paraId="12CC96B1">
      <w:pPr>
        <w:spacing w:line="360" w:lineRule="auto"/>
        <w:ind w:firstLine="480" w:firstLineChars="200"/>
        <w:rPr>
          <w:rFonts w:ascii="宋体" w:hAnsi="宋体"/>
          <w:sz w:val="24"/>
        </w:rPr>
      </w:pPr>
      <w:r>
        <w:rPr>
          <w:rFonts w:hint="eastAsia" w:ascii="宋体" w:hAnsi="宋体"/>
          <w:sz w:val="24"/>
        </w:rPr>
        <w:t>1）重保专项策略调整，在重大活动（包括但不限于全国两会</w:t>
      </w:r>
      <w:bookmarkStart w:id="1" w:name="_GoBack"/>
      <w:bookmarkEnd w:id="1"/>
      <w:r>
        <w:rPr>
          <w:rFonts w:hint="eastAsia" w:ascii="宋体" w:hAnsi="宋体"/>
          <w:sz w:val="24"/>
        </w:rPr>
        <w:t>、五四运动、建党节（如中国共产党成立100周年）、博鳌亚洲论坛、年度网络安全周、国庆节、澳门回归、“一带一路”国际合作高峰论坛、公安部攻击预演行动、公安厅攻击预演行动、临时安排的保障等11个）前期进行保障预演习，并针对期间出现的高级风险进行分析，调整安全能力的策略调整优化。</w:t>
      </w:r>
    </w:p>
    <w:p w14:paraId="4DBDCE54">
      <w:pPr>
        <w:spacing w:line="360" w:lineRule="auto"/>
        <w:ind w:firstLine="480" w:firstLineChars="200"/>
        <w:rPr>
          <w:rFonts w:ascii="宋体" w:hAnsi="宋体"/>
          <w:sz w:val="24"/>
        </w:rPr>
      </w:pPr>
      <w:r>
        <w:rPr>
          <w:rFonts w:hint="eastAsia" w:ascii="宋体" w:hAnsi="宋体"/>
          <w:sz w:val="24"/>
        </w:rPr>
        <w:t>2）在重大活动前进行攻击保障预演，包括但不限于业务破坏类（主要以影响业务的正常开展为攻击目标）预演及业务入侵类（主要以非法渗透到服务器为主要目标，并展开黑客攻击）的预演。</w:t>
      </w:r>
    </w:p>
    <w:p w14:paraId="05A1580B">
      <w:pPr>
        <w:spacing w:line="360" w:lineRule="auto"/>
        <w:ind w:firstLine="480" w:firstLineChars="200"/>
        <w:rPr>
          <w:rFonts w:ascii="宋体" w:hAnsi="宋体"/>
          <w:sz w:val="24"/>
        </w:rPr>
      </w:pPr>
      <w:r>
        <w:rPr>
          <w:rFonts w:hint="eastAsia" w:ascii="宋体" w:hAnsi="宋体"/>
          <w:sz w:val="24"/>
        </w:rPr>
        <w:t>3）在重大活动保障前，模拟检测机构及攻击者通过重大活动保障预演服务，完善应急保障体系，以实战的形式检验重大活动保障流程和保障方法的可用性、有效性。</w:t>
      </w:r>
    </w:p>
    <w:p w14:paraId="19BB4436">
      <w:pPr>
        <w:spacing w:line="360" w:lineRule="auto"/>
        <w:ind w:firstLine="480" w:firstLineChars="200"/>
        <w:rPr>
          <w:rFonts w:ascii="宋体" w:hAnsi="宋体"/>
          <w:sz w:val="24"/>
        </w:rPr>
      </w:pPr>
      <w:r>
        <w:rPr>
          <w:rFonts w:hint="eastAsia" w:ascii="宋体" w:hAnsi="宋体"/>
          <w:sz w:val="24"/>
        </w:rPr>
        <w:t>4）提供一种接近真实环境的安全攻防预演，进行真实的安全攻防来达到真实预演的效果。并指定运维人员会根据应急预案的要求进行应急工作的开展，以实现应急预演人员的在其中对应急过程、防御过程的实践操作。同时对应急预案进行实践预演，确定应急预案的可行性及有效性。</w:t>
      </w:r>
    </w:p>
    <w:p w14:paraId="40349785">
      <w:pPr>
        <w:spacing w:line="360" w:lineRule="auto"/>
        <w:ind w:firstLine="480" w:firstLineChars="200"/>
        <w:rPr>
          <w:rFonts w:ascii="宋体" w:hAnsi="宋体"/>
          <w:sz w:val="24"/>
        </w:rPr>
      </w:pPr>
      <w:r>
        <w:rPr>
          <w:rFonts w:hint="eastAsia" w:ascii="宋体" w:hAnsi="宋体"/>
          <w:sz w:val="24"/>
        </w:rPr>
        <w:t>5）在预演中，为了保障效果，需在真实环境中进行。为了避免应急预演中存在的网络攻击影响正常业务，同时考虑到应急预演效果，需在应急预演之前制定出切实可行的方案。并且需根据真实环境现状，确定方案的可行性。</w:t>
      </w:r>
    </w:p>
    <w:p w14:paraId="65F5BDF0">
      <w:pPr>
        <w:spacing w:line="360" w:lineRule="auto"/>
        <w:ind w:firstLine="482" w:firstLineChars="200"/>
        <w:rPr>
          <w:rFonts w:ascii="宋体" w:hAnsi="宋体"/>
          <w:b/>
          <w:sz w:val="24"/>
        </w:rPr>
      </w:pPr>
      <w:r>
        <w:rPr>
          <w:rFonts w:hint="eastAsia" w:ascii="宋体" w:hAnsi="宋体"/>
          <w:b/>
          <w:sz w:val="24"/>
        </w:rPr>
        <w:t>三、安全培训服务要求</w:t>
      </w:r>
    </w:p>
    <w:p w14:paraId="6098EE2A">
      <w:pPr>
        <w:spacing w:line="360" w:lineRule="auto"/>
        <w:ind w:firstLine="480" w:firstLineChars="200"/>
        <w:rPr>
          <w:rFonts w:ascii="宋体" w:hAnsi="宋体"/>
          <w:sz w:val="24"/>
        </w:rPr>
      </w:pPr>
      <w:r>
        <w:rPr>
          <w:rFonts w:hint="eastAsia" w:ascii="宋体" w:hAnsi="宋体"/>
          <w:sz w:val="24"/>
        </w:rPr>
        <w:t>针对开展医保局、两定机构开展一次集中的安全培训，如安全政策解读、安全趋势分析、风险分析等。</w:t>
      </w:r>
    </w:p>
    <w:p w14:paraId="7C8CFB07"/>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9F7A8A"/>
    <w:multiLevelType w:val="multilevel"/>
    <w:tmpl w:val="169F7A8A"/>
    <w:lvl w:ilvl="0" w:tentative="0">
      <w:start w:val="1"/>
      <w:numFmt w:val="chineseCountingThousand"/>
      <w:pStyle w:val="3"/>
      <w:suff w:val="space"/>
      <w:lvlText w:val="第%1章"/>
      <w:lvlJc w:val="left"/>
      <w:pPr>
        <w:ind w:left="0" w:firstLine="0"/>
      </w:pPr>
      <w:rPr>
        <w:rFonts w:hint="eastAsia" w:ascii="宋体" w:hAnsi="宋体" w:eastAsia="宋体"/>
        <w:b/>
      </w:rPr>
    </w:lvl>
    <w:lvl w:ilvl="1" w:tentative="0">
      <w:start w:val="1"/>
      <w:numFmt w:val="decimal"/>
      <w:pStyle w:val="4"/>
      <w:isLgl/>
      <w:suff w:val="space"/>
      <w:lvlText w:val="%1.%2."/>
      <w:lvlJc w:val="left"/>
      <w:pPr>
        <w:ind w:left="0" w:firstLine="0"/>
      </w:pPr>
      <w:rPr>
        <w:rFonts w:hint="eastAsia" w:ascii="宋体" w:hAnsi="宋体" w:eastAsia="宋体"/>
      </w:rPr>
    </w:lvl>
    <w:lvl w:ilvl="2" w:tentative="0">
      <w:start w:val="1"/>
      <w:numFmt w:val="decimal"/>
      <w:pStyle w:val="5"/>
      <w:isLgl/>
      <w:suff w:val="space"/>
      <w:lvlText w:val="%1.%2.%3."/>
      <w:lvlJc w:val="left"/>
      <w:pPr>
        <w:ind w:left="0" w:firstLine="0"/>
      </w:pPr>
      <w:rPr>
        <w:rFonts w:hint="eastAsia" w:ascii="宋体" w:hAnsi="宋体" w:eastAsia="宋体"/>
      </w:rPr>
    </w:lvl>
    <w:lvl w:ilvl="3" w:tentative="0">
      <w:start w:val="1"/>
      <w:numFmt w:val="decimal"/>
      <w:pStyle w:val="6"/>
      <w:isLgl/>
      <w:suff w:val="space"/>
      <w:lvlText w:val="%1.%2.%3.%4."/>
      <w:lvlJc w:val="left"/>
      <w:pPr>
        <w:ind w:left="0" w:firstLine="0"/>
      </w:pPr>
      <w:rPr>
        <w:rFonts w:hint="eastAsia" w:ascii="宋体" w:hAnsi="宋体" w:eastAsia="宋体"/>
      </w:rPr>
    </w:lvl>
    <w:lvl w:ilvl="4" w:tentative="0">
      <w:start w:val="1"/>
      <w:numFmt w:val="decimal"/>
      <w:pStyle w:val="7"/>
      <w:isLgl/>
      <w:suff w:val="space"/>
      <w:lvlText w:val="%1.%2.%3.%4.%5."/>
      <w:lvlJc w:val="left"/>
      <w:pPr>
        <w:ind w:left="0" w:firstLine="0"/>
      </w:pPr>
      <w:rPr>
        <w:rFonts w:hint="eastAsia" w:ascii="宋体" w:hAnsi="宋体" w:eastAsia="宋体"/>
      </w:rPr>
    </w:lvl>
    <w:lvl w:ilvl="5" w:tentative="0">
      <w:start w:val="1"/>
      <w:numFmt w:val="decimal"/>
      <w:pStyle w:val="8"/>
      <w:isLgl/>
      <w:suff w:val="space"/>
      <w:lvlText w:val="%1.%2.%3.%4.%5.%6."/>
      <w:lvlJc w:val="left"/>
      <w:pPr>
        <w:ind w:left="0" w:firstLine="0"/>
      </w:pPr>
      <w:rPr>
        <w:rFonts w:hint="eastAsia" w:ascii="宋体" w:hAnsi="宋体" w:eastAsia="宋体"/>
      </w:rPr>
    </w:lvl>
    <w:lvl w:ilvl="6" w:tentative="0">
      <w:start w:val="1"/>
      <w:numFmt w:val="decimal"/>
      <w:pStyle w:val="9"/>
      <w:isLgl/>
      <w:suff w:val="space"/>
      <w:lvlText w:val="%1.%2.%3.%4.%5.%6.%7."/>
      <w:lvlJc w:val="left"/>
      <w:pPr>
        <w:ind w:left="0" w:firstLine="0"/>
      </w:pPr>
      <w:rPr>
        <w:rFonts w:hint="eastAsia" w:ascii="宋体" w:hAnsi="宋体" w:eastAsia="宋体"/>
      </w:rPr>
    </w:lvl>
    <w:lvl w:ilvl="7" w:tentative="0">
      <w:start w:val="1"/>
      <w:numFmt w:val="decimal"/>
      <w:pStyle w:val="10"/>
      <w:isLgl/>
      <w:suff w:val="space"/>
      <w:lvlText w:val="%1.%2.%3.%4.%5.%6.%7.%8."/>
      <w:lvlJc w:val="left"/>
      <w:pPr>
        <w:ind w:left="0" w:firstLine="0"/>
      </w:pPr>
      <w:rPr>
        <w:rFonts w:hint="eastAsia" w:ascii="宋体" w:hAnsi="宋体" w:eastAsia="宋体"/>
      </w:rPr>
    </w:lvl>
    <w:lvl w:ilvl="8" w:tentative="0">
      <w:start w:val="1"/>
      <w:numFmt w:val="decimal"/>
      <w:pStyle w:val="11"/>
      <w:isLgl/>
      <w:suff w:val="space"/>
      <w:lvlText w:val="%1.%2.%3.%4.%5.%6.%7.%8.%9."/>
      <w:lvlJc w:val="left"/>
      <w:pPr>
        <w:ind w:left="0" w:firstLine="0"/>
      </w:pPr>
      <w:rPr>
        <w:rFonts w:hint="eastAsia" w:ascii="宋体" w:hAnsi="宋体" w:eastAsia="宋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922"/>
    <w:rsid w:val="000624A4"/>
    <w:rsid w:val="00096497"/>
    <w:rsid w:val="000A22D2"/>
    <w:rsid w:val="000F6DA7"/>
    <w:rsid w:val="00137C3E"/>
    <w:rsid w:val="00211B36"/>
    <w:rsid w:val="002410E8"/>
    <w:rsid w:val="00387701"/>
    <w:rsid w:val="00474C59"/>
    <w:rsid w:val="00493515"/>
    <w:rsid w:val="005305AF"/>
    <w:rsid w:val="005415E4"/>
    <w:rsid w:val="005A51BC"/>
    <w:rsid w:val="005B030D"/>
    <w:rsid w:val="005D6652"/>
    <w:rsid w:val="007767B9"/>
    <w:rsid w:val="00862922"/>
    <w:rsid w:val="00947A7C"/>
    <w:rsid w:val="009C7FC0"/>
    <w:rsid w:val="00A440CF"/>
    <w:rsid w:val="00A952B9"/>
    <w:rsid w:val="00DD160D"/>
    <w:rsid w:val="00F2101B"/>
    <w:rsid w:val="39F906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12" w:lineRule="atLeast"/>
      <w:jc w:val="both"/>
      <w:textAlignment w:val="baseline"/>
    </w:pPr>
    <w:rPr>
      <w:rFonts w:ascii="Times New Roman" w:hAnsi="Times New Roman" w:eastAsia="宋体" w:cs="Times New Roman"/>
      <w:kern w:val="0"/>
      <w:sz w:val="21"/>
      <w:szCs w:val="20"/>
      <w:lang w:val="en-US" w:eastAsia="zh-CN" w:bidi="ar-SA"/>
    </w:rPr>
  </w:style>
  <w:style w:type="paragraph" w:styleId="3">
    <w:name w:val="heading 1"/>
    <w:next w:val="1"/>
    <w:link w:val="16"/>
    <w:qFormat/>
    <w:uiPriority w:val="9"/>
    <w:pPr>
      <w:pageBreakBefore/>
      <w:numPr>
        <w:ilvl w:val="0"/>
        <w:numId w:val="1"/>
      </w:numPr>
      <w:spacing w:line="360" w:lineRule="auto"/>
      <w:outlineLvl w:val="0"/>
    </w:pPr>
    <w:rPr>
      <w:rFonts w:ascii="等线" w:hAnsi="等线" w:eastAsia="宋体" w:cs="Times New Roman"/>
      <w:b/>
      <w:bCs/>
      <w:kern w:val="44"/>
      <w:sz w:val="32"/>
      <w:szCs w:val="44"/>
      <w:lang w:val="en-US" w:eastAsia="zh-CN" w:bidi="ar-SA"/>
    </w:rPr>
  </w:style>
  <w:style w:type="paragraph" w:styleId="4">
    <w:name w:val="heading 2"/>
    <w:next w:val="1"/>
    <w:link w:val="17"/>
    <w:qFormat/>
    <w:uiPriority w:val="9"/>
    <w:pPr>
      <w:keepNext/>
      <w:keepLines/>
      <w:numPr>
        <w:ilvl w:val="1"/>
        <w:numId w:val="1"/>
      </w:numPr>
      <w:spacing w:line="360" w:lineRule="auto"/>
      <w:outlineLvl w:val="1"/>
    </w:pPr>
    <w:rPr>
      <w:rFonts w:ascii="等线 Light" w:hAnsi="等线 Light" w:eastAsia="宋体" w:cs="Times New Roman"/>
      <w:b/>
      <w:bCs/>
      <w:kern w:val="2"/>
      <w:sz w:val="30"/>
      <w:szCs w:val="32"/>
      <w:lang w:val="en-US" w:eastAsia="zh-CN" w:bidi="ar-SA"/>
    </w:rPr>
  </w:style>
  <w:style w:type="paragraph" w:styleId="5">
    <w:name w:val="heading 3"/>
    <w:next w:val="1"/>
    <w:link w:val="18"/>
    <w:qFormat/>
    <w:uiPriority w:val="9"/>
    <w:pPr>
      <w:keepNext/>
      <w:keepLines/>
      <w:numPr>
        <w:ilvl w:val="2"/>
        <w:numId w:val="1"/>
      </w:numPr>
      <w:spacing w:line="360" w:lineRule="auto"/>
      <w:outlineLvl w:val="2"/>
    </w:pPr>
    <w:rPr>
      <w:rFonts w:ascii="等线" w:hAnsi="等线" w:eastAsia="宋体" w:cs="Times New Roman"/>
      <w:b/>
      <w:bCs/>
      <w:kern w:val="2"/>
      <w:sz w:val="28"/>
      <w:szCs w:val="32"/>
      <w:lang w:val="en-US" w:eastAsia="zh-CN" w:bidi="ar-SA"/>
    </w:rPr>
  </w:style>
  <w:style w:type="paragraph" w:styleId="6">
    <w:name w:val="heading 4"/>
    <w:next w:val="1"/>
    <w:link w:val="19"/>
    <w:qFormat/>
    <w:uiPriority w:val="9"/>
    <w:pPr>
      <w:keepNext/>
      <w:keepLines/>
      <w:numPr>
        <w:ilvl w:val="3"/>
        <w:numId w:val="1"/>
      </w:numPr>
      <w:spacing w:line="360" w:lineRule="auto"/>
      <w:outlineLvl w:val="3"/>
    </w:pPr>
    <w:rPr>
      <w:rFonts w:ascii="等线 Light" w:hAnsi="等线 Light" w:eastAsia="宋体" w:cs="Times New Roman"/>
      <w:b/>
      <w:bCs/>
      <w:kern w:val="2"/>
      <w:sz w:val="24"/>
      <w:szCs w:val="28"/>
      <w:lang w:val="en-US" w:eastAsia="zh-CN" w:bidi="ar-SA"/>
    </w:rPr>
  </w:style>
  <w:style w:type="paragraph" w:styleId="7">
    <w:name w:val="heading 5"/>
    <w:next w:val="1"/>
    <w:link w:val="20"/>
    <w:qFormat/>
    <w:uiPriority w:val="9"/>
    <w:pPr>
      <w:keepNext/>
      <w:keepLines/>
      <w:numPr>
        <w:ilvl w:val="4"/>
        <w:numId w:val="1"/>
      </w:numPr>
      <w:spacing w:line="360" w:lineRule="auto"/>
      <w:outlineLvl w:val="4"/>
    </w:pPr>
    <w:rPr>
      <w:rFonts w:eastAsia="宋体" w:asciiTheme="minorHAnsi" w:hAnsiTheme="minorHAnsi" w:cstheme="minorBidi"/>
      <w:b/>
      <w:bCs/>
      <w:kern w:val="2"/>
      <w:sz w:val="24"/>
      <w:szCs w:val="28"/>
      <w:lang w:val="en-US" w:eastAsia="zh-CN" w:bidi="ar-SA"/>
    </w:rPr>
  </w:style>
  <w:style w:type="paragraph" w:styleId="8">
    <w:name w:val="heading 6"/>
    <w:next w:val="1"/>
    <w:link w:val="21"/>
    <w:qFormat/>
    <w:uiPriority w:val="9"/>
    <w:pPr>
      <w:keepNext/>
      <w:keepLines/>
      <w:numPr>
        <w:ilvl w:val="5"/>
        <w:numId w:val="1"/>
      </w:numPr>
      <w:adjustRightInd w:val="0"/>
      <w:snapToGrid w:val="0"/>
      <w:spacing w:line="360" w:lineRule="auto"/>
      <w:jc w:val="both"/>
      <w:outlineLvl w:val="5"/>
    </w:pPr>
    <w:rPr>
      <w:rFonts w:ascii="等线 Light" w:hAnsi="等线 Light" w:eastAsia="宋体" w:cs="Times New Roman"/>
      <w:b/>
      <w:bCs/>
      <w:kern w:val="2"/>
      <w:sz w:val="24"/>
      <w:szCs w:val="24"/>
      <w:lang w:val="en-US" w:eastAsia="zh-CN" w:bidi="ar-SA"/>
    </w:rPr>
  </w:style>
  <w:style w:type="paragraph" w:styleId="9">
    <w:name w:val="heading 7"/>
    <w:next w:val="1"/>
    <w:link w:val="22"/>
    <w:qFormat/>
    <w:uiPriority w:val="9"/>
    <w:pPr>
      <w:keepNext/>
      <w:keepLines/>
      <w:numPr>
        <w:ilvl w:val="6"/>
        <w:numId w:val="1"/>
      </w:numPr>
      <w:spacing w:line="360" w:lineRule="auto"/>
      <w:outlineLvl w:val="6"/>
    </w:pPr>
    <w:rPr>
      <w:rFonts w:ascii="等线" w:hAnsi="等线" w:eastAsia="宋体" w:cs="Times New Roman"/>
      <w:b/>
      <w:bCs/>
      <w:kern w:val="2"/>
      <w:sz w:val="24"/>
      <w:szCs w:val="24"/>
      <w:lang w:val="en-US" w:eastAsia="zh-CN" w:bidi="ar-SA"/>
    </w:rPr>
  </w:style>
  <w:style w:type="paragraph" w:styleId="10">
    <w:name w:val="heading 8"/>
    <w:next w:val="1"/>
    <w:link w:val="23"/>
    <w:qFormat/>
    <w:uiPriority w:val="9"/>
    <w:pPr>
      <w:keepNext/>
      <w:keepLines/>
      <w:numPr>
        <w:ilvl w:val="7"/>
        <w:numId w:val="1"/>
      </w:numPr>
      <w:spacing w:line="360" w:lineRule="auto"/>
      <w:outlineLvl w:val="7"/>
    </w:pPr>
    <w:rPr>
      <w:rFonts w:ascii="等线 Light" w:hAnsi="等线 Light" w:eastAsia="宋体" w:cs="Times New Roman"/>
      <w:b/>
      <w:kern w:val="2"/>
      <w:sz w:val="24"/>
      <w:szCs w:val="24"/>
      <w:lang w:val="en-US" w:eastAsia="zh-CN" w:bidi="ar-SA"/>
    </w:rPr>
  </w:style>
  <w:style w:type="paragraph" w:styleId="11">
    <w:name w:val="heading 9"/>
    <w:next w:val="1"/>
    <w:link w:val="24"/>
    <w:qFormat/>
    <w:uiPriority w:val="0"/>
    <w:pPr>
      <w:keepNext/>
      <w:keepLines/>
      <w:numPr>
        <w:ilvl w:val="8"/>
        <w:numId w:val="1"/>
      </w:numPr>
      <w:spacing w:line="360" w:lineRule="auto"/>
      <w:outlineLvl w:val="8"/>
    </w:pPr>
    <w:rPr>
      <w:rFonts w:ascii="等线 Light" w:hAnsi="等线 Light" w:eastAsia="宋体" w:cs="Times New Roman"/>
      <w:b/>
      <w:kern w:val="2"/>
      <w:sz w:val="24"/>
      <w:szCs w:val="21"/>
      <w:lang w:val="en-US" w:eastAsia="zh-CN" w:bidi="ar-SA"/>
    </w:rPr>
  </w:style>
  <w:style w:type="character" w:default="1" w:styleId="15">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2">
    <w:name w:val="toc 2"/>
    <w:basedOn w:val="1"/>
    <w:next w:val="1"/>
    <w:autoRedefine/>
    <w:semiHidden/>
    <w:unhideWhenUsed/>
    <w:uiPriority w:val="39"/>
    <w:pPr>
      <w:ind w:left="420" w:leftChars="200"/>
    </w:pPr>
  </w:style>
  <w:style w:type="paragraph" w:styleId="12">
    <w:name w:val="footer"/>
    <w:basedOn w:val="1"/>
    <w:link w:val="30"/>
    <w:unhideWhenUsed/>
    <w:uiPriority w:val="99"/>
    <w:pPr>
      <w:tabs>
        <w:tab w:val="center" w:pos="4153"/>
        <w:tab w:val="right" w:pos="8306"/>
      </w:tabs>
      <w:adjustRightInd/>
      <w:snapToGrid w:val="0"/>
      <w:spacing w:line="240" w:lineRule="auto"/>
      <w:jc w:val="left"/>
      <w:textAlignment w:val="auto"/>
    </w:pPr>
    <w:rPr>
      <w:kern w:val="2"/>
      <w:sz w:val="18"/>
      <w:szCs w:val="18"/>
    </w:rPr>
  </w:style>
  <w:style w:type="paragraph" w:styleId="13">
    <w:name w:val="header"/>
    <w:basedOn w:val="1"/>
    <w:link w:val="29"/>
    <w:unhideWhenUsed/>
    <w:uiPriority w:val="99"/>
    <w:pPr>
      <w:pBdr>
        <w:bottom w:val="single" w:color="auto" w:sz="6" w:space="1"/>
      </w:pBdr>
      <w:tabs>
        <w:tab w:val="center" w:pos="4153"/>
        <w:tab w:val="right" w:pos="8306"/>
      </w:tabs>
      <w:adjustRightInd/>
      <w:snapToGrid w:val="0"/>
      <w:spacing w:line="240" w:lineRule="auto"/>
      <w:jc w:val="center"/>
      <w:textAlignment w:val="auto"/>
    </w:pPr>
    <w:rPr>
      <w:kern w:val="2"/>
      <w:sz w:val="18"/>
      <w:szCs w:val="18"/>
    </w:rPr>
  </w:style>
  <w:style w:type="character" w:customStyle="1" w:styleId="16">
    <w:name w:val="标题 1 Char"/>
    <w:link w:val="3"/>
    <w:uiPriority w:val="9"/>
    <w:rPr>
      <w:rFonts w:ascii="等线" w:hAnsi="等线" w:eastAsia="宋体" w:cs="Times New Roman"/>
      <w:b/>
      <w:bCs/>
      <w:kern w:val="44"/>
      <w:sz w:val="32"/>
      <w:szCs w:val="44"/>
    </w:rPr>
  </w:style>
  <w:style w:type="character" w:customStyle="1" w:styleId="17">
    <w:name w:val="标题 2 Char"/>
    <w:link w:val="4"/>
    <w:uiPriority w:val="9"/>
    <w:rPr>
      <w:rFonts w:ascii="等线 Light" w:hAnsi="等线 Light" w:eastAsia="宋体" w:cs="Times New Roman"/>
      <w:b/>
      <w:bCs/>
      <w:sz w:val="30"/>
      <w:szCs w:val="32"/>
    </w:rPr>
  </w:style>
  <w:style w:type="character" w:customStyle="1" w:styleId="18">
    <w:name w:val="标题 3 Char"/>
    <w:link w:val="5"/>
    <w:uiPriority w:val="9"/>
    <w:rPr>
      <w:rFonts w:ascii="等线" w:hAnsi="等线" w:eastAsia="宋体" w:cs="Times New Roman"/>
      <w:b/>
      <w:bCs/>
      <w:sz w:val="28"/>
      <w:szCs w:val="32"/>
    </w:rPr>
  </w:style>
  <w:style w:type="character" w:customStyle="1" w:styleId="19">
    <w:name w:val="标题 4 Char"/>
    <w:link w:val="6"/>
    <w:qFormat/>
    <w:uiPriority w:val="9"/>
    <w:rPr>
      <w:rFonts w:ascii="等线 Light" w:hAnsi="等线 Light" w:eastAsia="宋体" w:cs="Times New Roman"/>
      <w:b/>
      <w:bCs/>
      <w:sz w:val="24"/>
      <w:szCs w:val="28"/>
    </w:rPr>
  </w:style>
  <w:style w:type="character" w:customStyle="1" w:styleId="20">
    <w:name w:val="标题 5 Char"/>
    <w:basedOn w:val="15"/>
    <w:link w:val="7"/>
    <w:uiPriority w:val="9"/>
    <w:rPr>
      <w:rFonts w:eastAsia="宋体"/>
      <w:b/>
      <w:bCs/>
      <w:sz w:val="24"/>
      <w:szCs w:val="28"/>
    </w:rPr>
  </w:style>
  <w:style w:type="character" w:customStyle="1" w:styleId="21">
    <w:name w:val="标题 6 Char"/>
    <w:link w:val="8"/>
    <w:uiPriority w:val="9"/>
    <w:rPr>
      <w:rFonts w:ascii="等线 Light" w:hAnsi="等线 Light" w:eastAsia="宋体" w:cs="Times New Roman"/>
      <w:b/>
      <w:bCs/>
      <w:sz w:val="24"/>
      <w:szCs w:val="24"/>
    </w:rPr>
  </w:style>
  <w:style w:type="character" w:customStyle="1" w:styleId="22">
    <w:name w:val="标题 7 Char"/>
    <w:link w:val="9"/>
    <w:uiPriority w:val="9"/>
    <w:rPr>
      <w:rFonts w:ascii="等线" w:hAnsi="等线" w:eastAsia="宋体" w:cs="Times New Roman"/>
      <w:b/>
      <w:bCs/>
      <w:sz w:val="24"/>
      <w:szCs w:val="24"/>
    </w:rPr>
  </w:style>
  <w:style w:type="character" w:customStyle="1" w:styleId="23">
    <w:name w:val="标题 8 Char"/>
    <w:link w:val="10"/>
    <w:uiPriority w:val="9"/>
    <w:rPr>
      <w:rFonts w:ascii="等线 Light" w:hAnsi="等线 Light" w:eastAsia="宋体" w:cs="Times New Roman"/>
      <w:b/>
      <w:sz w:val="24"/>
      <w:szCs w:val="24"/>
    </w:rPr>
  </w:style>
  <w:style w:type="character" w:customStyle="1" w:styleId="24">
    <w:name w:val="标题 9 Char"/>
    <w:link w:val="11"/>
    <w:uiPriority w:val="0"/>
    <w:rPr>
      <w:rFonts w:ascii="等线 Light" w:hAnsi="等线 Light" w:eastAsia="宋体" w:cs="Times New Roman"/>
      <w:b/>
      <w:sz w:val="24"/>
      <w:szCs w:val="21"/>
    </w:rPr>
  </w:style>
  <w:style w:type="paragraph" w:customStyle="1" w:styleId="25">
    <w:name w:val="DG表格"/>
    <w:next w:val="1"/>
    <w:link w:val="26"/>
    <w:qFormat/>
    <w:uiPriority w:val="9"/>
    <w:pPr>
      <w:jc w:val="center"/>
    </w:pPr>
    <w:rPr>
      <w:rFonts w:ascii="宋体" w:hAnsi="宋体" w:eastAsia="宋体" w:cs="Times New Roman"/>
      <w:kern w:val="2"/>
      <w:sz w:val="21"/>
      <w:szCs w:val="21"/>
      <w:lang w:val="en-US" w:eastAsia="zh-CN" w:bidi="ar-SA"/>
    </w:rPr>
  </w:style>
  <w:style w:type="character" w:customStyle="1" w:styleId="26">
    <w:name w:val="DG表格 字符"/>
    <w:link w:val="25"/>
    <w:qFormat/>
    <w:uiPriority w:val="9"/>
    <w:rPr>
      <w:rFonts w:ascii="宋体" w:hAnsi="宋体" w:eastAsia="宋体" w:cs="Times New Roman"/>
      <w:szCs w:val="21"/>
    </w:rPr>
  </w:style>
  <w:style w:type="paragraph" w:customStyle="1" w:styleId="27">
    <w:name w:val="DG图片"/>
    <w:link w:val="28"/>
    <w:qFormat/>
    <w:uiPriority w:val="10"/>
    <w:pPr>
      <w:spacing w:line="360" w:lineRule="auto"/>
      <w:jc w:val="center"/>
    </w:pPr>
    <w:rPr>
      <w:rFonts w:ascii="等线" w:hAnsi="等线" w:eastAsia="宋体" w:cs="Times New Roman"/>
      <w:kern w:val="2"/>
      <w:sz w:val="24"/>
      <w:szCs w:val="21"/>
      <w:lang w:val="en-US" w:eastAsia="zh-CN" w:bidi="ar-SA"/>
    </w:rPr>
  </w:style>
  <w:style w:type="character" w:customStyle="1" w:styleId="28">
    <w:name w:val="DG图片 字符"/>
    <w:link w:val="27"/>
    <w:qFormat/>
    <w:uiPriority w:val="10"/>
    <w:rPr>
      <w:rFonts w:ascii="等线" w:hAnsi="等线" w:eastAsia="宋体" w:cs="Times New Roman"/>
      <w:sz w:val="24"/>
      <w:szCs w:val="21"/>
    </w:rPr>
  </w:style>
  <w:style w:type="character" w:customStyle="1" w:styleId="29">
    <w:name w:val="页眉 Char"/>
    <w:basedOn w:val="15"/>
    <w:link w:val="13"/>
    <w:uiPriority w:val="99"/>
    <w:rPr>
      <w:rFonts w:ascii="Times New Roman" w:hAnsi="Times New Roman" w:eastAsia="宋体" w:cs="Times New Roman"/>
      <w:sz w:val="18"/>
      <w:szCs w:val="18"/>
    </w:rPr>
  </w:style>
  <w:style w:type="character" w:customStyle="1" w:styleId="30">
    <w:name w:val="页脚 Char"/>
    <w:basedOn w:val="15"/>
    <w:link w:val="12"/>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jm_bosi</Company>
  <Pages>4</Pages>
  <Words>2430</Words>
  <Characters>2548</Characters>
  <Lines>18</Lines>
  <Paragraphs>5</Paragraphs>
  <TotalTime>1</TotalTime>
  <ScaleCrop>false</ScaleCrop>
  <LinksUpToDate>false</LinksUpToDate>
  <CharactersWithSpaces>2553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2023-12-11T07:55:00Z</dcterms:created>
  <dc:creator>王锦武</dc:creator>
  <cp:lastModifiedBy>曾可 </cp:lastModifiedBy>
  <dcterms:modified xsi:type="dcterms:W3CDTF">2026-03-25T07:42:17Z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eyJoZGlkIjoiODNlM2RmOWU3ODQ3NDlhYzViMWQ0NDY4YzZlNTc0YzYiLCJ1c2VySWQiOiIzNDE0MTM4MzYifQ==</vt:lpwstr>
  </property>
  <property fmtid="{D5CDD505-2E9C-101B-9397-08002B2CF9AE}" pid="3" name="KSOProductBuildVer">
    <vt:lpwstr>2052-12.1.0.25225</vt:lpwstr>
  </property>
  <property fmtid="{D5CDD505-2E9C-101B-9397-08002B2CF9AE}" pid="4" name="ICV">
    <vt:lpwstr>E8E53038D1DE40F9B2F484455C180509_12</vt:lpwstr>
  </property>
</Properties>
</file>