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eastAsia" w:ascii="方正黑体_GBK" w:hAnsi="方正黑体_GBK" w:eastAsia="方正黑体_GBK" w:cs="方正黑体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江门市2025年第二季度省级促进外贸稳量提质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专项资金（口岸经营龙头企业稳外贸项目）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分配</w:t>
      </w:r>
      <w:r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计划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450"/>
        <w:gridCol w:w="2833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拟支持金额（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江门高新港务发展有限公司</w:t>
            </w:r>
          </w:p>
        </w:tc>
        <w:tc>
          <w:tcPr>
            <w:tcW w:w="2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黑体_GBK" w:hAnsi="方正黑体_GBK" w:eastAsia="方正黑体_GBK" w:cs="方正黑体_GBK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3FFED7F"/>
    <w:rsid w:val="4A1947CF"/>
    <w:rsid w:val="4D943191"/>
    <w:rsid w:val="5FFFED87"/>
    <w:rsid w:val="74F90743"/>
    <w:rsid w:val="ABFD2CFB"/>
    <w:rsid w:val="B3FFF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greatwall</cp:lastModifiedBy>
  <dcterms:modified xsi:type="dcterms:W3CDTF">2026-03-24T17:19:32Z</dcterms:modified>
  <dc:title>江门市商务局关于江门市2025年第二季度省级促进外贸稳量提质专项资金（口岸经营龙头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9598A18ECE8EF241404DC26916C4FC6E_43</vt:lpwstr>
  </property>
</Properties>
</file>