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EBAB6">
      <w:pPr>
        <w:widowControl/>
        <w:shd w:val="clear" w:color="auto" w:fill="FFFFFF"/>
        <w:spacing w:line="560" w:lineRule="exact"/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</w:rPr>
        <w:t>附表</w:t>
      </w:r>
      <w:r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  <w:lang w:val="en-US" w:eastAsia="zh-CN"/>
        </w:rPr>
        <w:t>2</w:t>
      </w:r>
    </w:p>
    <w:p w14:paraId="0BA26968">
      <w:pPr>
        <w:spacing w:line="580" w:lineRule="exact"/>
        <w:ind w:left="34" w:leftChars="16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江门市生态环境局202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sz w:val="36"/>
          <w:szCs w:val="36"/>
        </w:rPr>
        <w:t>年-202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7</w:t>
      </w:r>
      <w:r>
        <w:rPr>
          <w:rFonts w:hint="eastAsia" w:ascii="方正小标宋简体" w:eastAsia="方正小标宋简体"/>
          <w:sz w:val="36"/>
          <w:szCs w:val="36"/>
        </w:rPr>
        <w:t>年公务用车租赁服务</w:t>
      </w:r>
    </w:p>
    <w:p w14:paraId="341BFEF5">
      <w:pPr>
        <w:spacing w:line="580" w:lineRule="exact"/>
        <w:ind w:left="34" w:leftChars="16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采购项目综合评分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标准</w:t>
      </w:r>
    </w:p>
    <w:p w14:paraId="2FE17406">
      <w:pPr>
        <w:spacing w:line="580" w:lineRule="exact"/>
        <w:ind w:left="34" w:leftChars="16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2"/>
        <w:tblW w:w="10026" w:type="dxa"/>
        <w:jc w:val="center"/>
        <w:tblLayout w:type="autofit"/>
        <w:tblCellMar>
          <w:top w:w="0" w:type="dxa"/>
          <w:left w:w="108" w:type="dxa"/>
          <w:bottom w:w="67" w:type="dxa"/>
          <w:right w:w="0" w:type="dxa"/>
        </w:tblCellMar>
      </w:tblPr>
      <w:tblGrid>
        <w:gridCol w:w="655"/>
        <w:gridCol w:w="1763"/>
        <w:gridCol w:w="6495"/>
        <w:gridCol w:w="1113"/>
      </w:tblGrid>
      <w:tr w14:paraId="18C271DF">
        <w:tblPrEx>
          <w:tblCellMar>
            <w:top w:w="0" w:type="dxa"/>
            <w:left w:w="108" w:type="dxa"/>
            <w:bottom w:w="67" w:type="dxa"/>
            <w:right w:w="0" w:type="dxa"/>
          </w:tblCellMar>
        </w:tblPrEx>
        <w:trPr>
          <w:trHeight w:val="122" w:hRule="atLeast"/>
          <w:tblHeader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4772C">
            <w:pPr>
              <w:widowControl/>
              <w:spacing w:line="400" w:lineRule="exact"/>
              <w:ind w:right="109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序号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8935B">
            <w:pPr>
              <w:widowControl/>
              <w:spacing w:line="400" w:lineRule="exact"/>
              <w:ind w:right="109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评价项目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59819">
            <w:pPr>
              <w:widowControl/>
              <w:spacing w:line="400" w:lineRule="exact"/>
              <w:ind w:right="107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评价标准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7ADE2">
            <w:pPr>
              <w:widowControl/>
              <w:spacing w:line="40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单项分数（分）</w:t>
            </w:r>
          </w:p>
        </w:tc>
      </w:tr>
      <w:tr w14:paraId="3401D93F">
        <w:tblPrEx>
          <w:tblCellMar>
            <w:top w:w="0" w:type="dxa"/>
            <w:left w:w="108" w:type="dxa"/>
            <w:bottom w:w="67" w:type="dxa"/>
            <w:right w:w="0" w:type="dxa"/>
          </w:tblCellMar>
        </w:tblPrEx>
        <w:trPr>
          <w:trHeight w:val="3102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D7893">
            <w:pPr>
              <w:widowControl/>
              <w:spacing w:line="360" w:lineRule="exact"/>
              <w:ind w:right="108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1B3D0">
            <w:pPr>
              <w:widowControl/>
              <w:spacing w:line="360" w:lineRule="exact"/>
              <w:ind w:right="108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经营业绩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DAC93">
            <w:pPr>
              <w:widowControl/>
              <w:spacing w:line="360" w:lineRule="exact"/>
              <w:ind w:right="108" w:firstLine="470" w:firstLineChars="196"/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22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年以来服务商承担过机关、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  <w:t>企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事业单位租车服务工作的，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  <w:t>每提供一份有效合同得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5分，本项最高20分。</w:t>
            </w:r>
          </w:p>
          <w:p w14:paraId="17CC74B9">
            <w:pPr>
              <w:widowControl/>
              <w:spacing w:line="360" w:lineRule="exact"/>
              <w:ind w:right="108" w:firstLine="470" w:firstLineChars="196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服务商须附业绩合同关键页复印件或中标通知书复印件，不提供相关证明不得分。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9D958">
            <w:pPr>
              <w:widowControl/>
              <w:spacing w:line="360" w:lineRule="exact"/>
              <w:ind w:right="110"/>
              <w:jc w:val="center"/>
              <w:rPr>
                <w:rFonts w:hint="default" w:eastAsia="仿宋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sz w:val="24"/>
                <w:lang w:val="en-US" w:eastAsia="zh-CN"/>
              </w:rPr>
              <w:t>20</w:t>
            </w:r>
          </w:p>
        </w:tc>
      </w:tr>
      <w:tr w14:paraId="1467F4A2">
        <w:tblPrEx>
          <w:tblCellMar>
            <w:top w:w="0" w:type="dxa"/>
            <w:left w:w="108" w:type="dxa"/>
            <w:bottom w:w="67" w:type="dxa"/>
            <w:right w:w="0" w:type="dxa"/>
          </w:tblCellMar>
        </w:tblPrEx>
        <w:trPr>
          <w:trHeight w:val="1992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19CE7">
            <w:pPr>
              <w:widowControl/>
              <w:spacing w:line="360" w:lineRule="exact"/>
              <w:ind w:right="108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D54E4">
            <w:pPr>
              <w:widowControl/>
              <w:spacing w:line="360" w:lineRule="exact"/>
              <w:ind w:right="108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车况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767FE">
            <w:pPr>
              <w:widowControl/>
              <w:spacing w:line="360" w:lineRule="exact"/>
              <w:ind w:right="108" w:firstLine="470" w:firstLineChars="196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1、服务商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  <w:t>提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供本项目使用的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50%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  <w:t>数量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车辆使用时间在5年以内（含5年）且年检合格的，得10分；</w:t>
            </w:r>
          </w:p>
          <w:p w14:paraId="0764CB84">
            <w:pPr>
              <w:widowControl/>
              <w:spacing w:line="360" w:lineRule="exact"/>
              <w:ind w:right="108" w:firstLine="470" w:firstLineChars="196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2、服务商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  <w:t>提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供本项目使用的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50%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  <w:t>数量车辆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使用时间在10年以内（含10年）且年检合格的，得5分；</w:t>
            </w:r>
          </w:p>
          <w:p w14:paraId="1B479B8A">
            <w:pPr>
              <w:widowControl/>
              <w:spacing w:line="360" w:lineRule="exact"/>
              <w:ind w:right="108" w:firstLine="470" w:firstLineChars="196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服务商须附相关证明资料，不提供相关证明不得分。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3B3A8">
            <w:pPr>
              <w:widowControl/>
              <w:spacing w:line="360" w:lineRule="exact"/>
              <w:ind w:right="110"/>
              <w:jc w:val="center"/>
              <w:rPr>
                <w:rFonts w:hint="eastAsia" w:eastAsia="仿宋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</w:rPr>
              <w:t>10</w:t>
            </w:r>
          </w:p>
        </w:tc>
      </w:tr>
      <w:tr w14:paraId="1B27CE83">
        <w:tblPrEx>
          <w:tblCellMar>
            <w:top w:w="0" w:type="dxa"/>
            <w:left w:w="108" w:type="dxa"/>
            <w:bottom w:w="67" w:type="dxa"/>
            <w:right w:w="0" w:type="dxa"/>
          </w:tblCellMar>
        </w:tblPrEx>
        <w:trPr>
          <w:trHeight w:val="3837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ED250">
            <w:pPr>
              <w:widowControl/>
              <w:spacing w:line="360" w:lineRule="exact"/>
              <w:ind w:right="108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41955">
            <w:pPr>
              <w:widowControl/>
              <w:spacing w:line="360" w:lineRule="exact"/>
              <w:ind w:right="108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车型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F6498">
            <w:pPr>
              <w:widowControl/>
              <w:spacing w:line="360" w:lineRule="exact"/>
              <w:ind w:right="108" w:firstLine="480" w:firstLineChars="200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可供租赁的车辆包含小轿车、商务车、中型普通客车和大型客车四种车型，且车辆数量不少于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辆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其中小轿车不少于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辆、商务车不少于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辆，得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5分；</w:t>
            </w:r>
          </w:p>
          <w:p w14:paraId="27F1EFA0">
            <w:pPr>
              <w:widowControl/>
              <w:spacing w:line="360" w:lineRule="exact"/>
              <w:ind w:right="108" w:firstLine="480" w:firstLineChars="200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2、可供租赁的车辆包含小轿车、商务车、中型普通客车和大型客车四种车型，且车辆数量为不少于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辆的，得1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分；</w:t>
            </w:r>
          </w:p>
          <w:p w14:paraId="3BD13CBB">
            <w:pPr>
              <w:widowControl/>
              <w:spacing w:line="360" w:lineRule="exact"/>
              <w:ind w:right="108" w:firstLine="480" w:firstLineChars="200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3、可供租赁的车辆供包含小轿车、商务车两种车型，且车辆数量不少于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辆的，得5分。</w:t>
            </w:r>
          </w:p>
          <w:p w14:paraId="7B66AC3A">
            <w:pPr>
              <w:widowControl/>
              <w:spacing w:line="360" w:lineRule="exact"/>
              <w:ind w:right="108" w:firstLine="470" w:firstLineChars="196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可供租赁的车辆须为服务商所有，服务商须详细列明可供租赁的车辆信息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包括车辆行驶证复印件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  <w:t>及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车辆图册。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6E332">
            <w:pPr>
              <w:widowControl/>
              <w:spacing w:line="360" w:lineRule="exact"/>
              <w:ind w:right="110"/>
              <w:jc w:val="center"/>
              <w:rPr>
                <w:rFonts w:hint="default" w:eastAsia="仿宋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sz w:val="24"/>
                <w:lang w:val="en-US" w:eastAsia="zh-CN"/>
              </w:rPr>
              <w:t>15</w:t>
            </w:r>
          </w:p>
        </w:tc>
      </w:tr>
      <w:tr w14:paraId="239908E9">
        <w:tblPrEx>
          <w:tblCellMar>
            <w:top w:w="0" w:type="dxa"/>
            <w:left w:w="108" w:type="dxa"/>
            <w:bottom w:w="67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EB208">
            <w:pPr>
              <w:widowControl/>
              <w:spacing w:line="360" w:lineRule="exact"/>
              <w:ind w:right="108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93628">
            <w:pPr>
              <w:widowControl/>
              <w:spacing w:line="360" w:lineRule="exact"/>
              <w:ind w:right="108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  <w:t>价格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33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108" w:firstLine="480" w:firstLineChars="200"/>
              <w:textAlignment w:val="auto"/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价格分应当采用低价优先法计算，即满足采购需求且报价最低的为基准价，该项价格得分为满分。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设小轿车型与商务车型分值各10分，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中型普通客车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  <w:t>型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和大型客车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  <w:t>型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分值各5分。</w:t>
            </w: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其他供应商的价格得分统一按照下列公式计算：供应商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小轿车型与商务车型</w:t>
            </w: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价格得分=(基准价／报价)×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10，</w:t>
            </w: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供应商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中型普通客车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  <w:t>型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和大型客车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  <w:t>型</w:t>
            </w: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价格得分=(基准价／报价)×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，价格得分四舍五入后保留小数点后两位有效数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，小轿车型、商务车型、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中型普通客车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  <w:t>型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和大型客车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  <w:t>型</w:t>
            </w: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价格得分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之和为该项目总得分</w:t>
            </w: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。</w:t>
            </w:r>
          </w:p>
          <w:p w14:paraId="24E49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108" w:firstLine="480" w:firstLineChars="200"/>
              <w:textAlignment w:val="auto"/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（对符合规定的小型和微型企业（监狱企业、残疾人福利单位视同小型、微型企业）报价给予10%的价格扣除。）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32E11">
            <w:pPr>
              <w:widowControl/>
              <w:spacing w:line="360" w:lineRule="exact"/>
              <w:ind w:right="110"/>
              <w:jc w:val="center"/>
              <w:rPr>
                <w:rFonts w:hint="default" w:eastAsia="仿宋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lang w:val="en-US" w:eastAsia="zh-CN"/>
              </w:rPr>
              <w:t>30</w:t>
            </w:r>
          </w:p>
        </w:tc>
      </w:tr>
      <w:tr w14:paraId="1BE9E282">
        <w:tblPrEx>
          <w:tblCellMar>
            <w:top w:w="0" w:type="dxa"/>
            <w:left w:w="108" w:type="dxa"/>
            <w:bottom w:w="67" w:type="dxa"/>
            <w:right w:w="0" w:type="dxa"/>
          </w:tblCellMar>
        </w:tblPrEx>
        <w:trPr>
          <w:trHeight w:val="2262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B22BC">
            <w:pPr>
              <w:widowControl/>
              <w:spacing w:line="360" w:lineRule="exact"/>
              <w:ind w:right="108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73E57">
            <w:pPr>
              <w:widowControl/>
              <w:spacing w:line="360" w:lineRule="exact"/>
              <w:ind w:right="108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车辆保险情况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0059C">
            <w:pPr>
              <w:widowControl/>
              <w:spacing w:line="360" w:lineRule="exact"/>
              <w:ind w:right="108" w:firstLine="470" w:firstLineChars="196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1、车辆购买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  <w:t>机动车交通事故责任强制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险；</w:t>
            </w:r>
          </w:p>
          <w:p w14:paraId="7231D8ED">
            <w:pPr>
              <w:widowControl/>
              <w:spacing w:line="360" w:lineRule="exact"/>
              <w:ind w:right="108" w:firstLine="470" w:firstLineChars="196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2、车辆购买第三者责任保险金额不低于300万（含300万）；</w:t>
            </w:r>
          </w:p>
          <w:p w14:paraId="50D802E4">
            <w:pPr>
              <w:widowControl/>
              <w:spacing w:line="360" w:lineRule="exact"/>
              <w:ind w:right="108" w:firstLine="470" w:firstLineChars="196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3、车辆购买乘客人员意外事故保险金额不低于40万元的；</w:t>
            </w:r>
          </w:p>
          <w:p w14:paraId="53C7DF24">
            <w:pPr>
              <w:widowControl/>
              <w:spacing w:line="360" w:lineRule="exact"/>
              <w:ind w:right="108" w:firstLine="470" w:firstLineChars="196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服务商供本项目使用的车辆符合上述三点条款的，得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15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分；只符合上述其中两点条款的，得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分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只符合上述其中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  <w:t>一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点条款的，得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分。参与服务商应提供相关保险证明资料，不提供相关证明不得分。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27557">
            <w:pPr>
              <w:widowControl/>
              <w:spacing w:line="360" w:lineRule="exact"/>
              <w:ind w:right="110"/>
              <w:jc w:val="center"/>
              <w:rPr>
                <w:rFonts w:hint="default" w:eastAsia="仿宋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sz w:val="24"/>
                <w:lang w:val="en-US" w:eastAsia="zh-CN"/>
              </w:rPr>
              <w:t>15</w:t>
            </w:r>
          </w:p>
        </w:tc>
      </w:tr>
      <w:tr w14:paraId="0DEDBE12">
        <w:tblPrEx>
          <w:tblCellMar>
            <w:top w:w="0" w:type="dxa"/>
            <w:left w:w="108" w:type="dxa"/>
            <w:bottom w:w="67" w:type="dxa"/>
            <w:right w:w="0" w:type="dxa"/>
          </w:tblCellMar>
        </w:tblPrEx>
        <w:trPr>
          <w:trHeight w:val="2022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FB8F5">
            <w:pPr>
              <w:widowControl/>
              <w:spacing w:line="360" w:lineRule="exact"/>
              <w:ind w:right="108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C0C4A">
            <w:pPr>
              <w:widowControl/>
              <w:spacing w:line="360" w:lineRule="exact"/>
              <w:ind w:right="108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驾驶人员情况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EDC6D">
            <w:pPr>
              <w:widowControl/>
              <w:spacing w:line="360" w:lineRule="exact"/>
              <w:ind w:right="108" w:firstLine="470" w:firstLineChars="196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驾驶人员必须具有驾驶车辆相应的驾照和5年及以上驾驶经历，在3年内未发生严重交通事故，也未被公安交管部门处以刑事拘留及以上处罚。</w:t>
            </w:r>
          </w:p>
          <w:p w14:paraId="26F2D78F">
            <w:pPr>
              <w:widowControl/>
              <w:spacing w:line="360" w:lineRule="exact"/>
              <w:ind w:right="108" w:firstLine="470" w:firstLineChars="196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服务商提供符合上述要求的随车驾驶人员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人以上(含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人)，得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分；随车驾驶人员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人以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  <w:t>下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，得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分；服务商提供的随车驾驶人员不符合上述要求的，不得分。</w:t>
            </w:r>
          </w:p>
          <w:p w14:paraId="5FC2A571">
            <w:pPr>
              <w:widowControl/>
              <w:spacing w:line="360" w:lineRule="exact"/>
              <w:ind w:right="108" w:firstLine="470" w:firstLineChars="196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参与服务商应提供驾驶员资格证书并加盖公章。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894AF">
            <w:pPr>
              <w:widowControl/>
              <w:spacing w:line="360" w:lineRule="exact"/>
              <w:ind w:right="110"/>
              <w:jc w:val="center"/>
              <w:rPr>
                <w:rFonts w:hint="default" w:eastAsia="仿宋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lang w:val="en-US" w:eastAsia="zh-CN"/>
              </w:rPr>
              <w:t>10</w:t>
            </w:r>
          </w:p>
        </w:tc>
      </w:tr>
      <w:tr w14:paraId="070802FF">
        <w:tblPrEx>
          <w:tblCellMar>
            <w:top w:w="0" w:type="dxa"/>
            <w:left w:w="108" w:type="dxa"/>
            <w:bottom w:w="67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52648">
            <w:pPr>
              <w:widowControl/>
              <w:spacing w:line="360" w:lineRule="exact"/>
              <w:ind w:right="108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8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E34D1">
            <w:pPr>
              <w:widowControl/>
              <w:spacing w:line="360" w:lineRule="exact"/>
              <w:ind w:right="108" w:firstLine="472" w:firstLineChars="196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ascii="仿宋_GB2312" w:hAnsi="Helvetica" w:eastAsia="仿宋_GB2312" w:cs="Helvetica"/>
                <w:b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FE679">
            <w:pPr>
              <w:widowControl/>
              <w:spacing w:line="360" w:lineRule="exact"/>
              <w:ind w:right="110"/>
              <w:jc w:val="center"/>
              <w:rPr>
                <w:rFonts w:hint="eastAsia" w:eastAsia="仿宋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</w:rPr>
              <w:t>100</w:t>
            </w:r>
          </w:p>
        </w:tc>
      </w:tr>
    </w:tbl>
    <w:p w14:paraId="7E69197A">
      <w:pPr>
        <w:widowControl/>
        <w:shd w:val="clear" w:color="auto" w:fill="FFFFFF"/>
        <w:spacing w:line="560" w:lineRule="exact"/>
        <w:jc w:val="left"/>
        <w:rPr>
          <w:rFonts w:ascii="仿宋_GB2312" w:hAnsi="Helvetica" w:eastAsia="仿宋_GB2312" w:cs="Helvetica"/>
          <w:color w:val="000000"/>
          <w:kern w:val="0"/>
          <w:sz w:val="32"/>
          <w:szCs w:val="32"/>
        </w:rPr>
      </w:pPr>
    </w:p>
    <w:p w14:paraId="6A458E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500E81"/>
    <w:rsid w:val="4C500E81"/>
    <w:rsid w:val="5B57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2026-03-11T00:50:00Z</dcterms:created>
  <dc:creator>李耀明</dc:creator>
  <cp:lastModifiedBy>李耀明</cp:lastModifiedBy>
  <dcterms:modified xsi:type="dcterms:W3CDTF">2026-03-11T00:51:34Z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4C4F214342334BBD855F3D5385049310_11</vt:lpwstr>
  </property>
  <property fmtid="{D5CDD505-2E9C-101B-9397-08002B2CF9AE}" pid="4" name="KSOTemplateDocerSaveRecord">
    <vt:lpwstr>eyJoZGlkIjoiMDM3NGU3YmU1ODYyYjdmN2E3ZWRhMmM0MjY3M2IwZTIiLCJ1c2VySWQiOiIzNDIwMDI0OTEifQ==</vt:lpwstr>
  </property>
</Properties>
</file>