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b/>
          <w:bCs/>
          <w:color w:val="000000"/>
          <w:sz w:val="36"/>
          <w:szCs w:val="36"/>
          <w:lang w:val="en-US" w:eastAsia="zh-CN"/>
        </w:rPr>
      </w:pPr>
      <w:r>
        <w:rPr>
          <w:rFonts w:hint="eastAsia" w:ascii="仿宋_GB2312" w:hAnsi="仿宋_GB2312" w:eastAsia="仿宋_GB2312" w:cs="仿宋_GB2312"/>
          <w:b/>
          <w:bCs/>
          <w:color w:val="000000"/>
          <w:sz w:val="36"/>
          <w:szCs w:val="36"/>
          <w:lang w:val="en-US" w:eastAsia="zh-CN"/>
        </w:rPr>
        <w:t>关于修编《江门港港口章程》反馈意见及处理情况汇总表</w:t>
      </w:r>
    </w:p>
    <w:tbl>
      <w:tblPr>
        <w:tblStyle w:val="7"/>
        <w:tblW w:w="15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23"/>
        <w:gridCol w:w="1187"/>
        <w:gridCol w:w="606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1" w:type="dxa"/>
            <w:noWrap w:val="0"/>
            <w:tcMar>
              <w:top w:w="0" w:type="dxa"/>
              <w:left w:w="108" w:type="dxa"/>
              <w:bottom w:w="0" w:type="dxa"/>
              <w:right w:w="108" w:type="dxa"/>
            </w:tcMar>
            <w:vAlign w:val="center"/>
          </w:tcPr>
          <w:p>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1923" w:type="dxa"/>
            <w:noWrap w:val="0"/>
            <w:tcMar>
              <w:top w:w="0" w:type="dxa"/>
              <w:left w:w="108" w:type="dxa"/>
              <w:bottom w:w="0" w:type="dxa"/>
              <w:right w:w="108" w:type="dxa"/>
            </w:tcMar>
            <w:vAlign w:val="center"/>
          </w:tcPr>
          <w:p>
            <w:pPr>
              <w:spacing w:line="240" w:lineRule="auto"/>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反馈者联系方式</w:t>
            </w:r>
          </w:p>
        </w:tc>
        <w:tc>
          <w:tcPr>
            <w:tcW w:w="1187" w:type="dxa"/>
            <w:noWrap w:val="0"/>
            <w:tcMar>
              <w:top w:w="0" w:type="dxa"/>
              <w:left w:w="108" w:type="dxa"/>
              <w:bottom w:w="0" w:type="dxa"/>
              <w:right w:w="108" w:type="dxa"/>
            </w:tcMar>
            <w:vAlign w:val="center"/>
          </w:tcPr>
          <w:p>
            <w:pPr>
              <w:spacing w:line="240" w:lineRule="auto"/>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反馈渠道</w:t>
            </w:r>
          </w:p>
        </w:tc>
        <w:tc>
          <w:tcPr>
            <w:tcW w:w="6063" w:type="dxa"/>
            <w:noWrap w:val="0"/>
            <w:tcMar>
              <w:top w:w="0" w:type="dxa"/>
              <w:left w:w="108" w:type="dxa"/>
              <w:bottom w:w="0" w:type="dxa"/>
              <w:right w:w="108" w:type="dxa"/>
            </w:tcMar>
            <w:vAlign w:val="center"/>
          </w:tcPr>
          <w:p>
            <w:pPr>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主要</w:t>
            </w:r>
            <w:r>
              <w:rPr>
                <w:rFonts w:hint="eastAsia" w:ascii="仿宋" w:hAnsi="仿宋" w:eastAsia="仿宋" w:cs="仿宋"/>
                <w:b/>
                <w:bCs/>
                <w:color w:val="auto"/>
                <w:sz w:val="24"/>
                <w:szCs w:val="24"/>
              </w:rPr>
              <w:t>意见</w:t>
            </w:r>
            <w:r>
              <w:rPr>
                <w:rFonts w:hint="eastAsia" w:ascii="仿宋" w:hAnsi="仿宋" w:eastAsia="仿宋" w:cs="仿宋"/>
                <w:b/>
                <w:bCs/>
                <w:color w:val="auto"/>
                <w:sz w:val="24"/>
                <w:szCs w:val="24"/>
                <w:lang w:val="en-US" w:eastAsia="zh-CN"/>
              </w:rPr>
              <w:t>和</w:t>
            </w:r>
            <w:r>
              <w:rPr>
                <w:rFonts w:hint="eastAsia" w:ascii="仿宋" w:hAnsi="仿宋" w:eastAsia="仿宋" w:cs="仿宋"/>
                <w:b/>
                <w:bCs/>
                <w:color w:val="auto"/>
                <w:sz w:val="24"/>
                <w:szCs w:val="24"/>
              </w:rPr>
              <w:t>建议</w:t>
            </w:r>
          </w:p>
        </w:tc>
        <w:tc>
          <w:tcPr>
            <w:tcW w:w="5812" w:type="dxa"/>
            <w:noWrap w:val="0"/>
            <w:tcMar>
              <w:top w:w="0" w:type="dxa"/>
              <w:left w:w="108" w:type="dxa"/>
              <w:bottom w:w="0" w:type="dxa"/>
              <w:right w:w="108" w:type="dxa"/>
            </w:tcMar>
            <w:vAlign w:val="center"/>
          </w:tcPr>
          <w:p>
            <w:pPr>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shd w:val="clear" w:color="auto" w:fill="auto"/>
            <w:noWrap w:val="0"/>
            <w:tcMar>
              <w:top w:w="0" w:type="dxa"/>
              <w:left w:w="108" w:type="dxa"/>
              <w:bottom w:w="0" w:type="dxa"/>
              <w:right w:w="108" w:type="dxa"/>
            </w:tcMar>
            <w:vAlign w:val="center"/>
          </w:tcPr>
          <w:p>
            <w:pPr>
              <w:spacing w:line="240" w:lineRule="auto"/>
              <w:jc w:val="center"/>
              <w:rPr>
                <w:rFonts w:hint="default"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923" w:type="dxa"/>
            <w:shd w:val="clear" w:color="auto" w:fill="auto"/>
            <w:noWrap w:val="0"/>
            <w:tcMar>
              <w:top w:w="0" w:type="dxa"/>
              <w:left w:w="108" w:type="dxa"/>
              <w:bottom w:w="0" w:type="dxa"/>
              <w:right w:w="108" w:type="dxa"/>
            </w:tcMar>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shd w:val="clear" w:color="auto" w:fill="auto"/>
            <w:noWrap w:val="0"/>
            <w:tcMar>
              <w:top w:w="0" w:type="dxa"/>
              <w:left w:w="108" w:type="dxa"/>
              <w:bottom w:w="0" w:type="dxa"/>
              <w:right w:w="108" w:type="dxa"/>
            </w:tcMar>
            <w:vAlign w:val="center"/>
          </w:tcPr>
          <w:p>
            <w:pPr>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邮箱</w:t>
            </w:r>
          </w:p>
        </w:tc>
        <w:tc>
          <w:tcPr>
            <w:tcW w:w="6063" w:type="dxa"/>
            <w:shd w:val="clear" w:color="auto" w:fill="auto"/>
            <w:noWrap w:val="0"/>
            <w:tcMar>
              <w:top w:w="0" w:type="dxa"/>
              <w:left w:w="108" w:type="dxa"/>
              <w:bottom w:w="0" w:type="dxa"/>
              <w:right w:w="108" w:type="dxa"/>
            </w:tcMar>
            <w:vAlign w:val="center"/>
          </w:tcPr>
          <w:p>
            <w:pPr>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eastAsia="zh-CN"/>
              </w:rPr>
              <w:t>第一章在第一条港口位置后补充“自然条件”一节，介绍江门港地理位置、气候、水文等自然条件。</w:t>
            </w:r>
          </w:p>
        </w:tc>
        <w:tc>
          <w:tcPr>
            <w:tcW w:w="5812" w:type="dxa"/>
            <w:shd w:val="clear" w:color="auto" w:fill="auto"/>
            <w:noWrap w:val="0"/>
            <w:tcMar>
              <w:top w:w="0" w:type="dxa"/>
              <w:left w:w="108" w:type="dxa"/>
              <w:bottom w:w="0" w:type="dxa"/>
              <w:right w:w="108" w:type="dxa"/>
            </w:tcMar>
            <w:vAlign w:val="center"/>
          </w:tcPr>
          <w:p>
            <w:pPr>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采纳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补充“自然条件”章节，内容包括</w:t>
            </w:r>
            <w:r>
              <w:rPr>
                <w:rFonts w:hint="eastAsia" w:ascii="仿宋" w:hAnsi="仿宋" w:eastAsia="仿宋" w:cs="仿宋"/>
                <w:b w:val="0"/>
                <w:bCs w:val="0"/>
                <w:color w:val="auto"/>
                <w:sz w:val="24"/>
                <w:szCs w:val="24"/>
                <w:lang w:eastAsia="zh-CN"/>
              </w:rPr>
              <w:t>江门港地理位置、气候、水文等自然条件。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923" w:type="dxa"/>
            <w:shd w:val="clear" w:color="auto" w:fill="auto"/>
            <w:noWrap w:val="0"/>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shd w:val="clear" w:color="auto" w:fill="auto"/>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邮箱</w:t>
            </w:r>
          </w:p>
        </w:tc>
        <w:tc>
          <w:tcPr>
            <w:tcW w:w="6063" w:type="dxa"/>
            <w:shd w:val="clear" w:color="auto" w:fill="auto"/>
            <w:noWrap w:val="0"/>
            <w:vAlign w:val="center"/>
          </w:tcPr>
          <w:p>
            <w:pPr>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eastAsia="zh-CN"/>
              </w:rPr>
              <w:t>第五章补充港口经营人基本义务有关章节。</w:t>
            </w:r>
          </w:p>
        </w:tc>
        <w:tc>
          <w:tcPr>
            <w:tcW w:w="5812" w:type="dxa"/>
            <w:shd w:val="clear" w:color="auto" w:fill="auto"/>
            <w:noWrap w:val="0"/>
            <w:vAlign w:val="center"/>
          </w:tcPr>
          <w:p>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补充“港口经营人基本义务”条款，内容包括</w:t>
            </w:r>
            <w:r>
              <w:rPr>
                <w:rFonts w:hint="default" w:ascii="仿宋" w:hAnsi="仿宋" w:eastAsia="仿宋" w:cs="仿宋"/>
                <w:color w:val="auto"/>
                <w:sz w:val="24"/>
                <w:szCs w:val="24"/>
                <w:highlight w:val="none"/>
                <w:lang w:val="en-US" w:eastAsia="zh-CN"/>
              </w:rPr>
              <w:t>安全生产的义务</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保护环境的义务</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合法经营与服务的义务</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应急与保障的义务</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信息报送与配合管理的义务</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其他法定义务</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923" w:type="dxa"/>
            <w:shd w:val="clear" w:color="auto" w:fill="auto"/>
            <w:noWrap w:val="0"/>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shd w:val="clear" w:color="auto" w:fill="auto"/>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邮箱</w:t>
            </w:r>
          </w:p>
        </w:tc>
        <w:tc>
          <w:tcPr>
            <w:tcW w:w="6063" w:type="dxa"/>
            <w:shd w:val="clear" w:color="auto" w:fill="auto"/>
            <w:noWrap w:val="0"/>
            <w:vAlign w:val="center"/>
          </w:tcPr>
          <w:p>
            <w:pPr>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eastAsia="zh-CN"/>
              </w:rPr>
              <w:t>第五章第十六条“（一）从事港口经营，应当申请取得港口经营许可。”修改为“（一）在江门港从事港口经营，应当申请取得港口经营许可。”</w:t>
            </w:r>
          </w:p>
        </w:tc>
        <w:tc>
          <w:tcPr>
            <w:tcW w:w="5812" w:type="dxa"/>
            <w:shd w:val="clear" w:color="auto" w:fill="auto"/>
            <w:noWrap w:val="0"/>
            <w:vAlign w:val="center"/>
          </w:tcPr>
          <w:p>
            <w:pPr>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部分采纳。原条款修改为“（一）在江门港从事港口经营，应当向县（市、区）港口经营许可部门申请取得港口经营许可”。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shd w:val="clear" w:color="auto" w:fill="auto"/>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923" w:type="dxa"/>
            <w:shd w:val="clear" w:color="auto" w:fill="auto"/>
            <w:noWrap w:val="0"/>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shd w:val="clear" w:color="auto" w:fill="auto"/>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邮箱</w:t>
            </w:r>
          </w:p>
        </w:tc>
        <w:tc>
          <w:tcPr>
            <w:tcW w:w="6063" w:type="dxa"/>
            <w:shd w:val="clear" w:color="auto" w:fill="auto"/>
            <w:noWrap w:val="0"/>
            <w:vAlign w:val="center"/>
          </w:tcPr>
          <w:p>
            <w:pPr>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eastAsia="zh-CN"/>
              </w:rPr>
              <w:t>第六章第二十七条岸电设施建设与使用和第二十八条船舶污染物排放与接收，内容较过细，并且未突出本港区执行相关规范的有关要求。</w:t>
            </w:r>
          </w:p>
        </w:tc>
        <w:tc>
          <w:tcPr>
            <w:tcW w:w="5812" w:type="dxa"/>
            <w:shd w:val="clear" w:color="auto" w:fill="auto"/>
            <w:noWrap w:val="0"/>
            <w:vAlign w:val="center"/>
          </w:tcPr>
          <w:p>
            <w:pPr>
              <w:jc w:val="left"/>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部分采纳。将在精简章程文本内容的同时，保留法律法规明确的核心要求，突出江门港差异化执行条款，确保章程简洁实用且贴合港口运营实际。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923" w:type="dxa"/>
            <w:noWrap w:val="0"/>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邮箱</w:t>
            </w:r>
          </w:p>
        </w:tc>
        <w:tc>
          <w:tcPr>
            <w:tcW w:w="6063" w:type="dxa"/>
            <w:noWrap w:val="0"/>
            <w:vAlign w:val="center"/>
          </w:tcPr>
          <w:p>
            <w:pPr>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第八章章节名称本章名称“港口安全与保护”修改为“港口安全与环境保护”。本章内容重在环境保护，与第九章环保重在低碳、绿色化新能源的推广有区别。</w:t>
            </w:r>
          </w:p>
        </w:tc>
        <w:tc>
          <w:tcPr>
            <w:tcW w:w="5812" w:type="dxa"/>
            <w:shd w:val="clear" w:color="auto" w:fill="auto"/>
            <w:noWrap w:val="0"/>
            <w:vAlign w:val="center"/>
          </w:tcPr>
          <w:p>
            <w:pPr>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采纳。按建议修改。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923" w:type="dxa"/>
            <w:noWrap w:val="0"/>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邮箱</w:t>
            </w:r>
          </w:p>
        </w:tc>
        <w:tc>
          <w:tcPr>
            <w:tcW w:w="6063" w:type="dxa"/>
            <w:noWrap w:val="0"/>
            <w:vAlign w:val="center"/>
          </w:tcPr>
          <w:p>
            <w:pPr>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第八章第三十六条“根据国际海事组织的《1974年国际海上人命安全公约》（SOLA 公约）海上保安修正案和《国际船舶和港口设施保安规则》（ISPS 规则）以及交通运输部颁布的《港口设施保安规则》的规定，涉外轮进港装卸的港口企业应取得交通运输部核发的《港口设施保安符合证书》。”修改为“根据《中华人民共和国港口设施保安规则》的规定，涉外轮进港装卸的港口企业应取得广东省交通运输厅核发的《港口设施保安符合证书》。”</w:t>
            </w:r>
          </w:p>
        </w:tc>
        <w:tc>
          <w:tcPr>
            <w:tcW w:w="5812" w:type="dxa"/>
            <w:shd w:val="clear" w:color="auto" w:fill="auto"/>
            <w:noWrap w:val="0"/>
            <w:vAlign w:val="center"/>
          </w:tcPr>
          <w:p>
            <w:pPr>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采纳。按建议修改。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923" w:type="dxa"/>
            <w:noWrap w:val="0"/>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邮箱</w:t>
            </w:r>
          </w:p>
        </w:tc>
        <w:tc>
          <w:tcPr>
            <w:tcW w:w="6063" w:type="dxa"/>
            <w:noWrap w:val="0"/>
            <w:vAlign w:val="center"/>
          </w:tcPr>
          <w:p>
            <w:pPr>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第八章第三十六条“进入江门港的国际航线的船舶，必须按照和接受港口（码头）制定的《港口设施保安计划》管理。”此句表述请再商榷。</w:t>
            </w:r>
          </w:p>
        </w:tc>
        <w:tc>
          <w:tcPr>
            <w:tcW w:w="5812" w:type="dxa"/>
            <w:shd w:val="clear" w:color="auto" w:fill="auto"/>
            <w:noWrap w:val="0"/>
            <w:vAlign w:val="center"/>
          </w:tcPr>
          <w:p>
            <w:pPr>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采纳。修改为：</w:t>
            </w:r>
            <w:r>
              <w:rPr>
                <w:rFonts w:hint="eastAsia" w:ascii="仿宋" w:hAnsi="仿宋" w:eastAsia="仿宋" w:cs="仿宋"/>
                <w:color w:val="auto"/>
                <w:sz w:val="24"/>
                <w:szCs w:val="24"/>
              </w:rPr>
              <w:t>进入江门港的国际航线的船舶，必须</w:t>
            </w:r>
            <w:r>
              <w:rPr>
                <w:rFonts w:hint="eastAsia" w:ascii="仿宋" w:hAnsi="仿宋" w:eastAsia="仿宋" w:cs="仿宋"/>
                <w:color w:val="auto"/>
                <w:kern w:val="0"/>
                <w:sz w:val="24"/>
                <w:szCs w:val="24"/>
                <w:lang w:val="en-US" w:eastAsia="zh-CN" w:bidi="ar"/>
              </w:rPr>
              <w:t>遵守并执行港口（码头）制定的《港口设施保安计划》。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923" w:type="dxa"/>
            <w:noWrap w:val="0"/>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邮箱</w:t>
            </w:r>
          </w:p>
        </w:tc>
        <w:tc>
          <w:tcPr>
            <w:tcW w:w="6063" w:type="dxa"/>
            <w:noWrap w:val="0"/>
            <w:vAlign w:val="center"/>
          </w:tcPr>
          <w:p>
            <w:pPr>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第八章第三十六条补充《港口设施保安符合证书》核验要求的内容。</w:t>
            </w:r>
          </w:p>
        </w:tc>
        <w:tc>
          <w:tcPr>
            <w:tcW w:w="5812" w:type="dxa"/>
            <w:noWrap w:val="0"/>
            <w:vAlign w:val="center"/>
          </w:tcPr>
          <w:p>
            <w:pPr>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采纳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补充《港口设施保安符合证书》的核验主体、核验频次及核验标准等内容。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shd w:val="clear" w:color="auto" w:fill="auto"/>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923" w:type="dxa"/>
            <w:shd w:val="clear" w:color="auto" w:fill="auto"/>
            <w:noWrap w:val="0"/>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shd w:val="clear" w:color="auto" w:fill="auto"/>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邮箱</w:t>
            </w:r>
          </w:p>
        </w:tc>
        <w:tc>
          <w:tcPr>
            <w:tcW w:w="6063" w:type="dxa"/>
            <w:shd w:val="clear" w:color="auto" w:fill="auto"/>
            <w:noWrap w:val="0"/>
            <w:vAlign w:val="center"/>
          </w:tcPr>
          <w:p>
            <w:pPr>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第八章第三十七条本节应作为“港口应急处置”独立为一个章节，补充江门港港口应急管理、应急救援等相关内容。</w:t>
            </w:r>
          </w:p>
        </w:tc>
        <w:tc>
          <w:tcPr>
            <w:tcW w:w="5812" w:type="dxa"/>
            <w:shd w:val="clear" w:color="auto" w:fill="auto"/>
            <w:noWrap w:val="0"/>
            <w:vAlign w:val="center"/>
          </w:tcPr>
          <w:p>
            <w:pPr>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不采纳。应急处置属于港口安全管理范畴，纳入现有 “港口安全与环境保护” 章节更具系统性与连贯性，且我局已制定《江门市港口危险货物事故应急预案》《江门市港口预防自然灾害应急预案》《江门市港口突发事件旅客紧急疏散和救援应急预案》，相关应急救援内容已更为全面详实。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923" w:type="dxa"/>
            <w:noWrap w:val="0"/>
            <w:vAlign w:val="center"/>
          </w:tcPr>
          <w:p>
            <w:pPr>
              <w:spacing w:line="24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0750-36****0</w:t>
            </w:r>
          </w:p>
        </w:tc>
        <w:tc>
          <w:tcPr>
            <w:tcW w:w="1187" w:type="dxa"/>
            <w:noWrap w:val="0"/>
            <w:vAlign w:val="center"/>
          </w:tcPr>
          <w:p>
            <w:pPr>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邮箱</w:t>
            </w:r>
          </w:p>
        </w:tc>
        <w:tc>
          <w:tcPr>
            <w:tcW w:w="6063" w:type="dxa"/>
            <w:noWrap w:val="0"/>
            <w:vAlign w:val="center"/>
          </w:tcPr>
          <w:p>
            <w:pPr>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第八章第三十八条“当港池内泥沙淤积致使水深无法满足船舶安全航行与作业需求时，港口经营人应及时组织实施港池疏浚作业。作业前，作业单位需向江门海事局等相关部门提交包含作业时间、区域、设备、环保措施等内容的疏浚作业计划，经批准后方可开展作业。作业过程中，疏浚施工应按设计与方案执行，控制超深超宽，防止回淤，采取合理控制疏浚强度、设置有效的防污帘等措施，防止疏浚产生的泥沙扩散造成水质污染。施工船舶应符合安全要求，遇恶劣条件应停止作业并做好防护。”修改为“当港池内泥沙淤积致使水深无法满足船舶安全航行与作业需求时，港口经营人应及时组织实施港池疏浚作业。港池疏浚的淤泥外抛时必须抛弃到规定的抛泥区（如有明确抛泥区，应注明位置的经纬度，范围、面积等数字）。”</w:t>
            </w:r>
          </w:p>
        </w:tc>
        <w:tc>
          <w:tcPr>
            <w:tcW w:w="5812" w:type="dxa"/>
            <w:noWrap w:val="0"/>
            <w:vAlign w:val="center"/>
          </w:tcPr>
          <w:p>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按建议修改。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shd w:val="clear" w:color="auto" w:fill="auto"/>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923" w:type="dxa"/>
            <w:shd w:val="clear" w:color="auto" w:fill="auto"/>
            <w:noWrap w:val="0"/>
            <w:vAlign w:val="center"/>
          </w:tcPr>
          <w:p>
            <w:pPr>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0750-36****0</w:t>
            </w:r>
          </w:p>
        </w:tc>
        <w:tc>
          <w:tcPr>
            <w:tcW w:w="1187" w:type="dxa"/>
            <w:shd w:val="clear" w:color="auto" w:fill="auto"/>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邮箱</w:t>
            </w:r>
          </w:p>
        </w:tc>
        <w:tc>
          <w:tcPr>
            <w:tcW w:w="6063" w:type="dxa"/>
            <w:shd w:val="clear" w:color="auto" w:fill="auto"/>
            <w:noWrap w:val="0"/>
            <w:vAlign w:val="center"/>
          </w:tcPr>
          <w:p>
            <w:pPr>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附件</w:t>
            </w:r>
            <w:r>
              <w:rPr>
                <w:rFonts w:hint="eastAsia" w:ascii="仿宋" w:hAnsi="仿宋" w:eastAsia="仿宋" w:cs="仿宋"/>
                <w:b w:val="0"/>
                <w:bCs w:val="0"/>
                <w:color w:val="auto"/>
                <w:sz w:val="24"/>
                <w:szCs w:val="24"/>
                <w:lang w:eastAsia="zh-CN"/>
              </w:rPr>
              <w:t>补充港区分布图、规划图等</w:t>
            </w:r>
          </w:p>
        </w:tc>
        <w:tc>
          <w:tcPr>
            <w:tcW w:w="5812" w:type="dxa"/>
            <w:shd w:val="clear" w:color="auto" w:fill="auto"/>
            <w:noWrap w:val="0"/>
            <w:vAlign w:val="center"/>
          </w:tcPr>
          <w:p>
            <w:pPr>
              <w:keepNext w:val="0"/>
              <w:keepLines w:val="0"/>
              <w:widowControl/>
              <w:suppressLineNumbers w:val="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采纳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因港区分布图、规划图等资料涉及港口运营及规划涉密信息，暂不宜对外公开，故无法补充相关内容，敬请理解。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923" w:type="dxa"/>
            <w:noWrap w:val="0"/>
            <w:vAlign w:val="center"/>
          </w:tcPr>
          <w:p>
            <w:pPr>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0750-36****</w:t>
            </w:r>
            <w:bookmarkStart w:id="0" w:name="_GoBack"/>
            <w:bookmarkEnd w:id="0"/>
            <w:r>
              <w:rPr>
                <w:rFonts w:hint="eastAsia" w:ascii="仿宋" w:hAnsi="仿宋" w:eastAsia="仿宋" w:cs="仿宋"/>
                <w:b w:val="0"/>
                <w:bCs w:val="0"/>
                <w:color w:val="auto"/>
                <w:sz w:val="24"/>
                <w:szCs w:val="24"/>
                <w:lang w:val="en-US" w:eastAsia="zh-CN"/>
              </w:rPr>
              <w:t>0</w:t>
            </w:r>
          </w:p>
        </w:tc>
        <w:tc>
          <w:tcPr>
            <w:tcW w:w="1187" w:type="dxa"/>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邮箱</w:t>
            </w:r>
          </w:p>
        </w:tc>
        <w:tc>
          <w:tcPr>
            <w:tcW w:w="6063" w:type="dxa"/>
            <w:noWrap w:val="0"/>
            <w:vAlign w:val="center"/>
          </w:tcPr>
          <w:p>
            <w:pPr>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全文格式每章新起一页</w:t>
            </w:r>
          </w:p>
        </w:tc>
        <w:tc>
          <w:tcPr>
            <w:tcW w:w="5812" w:type="dxa"/>
            <w:noWrap w:val="0"/>
            <w:vAlign w:val="center"/>
          </w:tcPr>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采纳。按建议修改。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1"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1923" w:type="dxa"/>
            <w:noWrap w:val="0"/>
            <w:vAlign w:val="center"/>
          </w:tcPr>
          <w:p>
            <w:pPr>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185****7181</w:t>
            </w:r>
          </w:p>
        </w:tc>
        <w:tc>
          <w:tcPr>
            <w:tcW w:w="1187" w:type="dxa"/>
            <w:noWrap w:val="0"/>
            <w:vAlign w:val="center"/>
          </w:tcPr>
          <w:p>
            <w:pPr>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网站留言</w:t>
            </w:r>
          </w:p>
        </w:tc>
        <w:tc>
          <w:tcPr>
            <w:tcW w:w="6063" w:type="dxa"/>
            <w:noWrap w:val="0"/>
            <w:vAlign w:val="center"/>
          </w:tcPr>
          <w:p>
            <w:pPr>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站在港口经营人的角度，章程修编能明确权责边界与作业规范，降低风险，为企业拓展多式联运等新兴业务提供清晰的制度指引。</w:t>
            </w:r>
          </w:p>
        </w:tc>
        <w:tc>
          <w:tcPr>
            <w:tcW w:w="5812" w:type="dxa"/>
            <w:noWrap w:val="0"/>
            <w:vAlign w:val="center"/>
          </w:tcPr>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纳。该建议贴合江门港运营实际与发展需求，契合章程修编的核心目标。后续将在章程相关章节中，进一步细化港口经营人权责条款，明确多式联运等新兴业务的作业规范与管理要求，为企业降低运营风险、拓展业务空间提供清晰的制度指引。</w:t>
            </w:r>
          </w:p>
        </w:tc>
      </w:tr>
    </w:tbl>
    <w:p/>
    <w:sectPr>
      <w:pgSz w:w="16838" w:h="11906" w:orient="landscape"/>
      <w:pgMar w:top="720" w:right="567" w:bottom="72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roid Sans">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F6DC6"/>
    <w:rsid w:val="29FF14B3"/>
    <w:rsid w:val="2FFF43FF"/>
    <w:rsid w:val="39F7B702"/>
    <w:rsid w:val="3BF5C750"/>
    <w:rsid w:val="3FF7AAD7"/>
    <w:rsid w:val="5BBFD846"/>
    <w:rsid w:val="5D7F6DC6"/>
    <w:rsid w:val="659FE702"/>
    <w:rsid w:val="65D07F31"/>
    <w:rsid w:val="6DFAF488"/>
    <w:rsid w:val="70AE2D7B"/>
    <w:rsid w:val="733D6341"/>
    <w:rsid w:val="736B9555"/>
    <w:rsid w:val="7B5DDC92"/>
    <w:rsid w:val="7B9F154C"/>
    <w:rsid w:val="7BEF545C"/>
    <w:rsid w:val="7EF74902"/>
    <w:rsid w:val="7F786847"/>
    <w:rsid w:val="7F9B35E1"/>
    <w:rsid w:val="7F9D131A"/>
    <w:rsid w:val="A4DE86FC"/>
    <w:rsid w:val="BBBECDB3"/>
    <w:rsid w:val="BBBEFF2C"/>
    <w:rsid w:val="DDF73B8C"/>
    <w:rsid w:val="E9F747C9"/>
    <w:rsid w:val="F9F3ED80"/>
    <w:rsid w:val="FAA9EED9"/>
    <w:rsid w:val="FDE3AC4B"/>
    <w:rsid w:val="FDF57C45"/>
    <w:rsid w:val="FEFE7830"/>
    <w:rsid w:val="FF7F0D2F"/>
    <w:rsid w:val="FFE34E7D"/>
    <w:rsid w:val="FFEFE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eastAsia="en-US"/>
    </w:rPr>
  </w:style>
  <w:style w:type="paragraph" w:styleId="3">
    <w:name w:val="Body Text Indent"/>
    <w:basedOn w:val="1"/>
    <w:unhideWhenUsed/>
    <w:qFormat/>
    <w:uiPriority w:val="99"/>
    <w:pPr>
      <w:spacing w:after="120"/>
      <w:ind w:left="420" w:leftChars="200"/>
    </w:pPr>
  </w:style>
  <w:style w:type="paragraph" w:styleId="4">
    <w:name w:val="toc 2"/>
    <w:basedOn w:val="1"/>
    <w:next w:val="1"/>
    <w:qFormat/>
    <w:uiPriority w:val="0"/>
    <w:pPr>
      <w:ind w:left="200" w:leftChars="200"/>
    </w:pPr>
    <w:rPr>
      <w:rFonts w:ascii="Times New Roman" w:hAnsi="Times New Roman" w:eastAsia="宋体" w:cs="Droid Sans"/>
    </w:rPr>
  </w:style>
  <w:style w:type="paragraph" w:styleId="5">
    <w:name w:val="Body Text First Indent 2"/>
    <w:basedOn w:val="3"/>
    <w:unhideWhenUsed/>
    <w:qFormat/>
    <w:uiPriority w:val="99"/>
    <w:pPr>
      <w:ind w:firstLine="420" w:firstLineChars="200"/>
    </w:pPr>
    <w:rPr>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2026-01-22T19:31:00Z</dcterms:created>
  <dc:creator>嘉怡</dc:creator>
  <cp:lastModifiedBy>uos</cp:lastModifiedBy>
  <cp:lastPrinted>2026-01-23T08:17:00Z</cp:lastPrinted>
  <dcterms:modified xsi:type="dcterms:W3CDTF">2026-01-26T15:42:09Z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F237BEFDE5FF9CEAD11A776968A6FE1F_43</vt:lpwstr>
  </property>
</Properties>
</file>