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4" w:leftChars="16"/>
        <w:jc w:val="center"/>
        <w:rPr>
          <w:rFonts w:ascii="宋体" w:hAnsi="宋体" w:eastAsia="宋体" w:cs="宋体"/>
          <w:b/>
          <w:bCs/>
          <w:sz w:val="36"/>
          <w:szCs w:val="36"/>
        </w:rPr>
      </w:pPr>
      <w:r>
        <w:rPr>
          <w:rFonts w:hint="eastAsia" w:ascii="宋体" w:hAnsi="宋体" w:eastAsia="宋体" w:cs="宋体"/>
          <w:b/>
          <w:bCs/>
          <w:sz w:val="36"/>
          <w:szCs w:val="36"/>
        </w:rPr>
        <w:t>江门市市区公路</w:t>
      </w:r>
      <w:r>
        <w:rPr>
          <w:rFonts w:hint="eastAsia" w:ascii="宋体" w:hAnsi="宋体" w:eastAsia="宋体" w:cs="宋体"/>
          <w:b/>
          <w:bCs/>
          <w:sz w:val="36"/>
          <w:szCs w:val="36"/>
          <w:lang w:eastAsia="zh-CN"/>
        </w:rPr>
        <w:t>局养护</w:t>
      </w:r>
      <w:r>
        <w:rPr>
          <w:rFonts w:hint="eastAsia" w:ascii="宋体" w:hAnsi="宋体" w:eastAsia="宋体" w:cs="宋体"/>
          <w:b/>
          <w:bCs/>
          <w:sz w:val="36"/>
          <w:szCs w:val="36"/>
        </w:rPr>
        <w:t>中心</w:t>
      </w:r>
      <w:r>
        <w:rPr>
          <w:rFonts w:hint="eastAsia" w:ascii="宋体" w:hAnsi="宋体" w:eastAsia="宋体" w:cs="宋体"/>
          <w:b/>
          <w:bCs/>
          <w:sz w:val="36"/>
          <w:szCs w:val="36"/>
          <w:lang w:val="en-US" w:eastAsia="zh-CN"/>
        </w:rPr>
        <w:t>2026年度</w:t>
      </w:r>
      <w:r>
        <w:rPr>
          <w:rFonts w:hint="eastAsia" w:ascii="宋体" w:hAnsi="宋体" w:eastAsia="宋体" w:cs="宋体"/>
          <w:b/>
          <w:bCs/>
          <w:sz w:val="36"/>
          <w:szCs w:val="36"/>
        </w:rPr>
        <w:t>职工食堂食材配送服务项目采购评分标准</w:t>
      </w:r>
    </w:p>
    <w:p>
      <w:pPr>
        <w:pStyle w:val="2"/>
      </w:pPr>
    </w:p>
    <w:p>
      <w:pPr>
        <w:ind w:left="-420" w:leftChars="-200" w:right="-313" w:rightChars="-149" w:firstLine="562" w:firstLineChars="200"/>
        <w:rPr>
          <w:rFonts w:ascii="宋体" w:hAnsi="宋体" w:cs="宋体"/>
          <w:b/>
          <w:bCs/>
          <w:sz w:val="28"/>
          <w:szCs w:val="28"/>
        </w:rPr>
      </w:pPr>
      <w:r>
        <w:rPr>
          <w:rFonts w:hint="eastAsia" w:ascii="宋体" w:hAnsi="宋体" w:cs="宋体"/>
          <w:b/>
          <w:bCs/>
          <w:sz w:val="28"/>
          <w:szCs w:val="28"/>
        </w:rPr>
        <w:t>一、评分选取方式</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本次采购采用综合选取的方式确定中选单位。评选小组先对报名单位进行初步评审；然后对满足初步评审要求的单位，按照详细评审规定的评分标准进行打分。</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评选小组成员对报名单位的详细评审中各评审因素进行评分，计算出各评审因素的算术平均值后合计总和作为该单位的得分，并按得分由高到低顺序推荐中选单位。</w:t>
      </w:r>
    </w:p>
    <w:p>
      <w:pPr>
        <w:ind w:left="-420" w:leftChars="-200" w:right="-313" w:rightChars="-149" w:firstLine="560" w:firstLineChars="200"/>
        <w:rPr>
          <w:rFonts w:ascii="宋体" w:hAnsi="宋体" w:cs="宋体"/>
          <w:sz w:val="28"/>
          <w:szCs w:val="28"/>
        </w:rPr>
      </w:pPr>
      <w:r>
        <w:rPr>
          <w:rFonts w:hint="eastAsia" w:ascii="宋体" w:hAnsi="宋体" w:cs="宋体"/>
          <w:sz w:val="28"/>
          <w:szCs w:val="28"/>
        </w:rPr>
        <w:t>综合评分相等时，评选小组视报名单位的情况综合比较，投票确定其名次。</w:t>
      </w:r>
    </w:p>
    <w:p>
      <w:pPr>
        <w:pStyle w:val="2"/>
      </w:pPr>
    </w:p>
    <w:p>
      <w:pPr>
        <w:spacing w:line="400" w:lineRule="exact"/>
        <w:ind w:left="-420" w:leftChars="-200" w:right="-313" w:rightChars="-149" w:firstLine="560" w:firstLineChars="200"/>
        <w:rPr>
          <w:rFonts w:hint="eastAsia" w:ascii="宋体" w:hAnsi="宋体" w:eastAsia="宋体" w:cs="宋体"/>
          <w:b/>
          <w:bCs/>
          <w:sz w:val="28"/>
          <w:szCs w:val="28"/>
        </w:rPr>
      </w:pPr>
      <w:r>
        <w:rPr>
          <w:rFonts w:hint="eastAsia" w:ascii="宋体" w:hAnsi="宋体" w:eastAsia="宋体" w:cs="宋体"/>
          <w:sz w:val="28"/>
          <w:szCs w:val="28"/>
        </w:rPr>
        <w:t>二、</w:t>
      </w:r>
      <w:r>
        <w:rPr>
          <w:rFonts w:hint="eastAsia" w:ascii="宋体" w:hAnsi="宋体" w:eastAsia="宋体" w:cs="宋体"/>
          <w:b/>
          <w:bCs/>
          <w:sz w:val="28"/>
          <w:szCs w:val="28"/>
        </w:rPr>
        <w:t>初步审查</w:t>
      </w:r>
    </w:p>
    <w:p>
      <w:pPr>
        <w:pStyle w:val="2"/>
      </w:pPr>
    </w:p>
    <w:tbl>
      <w:tblPr>
        <w:tblStyle w:val="6"/>
        <w:tblW w:w="9743" w:type="dxa"/>
        <w:jc w:val="center"/>
        <w:tblLayout w:type="fixed"/>
        <w:tblCellMar>
          <w:top w:w="0" w:type="dxa"/>
          <w:left w:w="108" w:type="dxa"/>
          <w:bottom w:w="67" w:type="dxa"/>
          <w:right w:w="0" w:type="dxa"/>
        </w:tblCellMar>
      </w:tblPr>
      <w:tblGrid>
        <w:gridCol w:w="2984"/>
        <w:gridCol w:w="6759"/>
      </w:tblGrid>
      <w:tr>
        <w:tblPrEx>
          <w:tblCellMar>
            <w:top w:w="0" w:type="dxa"/>
            <w:left w:w="108" w:type="dxa"/>
            <w:bottom w:w="67" w:type="dxa"/>
            <w:right w:w="0" w:type="dxa"/>
          </w:tblCellMar>
        </w:tblPrEx>
        <w:trPr>
          <w:trHeight w:val="698" w:hRule="atLeast"/>
          <w:tblHeader/>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项目</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标准</w:t>
            </w:r>
          </w:p>
        </w:tc>
      </w:tr>
      <w:tr>
        <w:tblPrEx>
          <w:tblCellMar>
            <w:top w:w="0" w:type="dxa"/>
            <w:left w:w="108" w:type="dxa"/>
            <w:bottom w:w="67" w:type="dxa"/>
            <w:right w:w="0" w:type="dxa"/>
          </w:tblCellMar>
        </w:tblPrEx>
        <w:trPr>
          <w:trHeight w:val="3817" w:hRule="atLeast"/>
          <w:jc w:val="center"/>
        </w:trPr>
        <w:tc>
          <w:tcPr>
            <w:tcW w:w="2984" w:type="dxa"/>
            <w:tcBorders>
              <w:top w:val="single" w:color="000000" w:sz="4" w:space="0"/>
              <w:left w:val="single" w:color="000000" w:sz="4" w:space="0"/>
              <w:bottom w:val="single" w:color="000000" w:sz="4" w:space="0"/>
              <w:right w:val="single" w:color="000000" w:sz="4" w:space="0"/>
            </w:tcBorders>
            <w:vAlign w:val="center"/>
          </w:tcPr>
          <w:p>
            <w:pPr>
              <w:pStyle w:val="5"/>
              <w:shd w:val="clear" w:color="auto" w:fill="FFFFFF"/>
              <w:spacing w:before="0" w:beforeAutospacing="0" w:after="0" w:afterAutospacing="0" w:line="720" w:lineRule="atLeast"/>
              <w:jc w:val="center"/>
              <w:textAlignment w:val="baseline"/>
              <w:rPr>
                <w:rFonts w:ascii="仿宋" w:hAnsi="仿宋" w:eastAsia="仿宋" w:cs="Times New Roman"/>
                <w:color w:val="000000"/>
              </w:rPr>
            </w:pPr>
            <w:r>
              <w:rPr>
                <w:rStyle w:val="8"/>
                <w:rFonts w:ascii="仿宋" w:hAnsi="仿宋" w:eastAsia="仿宋" w:cs="Times New Roman"/>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1.符合《中华人民共和国政府采购法》第二十二条和《中华人民共和国政府采购法实施条例》第十七条的规定；</w:t>
            </w:r>
          </w:p>
          <w:p>
            <w:pPr>
              <w:widowControl/>
              <w:spacing w:line="360" w:lineRule="exact"/>
              <w:ind w:right="108"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2.有经年检合格的营业执照和有效的食品经营许可；</w:t>
            </w:r>
          </w:p>
          <w:p>
            <w:pPr>
              <w:widowControl/>
              <w:spacing w:line="360" w:lineRule="exact"/>
              <w:ind w:right="108"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3.具有独立承担民事责任能力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在中华人民共和国境内注册的法人</w:t>
            </w:r>
            <w:r>
              <w:rPr>
                <w:rFonts w:hint="eastAsia" w:asciiTheme="minorEastAsia" w:hAnsiTheme="minorEastAsia" w:eastAsiaTheme="minorEastAsia" w:cstheme="minorEastAsia"/>
                <w:sz w:val="24"/>
                <w:szCs w:val="24"/>
                <w:lang w:eastAsia="zh-CN"/>
              </w:rPr>
              <w:t>或其他组织或自然人</w:t>
            </w:r>
            <w:r>
              <w:rPr>
                <w:rFonts w:hint="eastAsia" w:asciiTheme="minorEastAsia" w:hAnsiTheme="minorEastAsia" w:eastAsiaTheme="minorEastAsia" w:cstheme="minorEastAsia"/>
                <w:sz w:val="24"/>
                <w:szCs w:val="24"/>
              </w:rPr>
              <w:t>；</w:t>
            </w:r>
          </w:p>
          <w:p>
            <w:pPr>
              <w:widowControl/>
              <w:spacing w:line="360" w:lineRule="exact"/>
              <w:ind w:right="108"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4.近三年内未被列入失信被执行人名单、重大税收违法案件当事人名单、政府采购严重违法失信行为记录名单，无受到政府采购行政处罚且相关信用惩戒期限未满情形</w:t>
            </w:r>
            <w:r>
              <w:rPr>
                <w:rFonts w:hint="eastAsia" w:asciiTheme="minorEastAsia" w:hAnsiTheme="minorEastAsia" w:eastAsiaTheme="minorEastAsia" w:cstheme="minorEastAsia"/>
                <w:sz w:val="24"/>
                <w:szCs w:val="24"/>
                <w:lang w:eastAsia="zh-CN"/>
              </w:rPr>
              <w:t>，需提供相关查询记录资料</w:t>
            </w:r>
            <w:r>
              <w:rPr>
                <w:rFonts w:hint="eastAsia" w:asciiTheme="minorEastAsia" w:hAnsiTheme="minorEastAsia" w:eastAsiaTheme="minorEastAsia" w:cstheme="minorEastAsia"/>
                <w:sz w:val="24"/>
                <w:szCs w:val="24"/>
              </w:rPr>
              <w:t>；</w:t>
            </w:r>
          </w:p>
          <w:p>
            <w:pPr>
              <w:widowControl/>
              <w:spacing w:line="360" w:lineRule="exact"/>
              <w:ind w:right="108" w:firstLine="470" w:firstLineChars="19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5.本项目不接受</w:t>
            </w:r>
            <w:bookmarkStart w:id="0" w:name="_GoBack"/>
            <w:bookmarkEnd w:id="0"/>
            <w:r>
              <w:rPr>
                <w:rFonts w:hint="eastAsia" w:asciiTheme="minorEastAsia" w:hAnsiTheme="minorEastAsia" w:eastAsiaTheme="minorEastAsia" w:cstheme="minorEastAsia"/>
                <w:sz w:val="24"/>
                <w:szCs w:val="24"/>
                <w:highlight w:val="none"/>
              </w:rPr>
              <w:t>联合体供应商投标；不允许转包、分包</w:t>
            </w:r>
            <w:r>
              <w:rPr>
                <w:rFonts w:hint="eastAsia" w:asciiTheme="minorEastAsia" w:hAnsiTheme="minorEastAsia" w:eastAsiaTheme="minorEastAsia" w:cstheme="minorEastAsia"/>
                <w:sz w:val="24"/>
                <w:szCs w:val="24"/>
                <w:highlight w:val="none"/>
                <w:lang w:eastAsia="zh-CN"/>
              </w:rPr>
              <w:t>；</w:t>
            </w:r>
          </w:p>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 xml:space="preserve">    6.供应商应在江门市区有固定的配送场所、服务网点；</w:t>
            </w:r>
          </w:p>
          <w:p>
            <w:pPr>
              <w:pStyle w:val="2"/>
              <w:ind w:firstLine="480" w:firstLineChars="200"/>
            </w:pPr>
            <w:r>
              <w:rPr>
                <w:rFonts w:hint="eastAsia" w:asciiTheme="minorEastAsia" w:hAnsiTheme="minorEastAsia" w:eastAsiaTheme="minorEastAsia" w:cstheme="minorEastAsia"/>
                <w:kern w:val="2"/>
                <w:sz w:val="24"/>
                <w:szCs w:val="24"/>
                <w:highlight w:val="none"/>
                <w:lang w:val="en-US" w:eastAsia="zh-CN"/>
              </w:rPr>
              <w:t>7</w:t>
            </w:r>
            <w:r>
              <w:rPr>
                <w:rFonts w:hint="eastAsia" w:asciiTheme="minorEastAsia" w:hAnsiTheme="minorEastAsia" w:eastAsiaTheme="minorEastAsia" w:cstheme="minorEastAsia"/>
                <w:kern w:val="2"/>
                <w:sz w:val="24"/>
                <w:szCs w:val="24"/>
                <w:highlight w:val="none"/>
              </w:rPr>
              <w:t>.</w:t>
            </w:r>
            <w:r>
              <w:rPr>
                <w:rFonts w:hint="eastAsia" w:asciiTheme="minorEastAsia" w:hAnsiTheme="minorEastAsia" w:eastAsiaTheme="minorEastAsia" w:cstheme="minorEastAsia"/>
                <w:kern w:val="2"/>
                <w:sz w:val="24"/>
                <w:szCs w:val="24"/>
                <w:highlight w:val="none"/>
                <w:lang w:eastAsia="zh-CN"/>
              </w:rPr>
              <w:t>近三年未发生食品配送服务安全生产质量事故</w:t>
            </w:r>
            <w:r>
              <w:rPr>
                <w:rFonts w:hint="eastAsia" w:asciiTheme="minorEastAsia" w:hAnsiTheme="minorEastAsia" w:eastAsiaTheme="minorEastAsia" w:cstheme="minorEastAsia"/>
                <w:kern w:val="2"/>
                <w:sz w:val="24"/>
                <w:szCs w:val="24"/>
                <w:highlight w:val="none"/>
              </w:rPr>
              <w:t>。</w:t>
            </w:r>
          </w:p>
        </w:tc>
      </w:tr>
    </w:tbl>
    <w:p>
      <w:pPr>
        <w:spacing w:line="400" w:lineRule="exact"/>
        <w:ind w:left="-420" w:leftChars="-200" w:right="-313" w:rightChars="-149" w:firstLine="421" w:firstLineChars="200"/>
        <w:rPr>
          <w:rFonts w:ascii="宋体" w:hAnsi="宋体" w:eastAsia="宋体" w:cs="宋体"/>
          <w:b/>
          <w:bCs/>
          <w:szCs w:val="21"/>
        </w:rPr>
      </w:pPr>
    </w:p>
    <w:p>
      <w:pPr>
        <w:spacing w:line="400" w:lineRule="exact"/>
        <w:ind w:left="-420" w:leftChars="-200" w:right="-313" w:rightChars="-149" w:firstLine="562" w:firstLineChars="200"/>
        <w:rPr>
          <w:rFonts w:ascii="宋体" w:hAnsi="宋体" w:eastAsia="宋体" w:cs="宋体"/>
          <w:b/>
          <w:bCs/>
          <w:sz w:val="28"/>
          <w:szCs w:val="28"/>
        </w:rPr>
      </w:pPr>
      <w:r>
        <w:rPr>
          <w:rFonts w:hint="eastAsia" w:ascii="宋体" w:hAnsi="宋体" w:eastAsia="宋体" w:cs="宋体"/>
          <w:b/>
          <w:bCs/>
          <w:sz w:val="28"/>
          <w:szCs w:val="28"/>
        </w:rPr>
        <w:t>三、详细评审</w:t>
      </w:r>
    </w:p>
    <w:tbl>
      <w:tblPr>
        <w:tblStyle w:val="6"/>
        <w:tblW w:w="10026" w:type="dxa"/>
        <w:jc w:val="center"/>
        <w:tblLayout w:type="fixed"/>
        <w:tblCellMar>
          <w:top w:w="0" w:type="dxa"/>
          <w:left w:w="108" w:type="dxa"/>
          <w:bottom w:w="67" w:type="dxa"/>
          <w:right w:w="0" w:type="dxa"/>
        </w:tblCellMar>
      </w:tblPr>
      <w:tblGrid>
        <w:gridCol w:w="655"/>
        <w:gridCol w:w="1797"/>
        <w:gridCol w:w="6134"/>
        <w:gridCol w:w="1440"/>
      </w:tblGrid>
      <w:tr>
        <w:tblPrEx>
          <w:tblCellMar>
            <w:top w:w="0" w:type="dxa"/>
            <w:left w:w="108" w:type="dxa"/>
            <w:bottom w:w="67" w:type="dxa"/>
            <w:right w:w="0" w:type="dxa"/>
          </w:tblCellMar>
        </w:tblPrEx>
        <w:trPr>
          <w:trHeight w:val="667" w:hRule="atLeast"/>
          <w:tblHeader/>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highlight w:val="none"/>
              </w:rPr>
            </w:pPr>
            <w:r>
              <w:rPr>
                <w:rFonts w:ascii="仿宋" w:hAnsi="仿宋" w:eastAsia="仿宋" w:cs="Times New Roman"/>
                <w:b/>
                <w:color w:val="000000"/>
                <w:sz w:val="24"/>
                <w:szCs w:val="24"/>
                <w:highlight w:val="none"/>
              </w:rPr>
              <w:t>序号</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9"/>
              <w:jc w:val="center"/>
              <w:rPr>
                <w:rFonts w:ascii="仿宋" w:hAnsi="仿宋" w:eastAsia="仿宋" w:cs="Times New Roman"/>
                <w:b/>
                <w:color w:val="000000"/>
                <w:sz w:val="24"/>
                <w:szCs w:val="24"/>
                <w:highlight w:val="none"/>
              </w:rPr>
            </w:pPr>
            <w:r>
              <w:rPr>
                <w:rFonts w:ascii="仿宋" w:hAnsi="仿宋" w:eastAsia="仿宋" w:cs="Times New Roman"/>
                <w:b/>
                <w:color w:val="000000"/>
                <w:sz w:val="24"/>
                <w:szCs w:val="24"/>
                <w:highlight w:val="none"/>
              </w:rPr>
              <w:t>评价项目</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right="107"/>
              <w:jc w:val="center"/>
              <w:rPr>
                <w:rFonts w:ascii="仿宋" w:hAnsi="仿宋" w:eastAsia="仿宋" w:cs="Times New Roman"/>
                <w:b/>
                <w:color w:val="000000"/>
                <w:sz w:val="24"/>
                <w:szCs w:val="24"/>
                <w:highlight w:val="none"/>
              </w:rPr>
            </w:pPr>
            <w:r>
              <w:rPr>
                <w:rFonts w:ascii="仿宋" w:hAnsi="仿宋" w:eastAsia="仿宋" w:cs="Times New Roman"/>
                <w:b/>
                <w:color w:val="000000"/>
                <w:sz w:val="24"/>
                <w:szCs w:val="24"/>
                <w:highlight w:val="none"/>
              </w:rPr>
              <w:t>评价标准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仿宋" w:hAnsi="仿宋" w:eastAsia="仿宋" w:cs="Times New Roman"/>
                <w:b/>
                <w:color w:val="000000"/>
                <w:sz w:val="24"/>
                <w:szCs w:val="24"/>
                <w:highlight w:val="none"/>
              </w:rPr>
            </w:pPr>
            <w:r>
              <w:rPr>
                <w:rFonts w:ascii="仿宋" w:hAnsi="仿宋" w:eastAsia="仿宋" w:cs="Times New Roman"/>
                <w:b/>
                <w:color w:val="000000"/>
                <w:sz w:val="24"/>
                <w:szCs w:val="24"/>
                <w:highlight w:val="none"/>
              </w:rPr>
              <w:t>单项分数（分）</w:t>
            </w:r>
          </w:p>
        </w:tc>
      </w:tr>
      <w:tr>
        <w:tblPrEx>
          <w:tblCellMar>
            <w:top w:w="0" w:type="dxa"/>
            <w:left w:w="108" w:type="dxa"/>
            <w:bottom w:w="67" w:type="dxa"/>
            <w:right w:w="0" w:type="dxa"/>
          </w:tblCellMar>
        </w:tblPrEx>
        <w:trPr>
          <w:trHeight w:val="116" w:hRule="atLeast"/>
          <w:jc w:val="center"/>
        </w:trPr>
        <w:tc>
          <w:tcPr>
            <w:tcW w:w="655"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ind w:right="108" w:rightChars="0"/>
              <w:jc w:val="center"/>
              <w:rPr>
                <w:rFonts w:hint="eastAsia" w:ascii="仿宋" w:hAnsi="仿宋" w:eastAsia="仿宋" w:cs="Times New Roman"/>
                <w:color w:val="000000"/>
                <w:kern w:val="0"/>
                <w:sz w:val="24"/>
                <w:szCs w:val="24"/>
                <w:highlight w:val="none"/>
                <w:lang w:val="en-US" w:eastAsia="zh-CN" w:bidi="ar-SA"/>
              </w:rPr>
            </w:pPr>
            <w:r>
              <w:rPr>
                <w:rFonts w:hint="eastAsia" w:ascii="仿宋" w:hAnsi="仿宋" w:eastAsia="仿宋" w:cs="Times New Roman"/>
                <w:color w:val="000000"/>
                <w:kern w:val="0"/>
                <w:sz w:val="24"/>
                <w:szCs w:val="24"/>
                <w:highlight w:val="none"/>
              </w:rPr>
              <w:t>1</w:t>
            </w:r>
          </w:p>
        </w:tc>
        <w:tc>
          <w:tcPr>
            <w:tcW w:w="1797"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ind w:right="108" w:rightChars="0"/>
              <w:jc w:val="center"/>
              <w:rPr>
                <w:rFonts w:ascii="Times New Roman" w:hAnsi="Times New Roman" w:cs="Times New Roman" w:eastAsiaTheme="minorEastAsia"/>
                <w:b/>
                <w:bCs/>
                <w:kern w:val="2"/>
                <w:sz w:val="21"/>
                <w:szCs w:val="30"/>
                <w:highlight w:val="none"/>
                <w:lang w:val="en-US" w:eastAsia="zh-CN" w:bidi="ar-SA"/>
              </w:rPr>
            </w:pPr>
            <w:r>
              <w:rPr>
                <w:rStyle w:val="8"/>
                <w:rFonts w:ascii="仿宋" w:hAnsi="仿宋" w:eastAsia="仿宋" w:cs="Times New Roman"/>
                <w:sz w:val="24"/>
                <w:szCs w:val="24"/>
                <w:highlight w:val="none"/>
              </w:rPr>
              <w:t>实施方案</w:t>
            </w:r>
          </w:p>
        </w:tc>
        <w:tc>
          <w:tcPr>
            <w:tcW w:w="6134"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ind w:right="108" w:firstLine="470" w:firstLineChars="196"/>
              <w:rPr>
                <w:sz w:val="24"/>
                <w:szCs w:val="24"/>
              </w:rPr>
            </w:pPr>
            <w:r>
              <w:rPr>
                <w:rFonts w:hint="eastAsia"/>
                <w:sz w:val="24"/>
                <w:szCs w:val="24"/>
              </w:rPr>
              <w:t>总体评价：</w:t>
            </w:r>
          </w:p>
          <w:p>
            <w:pPr>
              <w:widowControl/>
              <w:spacing w:line="360" w:lineRule="exact"/>
              <w:ind w:right="108" w:firstLine="470" w:firstLineChars="196"/>
              <w:rPr>
                <w:sz w:val="24"/>
                <w:szCs w:val="24"/>
              </w:rPr>
            </w:pPr>
            <w:r>
              <w:rPr>
                <w:rFonts w:hint="eastAsia"/>
                <w:sz w:val="24"/>
                <w:szCs w:val="24"/>
              </w:rPr>
              <w:t>（1）优：实施方案全面、完善、合理，可行性和可操作性强，贴合实际需求的，具有完备的安全追溯制度，</w:t>
            </w:r>
            <w:r>
              <w:rPr>
                <w:rFonts w:hint="eastAsia"/>
                <w:sz w:val="24"/>
                <w:szCs w:val="24"/>
                <w:lang w:val="en-US" w:eastAsia="zh-CN"/>
              </w:rPr>
              <w:t>20</w:t>
            </w:r>
            <w:r>
              <w:rPr>
                <w:rFonts w:hint="eastAsia"/>
                <w:sz w:val="24"/>
                <w:szCs w:val="24"/>
              </w:rPr>
              <w:t>&lt;得分≤</w:t>
            </w:r>
            <w:r>
              <w:rPr>
                <w:rFonts w:hint="eastAsia"/>
                <w:sz w:val="24"/>
                <w:szCs w:val="24"/>
                <w:lang w:val="en-US" w:eastAsia="zh-CN"/>
              </w:rPr>
              <w:t>25</w:t>
            </w:r>
            <w:r>
              <w:rPr>
                <w:rFonts w:hint="eastAsia"/>
                <w:sz w:val="24"/>
                <w:szCs w:val="24"/>
              </w:rPr>
              <w:t>；</w:t>
            </w:r>
          </w:p>
          <w:p>
            <w:pPr>
              <w:widowControl/>
              <w:spacing w:line="360" w:lineRule="exact"/>
              <w:ind w:right="108" w:firstLine="470" w:firstLineChars="196"/>
              <w:rPr>
                <w:sz w:val="24"/>
                <w:szCs w:val="24"/>
              </w:rPr>
            </w:pPr>
            <w:r>
              <w:rPr>
                <w:rFonts w:hint="eastAsia"/>
                <w:sz w:val="24"/>
                <w:szCs w:val="24"/>
              </w:rPr>
              <w:t>（2）良：实施方案较全面、完善，可行性和可操作性较强，具有可行的安全追溯制度，</w:t>
            </w:r>
            <w:r>
              <w:rPr>
                <w:rFonts w:hint="eastAsia"/>
                <w:sz w:val="24"/>
                <w:szCs w:val="24"/>
                <w:lang w:val="en-US" w:eastAsia="zh-CN"/>
              </w:rPr>
              <w:t>15</w:t>
            </w:r>
            <w:r>
              <w:rPr>
                <w:rFonts w:hint="eastAsia"/>
                <w:sz w:val="24"/>
                <w:szCs w:val="24"/>
              </w:rPr>
              <w:t>&lt;得分≤</w:t>
            </w:r>
            <w:r>
              <w:rPr>
                <w:rFonts w:hint="eastAsia"/>
                <w:sz w:val="24"/>
                <w:szCs w:val="24"/>
                <w:lang w:val="en-US" w:eastAsia="zh-CN"/>
              </w:rPr>
              <w:t>20</w:t>
            </w:r>
            <w:r>
              <w:rPr>
                <w:rFonts w:hint="eastAsia"/>
                <w:sz w:val="24"/>
                <w:szCs w:val="24"/>
              </w:rPr>
              <w:t>；</w:t>
            </w:r>
          </w:p>
          <w:p>
            <w:pPr>
              <w:widowControl/>
              <w:spacing w:line="360" w:lineRule="exact"/>
              <w:ind w:right="108" w:firstLine="470" w:firstLineChars="196"/>
              <w:rPr>
                <w:sz w:val="24"/>
                <w:szCs w:val="24"/>
              </w:rPr>
            </w:pPr>
            <w:r>
              <w:rPr>
                <w:rFonts w:hint="eastAsia"/>
                <w:sz w:val="24"/>
                <w:szCs w:val="24"/>
              </w:rPr>
              <w:t>（3）中：实施方案较全面不够合理，可行性和可操作性一般，</w:t>
            </w:r>
            <w:r>
              <w:rPr>
                <w:rFonts w:hint="eastAsia"/>
                <w:sz w:val="24"/>
                <w:szCs w:val="24"/>
                <w:lang w:val="en-US" w:eastAsia="zh-CN"/>
              </w:rPr>
              <w:t>10</w:t>
            </w:r>
            <w:r>
              <w:rPr>
                <w:rFonts w:hint="eastAsia"/>
                <w:sz w:val="24"/>
                <w:szCs w:val="24"/>
              </w:rPr>
              <w:t>&lt;得分≤</w:t>
            </w:r>
            <w:r>
              <w:rPr>
                <w:rFonts w:hint="eastAsia"/>
                <w:sz w:val="24"/>
                <w:szCs w:val="24"/>
                <w:lang w:val="en-US" w:eastAsia="zh-CN"/>
              </w:rPr>
              <w:t>15</w:t>
            </w:r>
            <w:r>
              <w:rPr>
                <w:rFonts w:hint="eastAsia"/>
                <w:sz w:val="24"/>
                <w:szCs w:val="24"/>
              </w:rPr>
              <w:t>；</w:t>
            </w:r>
          </w:p>
          <w:p>
            <w:pPr>
              <w:widowControl/>
              <w:spacing w:line="360" w:lineRule="exact"/>
              <w:ind w:right="108" w:firstLine="470" w:firstLineChars="196"/>
              <w:rPr>
                <w:sz w:val="24"/>
                <w:szCs w:val="24"/>
              </w:rPr>
            </w:pPr>
            <w:r>
              <w:rPr>
                <w:rFonts w:hint="eastAsia"/>
                <w:sz w:val="24"/>
                <w:szCs w:val="24"/>
              </w:rPr>
              <w:t>（4）差：实施方案不全，可行性和可操作性较差，得分为</w:t>
            </w:r>
            <w:r>
              <w:rPr>
                <w:rFonts w:hint="eastAsia"/>
                <w:sz w:val="24"/>
                <w:szCs w:val="24"/>
                <w:lang w:val="en-US" w:eastAsia="zh-CN"/>
              </w:rPr>
              <w:t>5</w:t>
            </w:r>
            <w:r>
              <w:rPr>
                <w:rFonts w:hint="eastAsia"/>
                <w:sz w:val="24"/>
                <w:szCs w:val="24"/>
              </w:rPr>
              <w:t>。</w:t>
            </w:r>
          </w:p>
          <w:p>
            <w:pPr>
              <w:widowControl/>
              <w:spacing w:line="360" w:lineRule="exact"/>
              <w:ind w:right="108" w:firstLine="480" w:firstLineChars="200"/>
              <w:rPr>
                <w:rFonts w:hint="default" w:eastAsiaTheme="minorEastAsia"/>
                <w:highlight w:val="none"/>
                <w:lang w:val="en-US" w:eastAsia="zh-CN"/>
              </w:rPr>
            </w:pPr>
            <w:r>
              <w:rPr>
                <w:rFonts w:hint="eastAsia"/>
                <w:sz w:val="24"/>
                <w:szCs w:val="24"/>
              </w:rPr>
              <w:t>注：供应商需针对本项目提供含服务体系、拟投入人员、应急预案、</w:t>
            </w:r>
            <w:r>
              <w:rPr>
                <w:rFonts w:hint="eastAsia"/>
                <w:sz w:val="24"/>
                <w:szCs w:val="24"/>
                <w:lang w:eastAsia="zh-CN"/>
              </w:rPr>
              <w:t>退换货方案、</w:t>
            </w:r>
            <w:r>
              <w:rPr>
                <w:rFonts w:hint="eastAsia"/>
                <w:sz w:val="24"/>
                <w:szCs w:val="24"/>
              </w:rPr>
              <w:t>质量控制措施的实施方案，不提供相关资料不得分。</w:t>
            </w:r>
          </w:p>
        </w:tc>
        <w:tc>
          <w:tcPr>
            <w:tcW w:w="1440" w:type="dxa"/>
            <w:tcBorders>
              <w:top w:val="single" w:color="auto" w:sz="4" w:space="0"/>
              <w:left w:val="single" w:color="000000" w:sz="4" w:space="0"/>
              <w:bottom w:val="single" w:color="auto" w:sz="4" w:space="0"/>
              <w:right w:val="single" w:color="000000" w:sz="4" w:space="0"/>
            </w:tcBorders>
            <w:vAlign w:val="center"/>
          </w:tcPr>
          <w:p>
            <w:pPr>
              <w:widowControl/>
              <w:spacing w:line="360" w:lineRule="exact"/>
              <w:ind w:right="110"/>
              <w:jc w:val="center"/>
              <w:rPr>
                <w:rFonts w:hint="default" w:ascii="仿宋" w:hAnsi="仿宋" w:eastAsia="仿宋" w:cs="Times New Roman"/>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25</w:t>
            </w:r>
          </w:p>
        </w:tc>
      </w:tr>
      <w:tr>
        <w:tblPrEx>
          <w:tblCellMar>
            <w:top w:w="0" w:type="dxa"/>
            <w:left w:w="108" w:type="dxa"/>
            <w:bottom w:w="67" w:type="dxa"/>
            <w:right w:w="0" w:type="dxa"/>
          </w:tblCellMar>
        </w:tblPrEx>
        <w:trPr>
          <w:trHeight w:val="295" w:hRule="atLeast"/>
          <w:jc w:val="center"/>
        </w:trPr>
        <w:tc>
          <w:tcPr>
            <w:tcW w:w="655" w:type="dxa"/>
            <w:tcBorders>
              <w:top w:val="single" w:color="auto"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highlight w:val="none"/>
                <w:lang w:val="en-US" w:eastAsia="zh-CN"/>
              </w:rPr>
            </w:pPr>
            <w:r>
              <w:rPr>
                <w:rFonts w:hint="eastAsia" w:ascii="仿宋" w:hAnsi="仿宋" w:eastAsia="仿宋" w:cs="Times New Roman"/>
                <w:color w:val="000000"/>
                <w:kern w:val="0"/>
                <w:sz w:val="24"/>
                <w:szCs w:val="24"/>
                <w:highlight w:val="none"/>
                <w:lang w:val="en-US" w:eastAsia="zh-CN"/>
              </w:rPr>
              <w:t>2</w:t>
            </w:r>
          </w:p>
        </w:tc>
        <w:tc>
          <w:tcPr>
            <w:tcW w:w="1797" w:type="dxa"/>
            <w:tcBorders>
              <w:top w:val="single" w:color="auto"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hint="default" w:ascii="仿宋" w:hAnsi="仿宋" w:eastAsia="仿宋" w:cs="Times New Roman"/>
                <w:sz w:val="24"/>
                <w:szCs w:val="24"/>
                <w:highlight w:val="none"/>
                <w:lang w:val="en-US" w:eastAsia="zh-CN"/>
              </w:rPr>
            </w:pPr>
            <w:r>
              <w:rPr>
                <w:rStyle w:val="8"/>
                <w:rFonts w:hint="eastAsia" w:ascii="仿宋" w:hAnsi="仿宋" w:eastAsia="仿宋" w:cs="Times New Roman"/>
                <w:sz w:val="24"/>
                <w:szCs w:val="24"/>
                <w:highlight w:val="none"/>
                <w:lang w:val="en-US" w:eastAsia="zh-CN"/>
              </w:rPr>
              <w:t>管理体系认证</w:t>
            </w:r>
          </w:p>
        </w:tc>
        <w:tc>
          <w:tcPr>
            <w:tcW w:w="6134" w:type="dxa"/>
            <w:tcBorders>
              <w:top w:val="single" w:color="auto" w:sz="4" w:space="0"/>
              <w:left w:val="single" w:color="000000" w:sz="4" w:space="0"/>
              <w:bottom w:val="single" w:color="000000" w:sz="4" w:space="0"/>
              <w:right w:val="single" w:color="000000" w:sz="4" w:space="0"/>
            </w:tcBorders>
            <w:vAlign w:val="center"/>
          </w:tcPr>
          <w:p>
            <w:pPr>
              <w:widowControl/>
              <w:spacing w:line="360" w:lineRule="exact"/>
              <w:ind w:right="108"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具有在有效期内的以下证书：1.ISO9001质量管理体系认证；2.ISO14001环境管理体系认证； 3、ISO45001职业健康安全管理体系认证；全部满足得5分，任意一项不满足扣2分，扣完为止。</w:t>
            </w:r>
          </w:p>
          <w:p>
            <w:pPr>
              <w:widowControl/>
              <w:spacing w:line="360" w:lineRule="exact"/>
              <w:ind w:right="108"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注：需在投标文件中提供在有效期内的相关证书扫描件（或复印件），并加盖单位公章，否则不得分。并须同时提供在“全国认证认可信息公共服务平台”对体系证书的信息查询截图作为评审依据，已失效或撤销的不得分。</w:t>
            </w:r>
          </w:p>
        </w:tc>
        <w:tc>
          <w:tcPr>
            <w:tcW w:w="1440" w:type="dxa"/>
            <w:tcBorders>
              <w:top w:val="single" w:color="auto"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w:t>
            </w:r>
          </w:p>
        </w:tc>
      </w:tr>
      <w:tr>
        <w:tblPrEx>
          <w:tblCellMar>
            <w:top w:w="0" w:type="dxa"/>
            <w:left w:w="108" w:type="dxa"/>
            <w:bottom w:w="67" w:type="dxa"/>
            <w:right w:w="0" w:type="dxa"/>
          </w:tblCellMar>
        </w:tblPrEx>
        <w:trPr>
          <w:trHeight w:val="90"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highlight w:val="none"/>
                <w:lang w:eastAsia="zh-CN"/>
              </w:rPr>
            </w:pPr>
            <w:r>
              <w:rPr>
                <w:rFonts w:hint="eastAsia" w:ascii="仿宋" w:hAnsi="仿宋" w:eastAsia="仿宋" w:cs="Times New Roman"/>
                <w:color w:val="000000"/>
                <w:kern w:val="0"/>
                <w:sz w:val="24"/>
                <w:szCs w:val="24"/>
                <w:highlight w:val="none"/>
                <w:lang w:val="en-US" w:eastAsia="zh-CN"/>
              </w:rPr>
              <w:t>3</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highlight w:val="none"/>
              </w:rPr>
            </w:pPr>
            <w:r>
              <w:rPr>
                <w:rStyle w:val="8"/>
                <w:rFonts w:ascii="仿宋" w:hAnsi="仿宋" w:eastAsia="仿宋" w:cs="Times New Roman"/>
                <w:sz w:val="24"/>
                <w:szCs w:val="24"/>
                <w:highlight w:val="none"/>
              </w:rPr>
              <w:t>经营业绩</w:t>
            </w:r>
          </w:p>
        </w:tc>
        <w:tc>
          <w:tcPr>
            <w:tcW w:w="6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xml:space="preserve">    </w:t>
            </w:r>
            <w:r>
              <w:rPr>
                <w:rFonts w:hint="eastAsia" w:asciiTheme="minorEastAsia" w:hAnsiTheme="minorEastAsia" w:eastAsiaTheme="minorEastAsia" w:cstheme="minorEastAsia"/>
                <w:sz w:val="24"/>
                <w:szCs w:val="24"/>
                <w:highlight w:val="none"/>
              </w:rPr>
              <w:t>近三年承接过同类食材配送项目业绩，每提供一项业绩，得1分，本项累计最高得5分。服务单位须附业绩合同关键页复印件，不提供相关证明不得分。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w:t>
            </w:r>
          </w:p>
        </w:tc>
      </w:tr>
      <w:tr>
        <w:tblPrEx>
          <w:tblCellMar>
            <w:top w:w="0" w:type="dxa"/>
            <w:left w:w="108" w:type="dxa"/>
            <w:bottom w:w="67" w:type="dxa"/>
            <w:right w:w="0" w:type="dxa"/>
          </w:tblCellMar>
        </w:tblPrEx>
        <w:trPr>
          <w:trHeight w:val="617"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highlight w:val="none"/>
                <w:lang w:eastAsia="zh-CN"/>
              </w:rPr>
            </w:pPr>
            <w:r>
              <w:rPr>
                <w:rFonts w:hint="eastAsia" w:ascii="仿宋" w:hAnsi="仿宋" w:eastAsia="仿宋" w:cs="Times New Roman"/>
                <w:color w:val="000000"/>
                <w:kern w:val="0"/>
                <w:sz w:val="24"/>
                <w:szCs w:val="24"/>
                <w:highlight w:val="none"/>
                <w:lang w:val="en-US" w:eastAsia="zh-CN"/>
              </w:rPr>
              <w:t>4</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highlight w:val="none"/>
              </w:rPr>
            </w:pPr>
            <w:r>
              <w:rPr>
                <w:rStyle w:val="8"/>
                <w:rFonts w:hint="eastAsia" w:ascii="仿宋" w:hAnsi="仿宋" w:eastAsia="仿宋" w:cs="Times New Roman"/>
                <w:sz w:val="24"/>
                <w:szCs w:val="24"/>
                <w:highlight w:val="none"/>
                <w:lang w:eastAsia="zh-CN"/>
              </w:rPr>
              <w:t>储存</w:t>
            </w:r>
            <w:r>
              <w:rPr>
                <w:rStyle w:val="8"/>
                <w:rFonts w:ascii="仿宋" w:hAnsi="仿宋" w:eastAsia="仿宋" w:cs="Times New Roman"/>
                <w:sz w:val="24"/>
                <w:szCs w:val="24"/>
                <w:highlight w:val="none"/>
              </w:rPr>
              <w:t>运输</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1.服务单位投入配送车辆，每1辆车得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分，最高得</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分；配送车辆中含有冷藏车的，每1辆</w:t>
            </w:r>
            <w:r>
              <w:rPr>
                <w:rFonts w:hint="eastAsia" w:asciiTheme="minorEastAsia" w:hAnsiTheme="minorEastAsia" w:eastAsiaTheme="minorEastAsia" w:cstheme="minorEastAsia"/>
                <w:sz w:val="24"/>
                <w:szCs w:val="24"/>
                <w:highlight w:val="none"/>
                <w:lang w:eastAsia="zh-CN"/>
              </w:rPr>
              <w:t>加</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分，最高</w:t>
            </w:r>
            <w:r>
              <w:rPr>
                <w:rFonts w:hint="eastAsia" w:asciiTheme="minorEastAsia" w:hAnsiTheme="minorEastAsia" w:eastAsiaTheme="minorEastAsia" w:cstheme="minorEastAsia"/>
                <w:sz w:val="24"/>
                <w:szCs w:val="24"/>
                <w:highlight w:val="none"/>
                <w:lang w:eastAsia="zh-CN"/>
              </w:rPr>
              <w:t>加</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eastAsia="zh-CN"/>
              </w:rPr>
              <w:t>配送车辆最高得分为</w:t>
            </w:r>
            <w:r>
              <w:rPr>
                <w:rFonts w:hint="eastAsia" w:asciiTheme="minorEastAsia" w:hAnsi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分。</w:t>
            </w:r>
          </w:p>
          <w:p>
            <w:pPr>
              <w:widowControl/>
              <w:spacing w:line="360" w:lineRule="exact"/>
              <w:ind w:right="108"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2.服务单位自有或租赁固定仓储场所的，得2分，仓储场所具有专门冷藏冰冻库的，加1分；本项最高得3分。</w:t>
            </w:r>
          </w:p>
          <w:p>
            <w:pPr>
              <w:widowControl/>
              <w:spacing w:line="360" w:lineRule="exact"/>
              <w:ind w:right="108"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储存仓库及</w:t>
            </w:r>
            <w:r>
              <w:rPr>
                <w:rFonts w:hint="eastAsia" w:asciiTheme="minorEastAsia" w:hAnsiTheme="minorEastAsia" w:eastAsiaTheme="minorEastAsia" w:cstheme="minorEastAsia"/>
                <w:sz w:val="24"/>
                <w:szCs w:val="24"/>
                <w:highlight w:val="none"/>
              </w:rPr>
              <w:t>配送车辆定期消毒清洗的，提供相关佐证材料的，</w:t>
            </w:r>
            <w:r>
              <w:rPr>
                <w:rFonts w:hint="eastAsia" w:asciiTheme="minorEastAsia" w:hAnsiTheme="minorEastAsia" w:eastAsiaTheme="minorEastAsia" w:cstheme="minorEastAsia"/>
                <w:sz w:val="24"/>
                <w:szCs w:val="24"/>
                <w:highlight w:val="none"/>
                <w:lang w:eastAsia="zh-CN"/>
              </w:rPr>
              <w:t>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分。不提供相关证明不</w:t>
            </w:r>
            <w:r>
              <w:rPr>
                <w:rFonts w:hint="eastAsia" w:asciiTheme="minorEastAsia" w:hAnsiTheme="minorEastAsia" w:eastAsiaTheme="minorEastAsia" w:cstheme="minorEastAsia"/>
                <w:sz w:val="24"/>
                <w:szCs w:val="24"/>
                <w:highlight w:val="none"/>
                <w:lang w:eastAsia="zh-CN"/>
              </w:rPr>
              <w:t>加</w:t>
            </w:r>
            <w:r>
              <w:rPr>
                <w:rFonts w:hint="eastAsia" w:asciiTheme="minorEastAsia" w:hAnsiTheme="minorEastAsia" w:eastAsiaTheme="minorEastAsia" w:cstheme="minorEastAsia"/>
                <w:sz w:val="24"/>
                <w:szCs w:val="24"/>
                <w:highlight w:val="none"/>
              </w:rPr>
              <w:t>分。</w:t>
            </w:r>
          </w:p>
          <w:p>
            <w:pPr>
              <w:widowControl/>
              <w:spacing w:line="360" w:lineRule="exact"/>
              <w:ind w:right="108" w:firstLine="470" w:firstLineChars="196"/>
              <w:rPr>
                <w:rFonts w:ascii="仿宋" w:hAnsi="仿宋" w:eastAsia="仿宋" w:cs="Times New Roman"/>
                <w:color w:val="000000"/>
                <w:kern w:val="0"/>
                <w:sz w:val="24"/>
                <w:szCs w:val="24"/>
                <w:highlight w:val="none"/>
              </w:rPr>
            </w:pPr>
            <w:r>
              <w:rPr>
                <w:rFonts w:hint="eastAsia" w:asciiTheme="minorEastAsia" w:hAnsiTheme="minorEastAsia" w:eastAsiaTheme="minorEastAsia" w:cstheme="minorEastAsia"/>
                <w:sz w:val="24"/>
                <w:szCs w:val="24"/>
                <w:highlight w:val="none"/>
              </w:rPr>
              <w:t>注：服务单位需提供配送车辆的车辆行驶证复印件及车辆照片（如为租赁车辆须提供租赁合同关键页复印件，租赁合同签订日期需早于公告发布日期，且合同期限不少于半年），不提供相关材料不得分。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highlight w:val="none"/>
                <w:lang w:val="en-US" w:eastAsia="zh-CN"/>
              </w:rPr>
            </w:pPr>
            <w:r>
              <w:rPr>
                <w:rFonts w:hint="eastAsia" w:ascii="仿宋" w:hAnsi="仿宋" w:eastAsia="仿宋" w:cs="Times New Roman"/>
                <w:color w:val="000000"/>
                <w:kern w:val="0"/>
                <w:sz w:val="24"/>
                <w:szCs w:val="24"/>
                <w:highlight w:val="none"/>
                <w:lang w:val="en-US" w:eastAsia="zh-CN"/>
              </w:rPr>
              <w:t>13</w:t>
            </w:r>
          </w:p>
        </w:tc>
      </w:tr>
      <w:tr>
        <w:tblPrEx>
          <w:tblCellMar>
            <w:top w:w="0" w:type="dxa"/>
            <w:left w:w="108" w:type="dxa"/>
            <w:bottom w:w="67" w:type="dxa"/>
            <w:right w:w="0" w:type="dxa"/>
          </w:tblCellMar>
        </w:tblPrEx>
        <w:trPr>
          <w:trHeight w:val="850"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highlight w:val="none"/>
                <w:lang w:eastAsia="zh-CN"/>
              </w:rPr>
            </w:pPr>
            <w:r>
              <w:rPr>
                <w:rFonts w:hint="eastAsia" w:ascii="仿宋" w:hAnsi="仿宋" w:eastAsia="仿宋" w:cs="Times New Roman"/>
                <w:color w:val="000000"/>
                <w:kern w:val="0"/>
                <w:sz w:val="24"/>
                <w:szCs w:val="24"/>
                <w:highlight w:val="none"/>
                <w:lang w:val="en-US" w:eastAsia="zh-CN"/>
              </w:rPr>
              <w:t>5</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highlight w:val="none"/>
              </w:rPr>
            </w:pPr>
            <w:r>
              <w:rPr>
                <w:rStyle w:val="8"/>
                <w:rFonts w:ascii="仿宋" w:hAnsi="仿宋" w:eastAsia="仿宋" w:cs="Times New Roman"/>
                <w:sz w:val="24"/>
                <w:szCs w:val="24"/>
                <w:highlight w:val="none"/>
              </w:rPr>
              <w:t>食材</w:t>
            </w:r>
            <w:r>
              <w:rPr>
                <w:rStyle w:val="8"/>
                <w:rFonts w:hint="eastAsia" w:ascii="仿宋" w:hAnsi="仿宋" w:eastAsia="仿宋" w:cs="Times New Roman"/>
                <w:sz w:val="24"/>
                <w:szCs w:val="24"/>
                <w:highlight w:val="none"/>
              </w:rPr>
              <w:t>来源</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供应商已建立</w:t>
            </w:r>
            <w:r>
              <w:rPr>
                <w:rFonts w:hint="eastAsia" w:asciiTheme="minorEastAsia" w:hAnsiTheme="minorEastAsia" w:cstheme="minorEastAsia"/>
                <w:sz w:val="24"/>
                <w:szCs w:val="24"/>
                <w:lang w:eastAsia="zh-CN"/>
              </w:rPr>
              <w:t>食材</w:t>
            </w:r>
            <w:r>
              <w:rPr>
                <w:rFonts w:hint="eastAsia" w:asciiTheme="minorEastAsia" w:hAnsiTheme="minorEastAsia" w:eastAsiaTheme="minorEastAsia" w:cstheme="minorEastAsia"/>
                <w:sz w:val="24"/>
                <w:szCs w:val="24"/>
              </w:rPr>
              <w:t>追踪溯源体系</w:t>
            </w:r>
            <w:r>
              <w:rPr>
                <w:rFonts w:hint="eastAsia" w:asciiTheme="minorEastAsia" w:hAnsiTheme="minorEastAsia" w:eastAsiaTheme="minorEastAsia" w:cstheme="minorEastAsia"/>
                <w:sz w:val="24"/>
                <w:szCs w:val="24"/>
                <w:lang w:eastAsia="zh-CN"/>
              </w:rPr>
              <w:t>的，提供相关系统或资料证明，得</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分</w:t>
            </w:r>
            <w:r>
              <w:rPr>
                <w:rFonts w:hint="eastAsia" w:asciiTheme="minorEastAsia" w:hAnsiTheme="minorEastAsia" w:cstheme="minorEastAsia"/>
                <w:sz w:val="24"/>
                <w:szCs w:val="24"/>
                <w:lang w:val="en-US" w:eastAsia="zh-CN"/>
              </w:rPr>
              <w:t>；供应商未建立</w:t>
            </w:r>
            <w:r>
              <w:rPr>
                <w:rFonts w:hint="eastAsia" w:asciiTheme="minorEastAsia" w:hAnsiTheme="minorEastAsia" w:cstheme="minorEastAsia"/>
                <w:sz w:val="24"/>
                <w:szCs w:val="24"/>
                <w:lang w:eastAsia="zh-CN"/>
              </w:rPr>
              <w:t>食材</w:t>
            </w:r>
            <w:r>
              <w:rPr>
                <w:rFonts w:hint="eastAsia" w:asciiTheme="minorEastAsia" w:hAnsiTheme="minorEastAsia" w:eastAsiaTheme="minorEastAsia" w:cstheme="minorEastAsia"/>
                <w:sz w:val="24"/>
                <w:szCs w:val="24"/>
              </w:rPr>
              <w:t>追踪溯源体系</w:t>
            </w:r>
            <w:r>
              <w:rPr>
                <w:rFonts w:hint="eastAsia" w:asciiTheme="minorEastAsia" w:hAnsiTheme="minorEastAsia" w:eastAsiaTheme="minorEastAsia" w:cstheme="minorEastAsia"/>
                <w:sz w:val="24"/>
                <w:szCs w:val="24"/>
                <w:lang w:eastAsia="zh-CN"/>
              </w:rPr>
              <w:t>的</w:t>
            </w:r>
            <w:r>
              <w:rPr>
                <w:rFonts w:hint="eastAsia" w:asciiTheme="minorEastAsia" w:hAnsiTheme="minorEastAsia" w:cstheme="minorEastAsia"/>
                <w:sz w:val="24"/>
                <w:szCs w:val="24"/>
                <w:lang w:eastAsia="zh-CN"/>
              </w:rPr>
              <w:t>，但</w:t>
            </w:r>
            <w:r>
              <w:rPr>
                <w:rFonts w:hint="eastAsia" w:asciiTheme="minorEastAsia" w:hAnsiTheme="minorEastAsia" w:eastAsiaTheme="minorEastAsia" w:cstheme="minorEastAsia"/>
                <w:sz w:val="24"/>
                <w:szCs w:val="24"/>
              </w:rPr>
              <w:t>承诺建立配送采购人食材的追踪溯源体系及专门台账档案，</w:t>
            </w:r>
            <w:r>
              <w:rPr>
                <w:rFonts w:hint="eastAsia" w:asciiTheme="minorEastAsia" w:hAnsiTheme="minorEastAsia" w:cstheme="minorEastAsia"/>
                <w:sz w:val="24"/>
                <w:szCs w:val="24"/>
                <w:lang w:eastAsia="zh-CN"/>
              </w:rPr>
              <w:t>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分。（供应商提供承诺函加盖公章，不提供承诺函不得分）</w:t>
            </w:r>
          </w:p>
          <w:p>
            <w:pPr>
              <w:widowControl/>
              <w:spacing w:line="360" w:lineRule="exact"/>
              <w:ind w:right="108"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.服务单位与当地经营大型农贸市场或与大型农贸市场有稳定合作关系</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rPr>
              <w:t>每提供一项得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分，本项累计最高得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highlight w:val="none"/>
              </w:rPr>
              <w:t>。(服务单位提供与有经营大型农贸市场或与大型农贸市场的合作协议或者合同复印件加盖投标人公章，不提供不得分。)</w:t>
            </w:r>
          </w:p>
          <w:p>
            <w:pPr>
              <w:widowControl/>
              <w:spacing w:line="360" w:lineRule="exact"/>
              <w:ind w:right="108" w:firstLine="480" w:firstLineChars="200"/>
              <w:rPr>
                <w:rFonts w:ascii="仿宋" w:hAnsi="仿宋" w:eastAsia="仿宋" w:cs="Times New Roman"/>
                <w:color w:val="000000"/>
                <w:kern w:val="0"/>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.服务单位自有或</w:t>
            </w:r>
            <w:r>
              <w:rPr>
                <w:rFonts w:hint="eastAsia" w:asciiTheme="minorEastAsia" w:hAnsiTheme="minorEastAsia" w:eastAsiaTheme="minorEastAsia" w:cstheme="minorEastAsia"/>
                <w:sz w:val="24"/>
                <w:szCs w:val="24"/>
                <w:highlight w:val="none"/>
                <w:lang w:eastAsia="zh-CN"/>
              </w:rPr>
              <w:t>相关资质企业合作</w:t>
            </w:r>
            <w:r>
              <w:rPr>
                <w:rFonts w:hint="eastAsia" w:asciiTheme="minorEastAsia" w:hAnsiTheme="minorEastAsia" w:eastAsiaTheme="minorEastAsia" w:cstheme="minorEastAsia"/>
                <w:sz w:val="24"/>
                <w:szCs w:val="24"/>
                <w:highlight w:val="none"/>
              </w:rPr>
              <w:t>原材料生产基地的，如蔬菜、肉类、粮食、水果、水产品、副食品等，每提供 1项得1 分，满分</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分。(提供自有基地相关的产权证明复印件加盖投标人公章，如</w:t>
            </w:r>
            <w:r>
              <w:rPr>
                <w:rFonts w:hint="eastAsia" w:asciiTheme="minorEastAsia" w:hAnsiTheme="minorEastAsia" w:eastAsiaTheme="minorEastAsia" w:cstheme="minorEastAsia"/>
                <w:sz w:val="24"/>
                <w:szCs w:val="24"/>
                <w:highlight w:val="none"/>
                <w:lang w:eastAsia="zh-CN"/>
              </w:rPr>
              <w:t>合作</w:t>
            </w:r>
            <w:r>
              <w:rPr>
                <w:rFonts w:hint="eastAsia" w:asciiTheme="minorEastAsia" w:hAnsiTheme="minorEastAsia" w:eastAsiaTheme="minorEastAsia" w:cstheme="minorEastAsia"/>
                <w:sz w:val="24"/>
                <w:szCs w:val="24"/>
                <w:highlight w:val="none"/>
              </w:rPr>
              <w:t>原材料基地的提供</w:t>
            </w:r>
            <w:r>
              <w:rPr>
                <w:rFonts w:hint="eastAsia" w:asciiTheme="minorEastAsia" w:hAnsiTheme="minorEastAsia" w:eastAsiaTheme="minorEastAsia" w:cstheme="minorEastAsia"/>
                <w:sz w:val="24"/>
                <w:szCs w:val="24"/>
                <w:highlight w:val="none"/>
                <w:lang w:eastAsia="zh-CN"/>
              </w:rPr>
              <w:t>合作</w:t>
            </w:r>
            <w:r>
              <w:rPr>
                <w:rFonts w:hint="eastAsia" w:asciiTheme="minorEastAsia" w:hAnsiTheme="minorEastAsia" w:eastAsiaTheme="minorEastAsia" w:cstheme="minorEastAsia"/>
                <w:sz w:val="24"/>
                <w:szCs w:val="24"/>
                <w:highlight w:val="none"/>
              </w:rPr>
              <w:t>合同复印件</w:t>
            </w:r>
            <w:r>
              <w:rPr>
                <w:rFonts w:hint="eastAsia" w:asciiTheme="minorEastAsia" w:hAnsiTheme="minorEastAsia" w:eastAsiaTheme="minorEastAsia" w:cstheme="minorEastAsia"/>
                <w:sz w:val="24"/>
                <w:szCs w:val="24"/>
                <w:highlight w:val="none"/>
                <w:lang w:eastAsia="zh-CN"/>
              </w:rPr>
              <w:t>、合作企业的有效的营业执照或生产许可证复印件</w:t>
            </w:r>
            <w:r>
              <w:rPr>
                <w:rFonts w:hint="eastAsia" w:asciiTheme="minorEastAsia" w:hAnsiTheme="minorEastAsia" w:eastAsiaTheme="minorEastAsia" w:cstheme="minorEastAsia"/>
                <w:sz w:val="24"/>
                <w:szCs w:val="24"/>
                <w:highlight w:val="none"/>
              </w:rPr>
              <w:t>加盖公章，否则不得分。)</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highlight w:val="none"/>
                <w:lang w:val="en-US" w:eastAsia="zh-CN"/>
              </w:rPr>
            </w:pPr>
            <w:r>
              <w:rPr>
                <w:rFonts w:hint="eastAsia" w:ascii="仿宋" w:hAnsi="仿宋" w:eastAsia="仿宋" w:cs="Times New Roman"/>
                <w:color w:val="000000"/>
                <w:kern w:val="0"/>
                <w:sz w:val="24"/>
                <w:szCs w:val="24"/>
                <w:highlight w:val="none"/>
                <w:lang w:val="en-US" w:eastAsia="zh-CN"/>
              </w:rPr>
              <w:t>12</w:t>
            </w:r>
          </w:p>
        </w:tc>
      </w:tr>
      <w:tr>
        <w:tblPrEx>
          <w:tblCellMar>
            <w:top w:w="0" w:type="dxa"/>
            <w:left w:w="108" w:type="dxa"/>
            <w:bottom w:w="67" w:type="dxa"/>
            <w:right w:w="0" w:type="dxa"/>
          </w:tblCellMar>
        </w:tblPrEx>
        <w:trPr>
          <w:trHeight w:val="204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Fonts w:hint="eastAsia" w:ascii="仿宋" w:hAnsi="仿宋" w:eastAsia="仿宋" w:cs="Times New Roman"/>
                <w:color w:val="000000"/>
                <w:kern w:val="0"/>
                <w:sz w:val="24"/>
                <w:szCs w:val="24"/>
                <w:highlight w:val="none"/>
                <w:lang w:eastAsia="zh-CN"/>
              </w:rPr>
            </w:pPr>
            <w:r>
              <w:rPr>
                <w:rFonts w:hint="eastAsia" w:ascii="仿宋" w:hAnsi="仿宋" w:eastAsia="仿宋" w:cs="Times New Roman"/>
                <w:color w:val="000000"/>
                <w:kern w:val="0"/>
                <w:sz w:val="24"/>
                <w:szCs w:val="24"/>
                <w:highlight w:val="none"/>
                <w:lang w:val="en-US" w:eastAsia="zh-CN"/>
              </w:rPr>
              <w:t>6</w:t>
            </w:r>
          </w:p>
        </w:tc>
        <w:tc>
          <w:tcPr>
            <w:tcW w:w="179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highlight w:val="none"/>
              </w:rPr>
            </w:pPr>
            <w:r>
              <w:rPr>
                <w:rStyle w:val="8"/>
                <w:rFonts w:ascii="仿宋" w:hAnsi="仿宋" w:eastAsia="仿宋" w:cs="Times New Roman"/>
                <w:sz w:val="24"/>
                <w:szCs w:val="24"/>
                <w:highlight w:val="none"/>
              </w:rPr>
              <w:t>食材</w:t>
            </w:r>
            <w:r>
              <w:rPr>
                <w:rStyle w:val="8"/>
                <w:rFonts w:hint="eastAsia" w:ascii="仿宋" w:hAnsi="仿宋" w:eastAsia="仿宋" w:cs="Times New Roman"/>
                <w:sz w:val="24"/>
                <w:szCs w:val="24"/>
                <w:highlight w:val="none"/>
              </w:rPr>
              <w:t>安全</w:t>
            </w:r>
            <w:r>
              <w:rPr>
                <w:rStyle w:val="8"/>
                <w:rFonts w:ascii="仿宋" w:hAnsi="仿宋" w:eastAsia="仿宋" w:cs="Times New Roman"/>
                <w:sz w:val="24"/>
                <w:szCs w:val="24"/>
                <w:highlight w:val="none"/>
              </w:rPr>
              <w:t>保障</w:t>
            </w:r>
          </w:p>
        </w:tc>
        <w:tc>
          <w:tcPr>
            <w:tcW w:w="6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08"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1.服务单位提供</w:t>
            </w:r>
            <w:r>
              <w:rPr>
                <w:rFonts w:hint="eastAsia" w:asciiTheme="minorEastAsia" w:hAnsiTheme="minorEastAsia" w:eastAsiaTheme="minorEastAsia" w:cstheme="minorEastAsia"/>
                <w:sz w:val="24"/>
                <w:szCs w:val="24"/>
                <w:highlight w:val="none"/>
                <w:lang w:eastAsia="zh-CN"/>
              </w:rPr>
              <w:t>截至报名期限前</w:t>
            </w:r>
            <w:r>
              <w:rPr>
                <w:rFonts w:hint="eastAsia" w:asciiTheme="minorEastAsia" w:hAnsiTheme="minorEastAsia" w:eastAsiaTheme="minorEastAsia" w:cstheme="minorEastAsia"/>
                <w:sz w:val="24"/>
                <w:szCs w:val="24"/>
                <w:highlight w:val="none"/>
                <w:lang w:val="en-US" w:eastAsia="zh-CN"/>
              </w:rPr>
              <w:t>3个月</w:t>
            </w:r>
            <w:r>
              <w:rPr>
                <w:rFonts w:hint="eastAsia" w:asciiTheme="minorEastAsia" w:hAnsiTheme="minorEastAsia" w:cstheme="minorEastAsia"/>
                <w:sz w:val="24"/>
                <w:szCs w:val="24"/>
                <w:highlight w:val="none"/>
                <w:lang w:val="en-US" w:eastAsia="zh-CN"/>
              </w:rPr>
              <w:t>内</w:t>
            </w:r>
            <w:r>
              <w:rPr>
                <w:rFonts w:hint="eastAsia" w:asciiTheme="minorEastAsia" w:hAnsiTheme="minorEastAsia" w:eastAsiaTheme="minorEastAsia" w:cstheme="minorEastAsia"/>
                <w:sz w:val="24"/>
                <w:szCs w:val="24"/>
                <w:highlight w:val="none"/>
              </w:rPr>
              <w:t>获得政府行政管理部门或有资质的第三方检测机构出具的对主要食材米、粉、面、蔬菜、禽畜生肉、禽蛋、水产品、副食品等的检验合格质检报告，每提供一项原材料报告得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分，最高得分为</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分。</w:t>
            </w:r>
          </w:p>
          <w:p>
            <w:pPr>
              <w:widowControl/>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服务单位对食品安全进行安全责任投保，投保金额不少于3000万元的，或单次赔保金额不少于300万元的，得10分；投保金额不少于1000万元的，或单次赔保金额不少于200万元的，得5分；投保金额不少于500万元的，或单次赔保金额不少于100万元的，得3分；投保金额不少于100万元的，或单次赔保金额不少于50万元的，得1分。服务单位需提供有效的食品安全责任保险合同，不提供相关证明不得分。</w:t>
            </w:r>
          </w:p>
          <w:p>
            <w:pPr>
              <w:pStyle w:val="2"/>
              <w:ind w:firstLine="480" w:firstLineChars="200"/>
              <w:rPr>
                <w:rFonts w:hint="default" w:asciiTheme="minorHAnsi" w:hAnsiTheme="minorHAnsi" w:cstheme="minorBidi"/>
                <w:kern w:val="2"/>
                <w:sz w:val="21"/>
                <w:szCs w:val="22"/>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3.服务单位从业人员是否具备食品安全管理人员证（或考试合格证明）、食品检验证书，每提供一名持证人员得1分，最高得5分；需提供持证人员近半年在本单位的社保流水。</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highlight w:val="none"/>
                <w:lang w:val="en-US" w:eastAsia="zh-CN"/>
              </w:rPr>
            </w:pPr>
            <w:r>
              <w:rPr>
                <w:rFonts w:hint="eastAsia" w:ascii="仿宋" w:hAnsi="仿宋" w:eastAsia="仿宋" w:cs="Times New Roman"/>
                <w:kern w:val="0"/>
                <w:sz w:val="24"/>
                <w:szCs w:val="24"/>
                <w:highlight w:val="none"/>
                <w:lang w:val="en-US" w:eastAsia="zh-CN"/>
              </w:rPr>
              <w:t>20</w:t>
            </w:r>
          </w:p>
        </w:tc>
      </w:tr>
      <w:tr>
        <w:tblPrEx>
          <w:tblCellMar>
            <w:top w:w="0" w:type="dxa"/>
            <w:left w:w="108" w:type="dxa"/>
            <w:bottom w:w="67" w:type="dxa"/>
            <w:right w:w="0" w:type="dxa"/>
          </w:tblCellMar>
        </w:tblPrEx>
        <w:trPr>
          <w:trHeight w:val="1210" w:hRule="atLeast"/>
          <w:jc w:val="center"/>
        </w:trPr>
        <w:tc>
          <w:tcPr>
            <w:tcW w:w="655" w:type="dxa"/>
            <w:tcBorders>
              <w:top w:val="single" w:color="000000" w:sz="4" w:space="0"/>
              <w:left w:val="single" w:color="000000" w:sz="4" w:space="0"/>
              <w:bottom w:val="single" w:color="auto" w:sz="4" w:space="0"/>
              <w:right w:val="single" w:color="000000" w:sz="4" w:space="0"/>
            </w:tcBorders>
            <w:vAlign w:val="center"/>
          </w:tcPr>
          <w:p>
            <w:pPr>
              <w:widowControl/>
              <w:spacing w:line="360" w:lineRule="exact"/>
              <w:ind w:right="108"/>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lang w:val="en-US" w:eastAsia="zh-CN"/>
              </w:rPr>
              <w:t>7</w:t>
            </w:r>
            <w:r>
              <w:rPr>
                <w:rFonts w:hint="eastAsia" w:ascii="仿宋" w:hAnsi="仿宋" w:eastAsia="仿宋" w:cs="Times New Roman"/>
                <w:color w:val="000000"/>
                <w:kern w:val="0"/>
                <w:sz w:val="24"/>
                <w:szCs w:val="24"/>
                <w:highlight w:val="none"/>
              </w:rPr>
              <w:t xml:space="preserve"> </w:t>
            </w:r>
          </w:p>
        </w:tc>
        <w:tc>
          <w:tcPr>
            <w:tcW w:w="1797" w:type="dxa"/>
            <w:tcBorders>
              <w:top w:val="single" w:color="000000" w:sz="4" w:space="0"/>
              <w:left w:val="single" w:color="000000" w:sz="4" w:space="0"/>
              <w:bottom w:val="single" w:color="auto" w:sz="4" w:space="0"/>
              <w:right w:val="single" w:color="000000" w:sz="4" w:space="0"/>
            </w:tcBorders>
            <w:vAlign w:val="center"/>
          </w:tcPr>
          <w:p>
            <w:pPr>
              <w:widowControl/>
              <w:spacing w:line="360" w:lineRule="exact"/>
              <w:ind w:right="108"/>
              <w:jc w:val="center"/>
              <w:rPr>
                <w:rStyle w:val="8"/>
                <w:rFonts w:ascii="仿宋" w:hAnsi="仿宋" w:eastAsia="仿宋" w:cs="Times New Roman"/>
                <w:sz w:val="24"/>
                <w:szCs w:val="24"/>
                <w:highlight w:val="none"/>
              </w:rPr>
            </w:pPr>
            <w:r>
              <w:rPr>
                <w:rStyle w:val="8"/>
                <w:rFonts w:hint="eastAsia" w:ascii="仿宋" w:hAnsi="仿宋" w:eastAsia="仿宋" w:cs="Times New Roman"/>
                <w:sz w:val="24"/>
                <w:szCs w:val="24"/>
                <w:highlight w:val="none"/>
              </w:rPr>
              <w:t>食材</w:t>
            </w:r>
            <w:r>
              <w:rPr>
                <w:rStyle w:val="8"/>
                <w:rFonts w:ascii="仿宋" w:hAnsi="仿宋" w:eastAsia="仿宋" w:cs="Times New Roman"/>
                <w:sz w:val="24"/>
                <w:szCs w:val="24"/>
                <w:highlight w:val="none"/>
              </w:rPr>
              <w:t>价格</w:t>
            </w:r>
          </w:p>
        </w:tc>
        <w:tc>
          <w:tcPr>
            <w:tcW w:w="6134" w:type="dxa"/>
            <w:tcBorders>
              <w:top w:val="single" w:color="000000" w:sz="4" w:space="0"/>
              <w:left w:val="single" w:color="000000" w:sz="4" w:space="0"/>
              <w:bottom w:val="single" w:color="auto" w:sz="4" w:space="0"/>
              <w:right w:val="single" w:color="000000" w:sz="4" w:space="0"/>
            </w:tcBorders>
            <w:vAlign w:val="center"/>
          </w:tcPr>
          <w:p>
            <w:pPr>
              <w:widowControl/>
              <w:ind w:firstLine="480"/>
              <w:jc w:val="left"/>
              <w:rPr>
                <w:rFonts w:hint="eastAsia" w:eastAsiaTheme="minorEastAsia"/>
                <w:highlight w:val="none"/>
                <w:lang w:eastAsia="zh-CN"/>
              </w:rPr>
            </w:pPr>
            <w:r>
              <w:rPr>
                <w:rFonts w:hint="eastAsia" w:asciiTheme="minorEastAsia" w:hAnsiTheme="minorEastAsia" w:eastAsiaTheme="minorEastAsia" w:cstheme="minorEastAsia"/>
                <w:sz w:val="24"/>
                <w:szCs w:val="24"/>
                <w:highlight w:val="none"/>
              </w:rPr>
              <w:t>以江门市发改局公布的江门市菜篮子价格为基准价格，供应商提供折扣率报价，折扣率为0不得分，折扣率每增加1%得1分，最高得分10分。</w:t>
            </w:r>
          </w:p>
        </w:tc>
        <w:tc>
          <w:tcPr>
            <w:tcW w:w="1440" w:type="dxa"/>
            <w:tcBorders>
              <w:top w:val="single" w:color="000000" w:sz="4" w:space="0"/>
              <w:left w:val="single" w:color="000000" w:sz="4" w:space="0"/>
              <w:bottom w:val="single" w:color="auto" w:sz="4" w:space="0"/>
              <w:right w:val="single" w:color="000000" w:sz="4" w:space="0"/>
            </w:tcBorders>
            <w:vAlign w:val="center"/>
          </w:tcPr>
          <w:p>
            <w:pPr>
              <w:widowControl/>
              <w:spacing w:line="360" w:lineRule="exact"/>
              <w:ind w:right="110"/>
              <w:jc w:val="center"/>
              <w:rPr>
                <w:rFonts w:hint="default" w:ascii="仿宋" w:hAnsi="仿宋" w:eastAsia="仿宋" w:cs="Times New Roman"/>
                <w:color w:val="000000"/>
                <w:kern w:val="0"/>
                <w:sz w:val="24"/>
                <w:szCs w:val="24"/>
                <w:highlight w:val="none"/>
                <w:lang w:val="en-US" w:eastAsia="zh-CN"/>
              </w:rPr>
            </w:pPr>
            <w:r>
              <w:rPr>
                <w:rFonts w:hint="eastAsia" w:ascii="仿宋" w:hAnsi="仿宋" w:eastAsia="仿宋" w:cs="Times New Roman"/>
                <w:color w:val="000000"/>
                <w:kern w:val="0"/>
                <w:sz w:val="24"/>
                <w:szCs w:val="24"/>
                <w:highlight w:val="none"/>
                <w:lang w:val="en-US" w:eastAsia="zh-CN"/>
              </w:rPr>
              <w:t>10</w:t>
            </w:r>
          </w:p>
        </w:tc>
      </w:tr>
      <w:tr>
        <w:tblPrEx>
          <w:tblCellMar>
            <w:top w:w="0" w:type="dxa"/>
            <w:left w:w="108" w:type="dxa"/>
            <w:bottom w:w="67" w:type="dxa"/>
            <w:right w:w="0" w:type="dxa"/>
          </w:tblCellMar>
        </w:tblPrEx>
        <w:trPr>
          <w:trHeight w:val="1675" w:hRule="atLeast"/>
          <w:jc w:val="center"/>
        </w:trPr>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08" w:rightChars="0"/>
              <w:jc w:val="center"/>
              <w:rPr>
                <w:rFonts w:hint="eastAsia"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4"/>
                <w:lang w:val="en-US" w:eastAsia="zh-CN"/>
              </w:rPr>
              <w:t>8</w:t>
            </w:r>
          </w:p>
        </w:tc>
        <w:tc>
          <w:tcPr>
            <w:tcW w:w="17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08" w:rightChars="0"/>
              <w:jc w:val="center"/>
              <w:rPr>
                <w:rFonts w:hint="eastAsia" w:ascii="仿宋" w:hAnsi="仿宋" w:eastAsia="仿宋" w:cs="Times New Roman"/>
                <w:b/>
                <w:bCs/>
                <w:kern w:val="2"/>
                <w:sz w:val="24"/>
                <w:szCs w:val="24"/>
                <w:lang w:val="en-US" w:eastAsia="zh-CN" w:bidi="ar-SA"/>
              </w:rPr>
            </w:pPr>
            <w:r>
              <w:rPr>
                <w:rStyle w:val="8"/>
                <w:rFonts w:hint="eastAsia" w:ascii="仿宋" w:hAnsi="仿宋" w:eastAsia="仿宋" w:cs="Times New Roman"/>
                <w:sz w:val="24"/>
                <w:szCs w:val="24"/>
              </w:rPr>
              <w:t>现场调查</w:t>
            </w:r>
          </w:p>
        </w:tc>
        <w:tc>
          <w:tcPr>
            <w:tcW w:w="6134"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2"/>
              <w:ind w:firstLine="480" w:firstLineChars="200"/>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eastAsia="zh-CN"/>
              </w:rPr>
              <w:t>对供应商的经营场所和仓储场所进行实地考察，综合评定等级，按照优、良、中、差等级分别得</w:t>
            </w:r>
            <w:r>
              <w:rPr>
                <w:rFonts w:hint="eastAsia" w:asciiTheme="minorEastAsia" w:hAnsiTheme="minorEastAsia" w:eastAsiaTheme="minorEastAsia" w:cstheme="minorEastAsia"/>
                <w:color w:val="auto"/>
                <w:kern w:val="2"/>
                <w:sz w:val="24"/>
                <w:szCs w:val="24"/>
                <w:lang w:val="en-US" w:eastAsia="zh-CN"/>
              </w:rPr>
              <w:t>10、8、5、2分。发现涉及重大食品安全隐患的，经评分小组研究，直接取消资格。</w:t>
            </w:r>
          </w:p>
          <w:p>
            <w:pPr>
              <w:pStyle w:val="2"/>
              <w:ind w:firstLine="480" w:firstLineChars="200"/>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rPr>
              <w:t>对供应商提供的方案以及现合作方（含甲方、乙方）进行</w:t>
            </w:r>
            <w:r>
              <w:rPr>
                <w:rFonts w:hint="eastAsia" w:asciiTheme="minorEastAsia" w:hAnsiTheme="minorEastAsia" w:eastAsiaTheme="minorEastAsia" w:cstheme="minorEastAsia"/>
                <w:color w:val="auto"/>
                <w:kern w:val="2"/>
                <w:sz w:val="24"/>
                <w:szCs w:val="24"/>
                <w:lang w:eastAsia="zh-CN"/>
              </w:rPr>
              <w:t>现场</w:t>
            </w:r>
            <w:r>
              <w:rPr>
                <w:rFonts w:hint="eastAsia" w:asciiTheme="minorEastAsia" w:hAnsiTheme="minorEastAsia" w:eastAsiaTheme="minorEastAsia" w:cstheme="minorEastAsia"/>
                <w:color w:val="auto"/>
                <w:kern w:val="2"/>
                <w:sz w:val="24"/>
                <w:szCs w:val="24"/>
              </w:rPr>
              <w:t>抽查，发现1起隐瞒、虚构、造假，扣2分，</w:t>
            </w:r>
            <w:r>
              <w:rPr>
                <w:rFonts w:hint="eastAsia" w:asciiTheme="minorEastAsia" w:hAnsiTheme="minorEastAsia" w:eastAsiaTheme="minorEastAsia" w:cstheme="minorEastAsia"/>
                <w:color w:val="auto"/>
                <w:kern w:val="2"/>
                <w:sz w:val="24"/>
                <w:szCs w:val="24"/>
                <w:lang w:eastAsia="zh-CN"/>
              </w:rPr>
              <w:t>扣完本项应得分为止。</w:t>
            </w:r>
          </w:p>
          <w:p>
            <w:pPr>
              <w:pStyle w:val="2"/>
              <w:ind w:firstLine="420" w:firstLineChars="200"/>
              <w:rPr>
                <w:rFonts w:hint="eastAsia" w:asciiTheme="minorHAnsi" w:hAnsiTheme="minorHAnsi"/>
                <w:color w:val="auto"/>
                <w:kern w:val="2"/>
                <w:sz w:val="21"/>
                <w:szCs w:val="22"/>
                <w:lang w:val="en-US" w:eastAsia="zh-CN"/>
              </w:rPr>
            </w:pP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exact"/>
              <w:ind w:right="110" w:rightChars="0"/>
              <w:jc w:val="center"/>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rPr>
              <w:t>10</w:t>
            </w:r>
          </w:p>
        </w:tc>
      </w:tr>
    </w:tbl>
    <w:p>
      <w:pPr>
        <w:spacing w:line="560" w:lineRule="exact"/>
        <w:ind w:firstLine="480" w:firstLineChars="200"/>
        <w:rPr>
          <w:rFonts w:ascii="仿宋" w:hAnsi="仿宋" w:eastAsia="仿宋" w:cs="Times New Roman"/>
          <w:sz w:val="24"/>
          <w:szCs w:val="24"/>
        </w:rPr>
      </w:pPr>
    </w:p>
    <w:p>
      <w:pPr>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dobe Fan Heiti Std B">
    <w:panose1 w:val="020B0700000000000000"/>
    <w:charset w:val="88"/>
    <w:family w:val="auto"/>
    <w:pitch w:val="default"/>
    <w:sig w:usb0="00000001"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6210401"/>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ODdiMDBmZTA2YTRlYzkwYmIyM2MyYTRiNzkwZDQifQ=="/>
  </w:docVars>
  <w:rsids>
    <w:rsidRoot w:val="192F1C53"/>
    <w:rsid w:val="00027A97"/>
    <w:rsid w:val="0003446D"/>
    <w:rsid w:val="000A39DD"/>
    <w:rsid w:val="000E2E33"/>
    <w:rsid w:val="000E4B69"/>
    <w:rsid w:val="000F72EC"/>
    <w:rsid w:val="0011333C"/>
    <w:rsid w:val="00114905"/>
    <w:rsid w:val="001C00E7"/>
    <w:rsid w:val="001D7913"/>
    <w:rsid w:val="002159E3"/>
    <w:rsid w:val="00253497"/>
    <w:rsid w:val="002F2FAE"/>
    <w:rsid w:val="003C2D17"/>
    <w:rsid w:val="00444802"/>
    <w:rsid w:val="00516F57"/>
    <w:rsid w:val="00531394"/>
    <w:rsid w:val="005C24A7"/>
    <w:rsid w:val="005F6C58"/>
    <w:rsid w:val="006011E3"/>
    <w:rsid w:val="006B210B"/>
    <w:rsid w:val="00715E72"/>
    <w:rsid w:val="007448B4"/>
    <w:rsid w:val="00760CDA"/>
    <w:rsid w:val="00777AAB"/>
    <w:rsid w:val="0078481B"/>
    <w:rsid w:val="007F142F"/>
    <w:rsid w:val="00863270"/>
    <w:rsid w:val="008B7D05"/>
    <w:rsid w:val="008C75BA"/>
    <w:rsid w:val="008F49A7"/>
    <w:rsid w:val="009307A7"/>
    <w:rsid w:val="00955CC6"/>
    <w:rsid w:val="00983B5C"/>
    <w:rsid w:val="00A93BDA"/>
    <w:rsid w:val="00AD3527"/>
    <w:rsid w:val="00BA1A5A"/>
    <w:rsid w:val="00BF2CDA"/>
    <w:rsid w:val="00D91FAF"/>
    <w:rsid w:val="00F32136"/>
    <w:rsid w:val="09C4763F"/>
    <w:rsid w:val="192F1C53"/>
    <w:rsid w:val="19970CE7"/>
    <w:rsid w:val="1C1924C8"/>
    <w:rsid w:val="276B739B"/>
    <w:rsid w:val="299736CD"/>
    <w:rsid w:val="2EE9C8C2"/>
    <w:rsid w:val="31A830A5"/>
    <w:rsid w:val="32E40C59"/>
    <w:rsid w:val="41677798"/>
    <w:rsid w:val="485339CE"/>
    <w:rsid w:val="4F8C714C"/>
    <w:rsid w:val="57E984DE"/>
    <w:rsid w:val="5F9BE7A4"/>
    <w:rsid w:val="63BA198E"/>
    <w:rsid w:val="6DA8604A"/>
    <w:rsid w:val="731C41B1"/>
    <w:rsid w:val="749B21CD"/>
    <w:rsid w:val="76F870A1"/>
    <w:rsid w:val="77FE69B3"/>
    <w:rsid w:val="7B7A6232"/>
    <w:rsid w:val="7BAD1F02"/>
    <w:rsid w:val="7DD8EA00"/>
    <w:rsid w:val="7DFEC971"/>
    <w:rsid w:val="7F7BEE59"/>
    <w:rsid w:val="BB93DDBA"/>
    <w:rsid w:val="BFEDEA1A"/>
    <w:rsid w:val="DAEB4CB2"/>
    <w:rsid w:val="DFB8264F"/>
    <w:rsid w:val="DFD53690"/>
    <w:rsid w:val="E9FD3F82"/>
    <w:rsid w:val="EBCB8C98"/>
    <w:rsid w:val="EF6A32E7"/>
    <w:rsid w:val="F35F79C1"/>
    <w:rsid w:val="F5DFA3DA"/>
    <w:rsid w:val="F5FFDF52"/>
    <w:rsid w:val="FD4FFABE"/>
    <w:rsid w:val="FD699213"/>
    <w:rsid w:val="FDE581FD"/>
    <w:rsid w:val="FEB5B2D2"/>
    <w:rsid w:val="FFFF6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22"/>
    <w:rPr>
      <w:b/>
      <w:bCs/>
    </w:rPr>
  </w:style>
  <w:style w:type="paragraph" w:styleId="9">
    <w:name w:val="List Paragraph"/>
    <w:basedOn w:val="1"/>
    <w:unhideWhenUsed/>
    <w:qFormat/>
    <w:uiPriority w:val="99"/>
    <w:pPr>
      <w:ind w:firstLine="420" w:firstLineChars="200"/>
    </w:p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2104</Words>
  <Characters>2198</Characters>
  <Lines>13</Lines>
  <Paragraphs>3</Paragraphs>
  <TotalTime>1</TotalTime>
  <ScaleCrop>false</ScaleCrop>
  <LinksUpToDate>false</LinksUpToDate>
  <CharactersWithSpaces>2212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2023-09-18T08:30:00Z</dcterms:created>
  <dc:creator>李耀明</dc:creator>
  <cp:lastModifiedBy>uos</cp:lastModifiedBy>
  <cp:lastPrinted>2024-11-24T03:41:00Z</cp:lastPrinted>
  <dcterms:modified xsi:type="dcterms:W3CDTF">2025-12-23T09:08:17Z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ribbonExt">
    <vt:lpwstr>{"WPSExtOfficeTab":{"OnGetEnabled":false,"OnGetVisible":false}}</vt:lpwstr>
  </property>
  <property fmtid="{D5CDD505-2E9C-101B-9397-08002B2CF9AE}" pid="4" name="ICV">
    <vt:lpwstr>F8AED44C7982CBB681EB49699C3DE8F1_43</vt:lpwstr>
  </property>
  <property fmtid="{D5CDD505-2E9C-101B-9397-08002B2CF9AE}" pid="5" name="KSOTemplateDocerSaveRecord">
    <vt:lpwstr>eyJoZGlkIjoiOTIyY2M0N2Y4ZDJhNmQzODNlMTNmODFiM2I0Mzc3ZDciLCJ1c2VySWQiOiIxMDg0NzExODY0In0=</vt:lpwstr>
  </property>
</Properties>
</file>