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4364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黑体" w:cs="黑体"/>
          <w:bCs/>
          <w:kern w:val="0"/>
          <w:sz w:val="32"/>
          <w:szCs w:val="32"/>
          <w:lang w:val="en-US" w:eastAsia="zh-CN" w:bidi="ar-SA"/>
        </w:rPr>
      </w:pPr>
      <w:r>
        <w:rPr>
          <w:rFonts w:hint="eastAsia" w:ascii="Times New Roman" w:hAnsi="Times New Roman" w:eastAsia="黑体" w:cs="黑体"/>
          <w:bCs/>
          <w:kern w:val="0"/>
          <w:sz w:val="32"/>
          <w:szCs w:val="32"/>
          <w:lang w:val="en-US" w:eastAsia="zh-CN" w:bidi="ar-SA"/>
        </w:rPr>
        <w:t>附件2</w:t>
      </w:r>
    </w:p>
    <w:p w14:paraId="3DDCF18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方正仿宋_GBK"/>
          <w:bCs/>
          <w:kern w:val="0"/>
          <w:sz w:val="32"/>
          <w:szCs w:val="32"/>
          <w:lang w:val="en-US" w:eastAsia="zh-CN" w:bidi="ar-SA"/>
        </w:rPr>
      </w:pPr>
    </w:p>
    <w:p w14:paraId="277E049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江门市禁止、限制和控制危险化学品目录</w:t>
      </w:r>
    </w:p>
    <w:p w14:paraId="5D0F3BF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（征求意见稿）制定说明</w:t>
      </w:r>
    </w:p>
    <w:p w14:paraId="5DB1D42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p>
    <w:p w14:paraId="276F01F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根据工作安排，江门市应急管理局牵头制定了《江门市禁止、限制和控制危险化学品目录（征求意见稿），以下简称《“禁限控”目录（征求意见稿）》。现就文件制定说明如下：</w:t>
      </w:r>
    </w:p>
    <w:p w14:paraId="5FBE29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一、文件的制定背景</w:t>
      </w:r>
    </w:p>
    <w:p w14:paraId="5345B722">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kern w:val="0"/>
          <w:sz w:val="32"/>
          <w:szCs w:val="32"/>
        </w:rPr>
        <w:t>为认真贯彻落实党中央、国务院关于加强安全生产工作的一系列重要决策部署</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2020年，依据</w:t>
      </w:r>
      <w:r>
        <w:rPr>
          <w:rFonts w:hint="eastAsia" w:ascii="Times New Roman" w:hAnsi="Times New Roman" w:eastAsia="仿宋_GB2312" w:cs="仿宋_GB2312"/>
          <w:kern w:val="0"/>
          <w:sz w:val="32"/>
          <w:szCs w:val="32"/>
        </w:rPr>
        <w:t>《危险化学品安全综合治理方案》（国办发〔2016〕88号）《关于实施遏制重特大事故工作指南全面加强安全生产源头管控和安全准入工作的指导意见》（安委办〔2017〕7号）《广东省危险化学品安全综合治理实施方案》（粤府办〔2017〕11号）</w:t>
      </w:r>
      <w:r>
        <w:rPr>
          <w:rFonts w:hint="eastAsia" w:ascii="Times New Roman" w:hAnsi="Times New Roman" w:eastAsia="仿宋_GB2312" w:cs="仿宋_GB2312"/>
          <w:kern w:val="0"/>
          <w:sz w:val="32"/>
          <w:szCs w:val="32"/>
          <w:lang w:eastAsia="zh-CN"/>
        </w:rPr>
        <w:t>等文件精神和要求，我局牵头</w:t>
      </w:r>
      <w:r>
        <w:rPr>
          <w:rFonts w:hint="eastAsia" w:ascii="Times New Roman" w:hAnsi="Times New Roman" w:eastAsia="仿宋_GB2312" w:cs="仿宋_GB2312"/>
          <w:kern w:val="0"/>
          <w:sz w:val="32"/>
          <w:szCs w:val="32"/>
        </w:rPr>
        <w:t>制定了</w:t>
      </w:r>
      <w:r>
        <w:rPr>
          <w:rFonts w:hint="eastAsia" w:ascii="Times New Roman" w:hAnsi="Times New Roman" w:eastAsia="仿宋_GB2312" w:cs="仿宋_GB2312"/>
          <w:sz w:val="32"/>
          <w:szCs w:val="32"/>
          <w:lang w:eastAsia="zh-CN"/>
        </w:rPr>
        <w:t>《江门市禁止、限制和控制危险化学品目录》（以下简称《“禁限控”目录（</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）》），并经市政府审定后以政府规范性文件的形式发布实施。</w:t>
      </w:r>
    </w:p>
    <w:p w14:paraId="0A7B4B26">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《“禁限控”目录（</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）》有效期为</w:t>
      </w:r>
      <w:r>
        <w:rPr>
          <w:rFonts w:hint="eastAsia" w:ascii="Times New Roman" w:hAnsi="Times New Roman" w:eastAsia="仿宋_GB2312" w:cs="仿宋_GB2312"/>
          <w:sz w:val="32"/>
          <w:szCs w:val="32"/>
          <w:lang w:val="en-US" w:eastAsia="zh-CN"/>
        </w:rPr>
        <w:t>5年，有效期到今年12月30日。为</w:t>
      </w:r>
      <w:r>
        <w:rPr>
          <w:rFonts w:hint="eastAsia" w:ascii="Times New Roman" w:hAnsi="Times New Roman" w:eastAsia="仿宋_GB2312" w:cs="仿宋_GB2312"/>
          <w:sz w:val="32"/>
          <w:szCs w:val="32"/>
          <w:lang w:eastAsia="zh-CN"/>
        </w:rPr>
        <w:t>确保</w:t>
      </w:r>
      <w:r>
        <w:rPr>
          <w:rFonts w:hint="eastAsia" w:ascii="Times New Roman" w:hAnsi="Times New Roman" w:eastAsia="仿宋_GB2312" w:cs="仿宋_GB2312"/>
          <w:kern w:val="0"/>
          <w:sz w:val="32"/>
          <w:szCs w:val="32"/>
        </w:rPr>
        <w:t>危险化学品安全管控</w:t>
      </w:r>
      <w:r>
        <w:rPr>
          <w:rFonts w:hint="eastAsia" w:ascii="Times New Roman" w:hAnsi="Times New Roman" w:eastAsia="仿宋_GB2312" w:cs="仿宋_GB2312"/>
          <w:sz w:val="32"/>
          <w:szCs w:val="32"/>
          <w:lang w:eastAsia="zh-CN"/>
        </w:rPr>
        <w:t>政策延续，结合我市工作实际，现拟以部门规范性文件的形式，制定并发布《江门市禁止、限制和控制危险化学品目录》。</w:t>
      </w:r>
    </w:p>
    <w:p w14:paraId="528B3CA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二、制定《</w:t>
      </w:r>
      <w:r>
        <w:rPr>
          <w:rFonts w:hint="eastAsia" w:ascii="方正黑体_GBK" w:hAnsi="方正黑体_GBK" w:eastAsia="方正黑体_GBK" w:cs="方正黑体_GBK"/>
          <w:sz w:val="32"/>
          <w:szCs w:val="32"/>
          <w:lang w:eastAsia="zh-CN"/>
        </w:rPr>
        <w:t>“禁限控”</w:t>
      </w:r>
      <w:r>
        <w:rPr>
          <w:rStyle w:val="9"/>
          <w:rFonts w:hint="eastAsia" w:ascii="方正黑体_GBK" w:hAnsi="方正黑体_GBK" w:eastAsia="方正黑体_GBK" w:cs="方正黑体_GBK"/>
          <w:b w:val="0"/>
          <w:bCs/>
          <w:i w:val="0"/>
          <w:iCs w:val="0"/>
          <w:caps w:val="0"/>
          <w:color w:val="auto"/>
          <w:spacing w:val="0"/>
          <w:sz w:val="32"/>
          <w:szCs w:val="32"/>
          <w:lang w:val="en-US" w:eastAsia="zh-CN"/>
        </w:rPr>
        <w:t>目录</w:t>
      </w:r>
      <w:r>
        <w:rPr>
          <w:rFonts w:hint="eastAsia" w:ascii="方正黑体_GBK" w:hAnsi="方正黑体_GBK" w:eastAsia="方正黑体_GBK" w:cs="方正黑体_GBK"/>
          <w:sz w:val="32"/>
          <w:szCs w:val="32"/>
          <w:lang w:val="en-US" w:eastAsia="zh-CN"/>
        </w:rPr>
        <w:t>》的必要性和可行性</w:t>
      </w:r>
    </w:p>
    <w:p w14:paraId="1CDC8660">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val="0"/>
          <w:sz w:val="32"/>
          <w:szCs w:val="32"/>
          <w:lang w:eastAsia="zh-CN"/>
        </w:rPr>
        <w:t>（一）必要性。</w:t>
      </w:r>
      <w:r>
        <w:rPr>
          <w:rStyle w:val="9"/>
          <w:rFonts w:hint="eastAsia" w:ascii="Times New Roman" w:hAnsi="Times New Roman" w:eastAsia="仿宋_GB2312" w:cs="仿宋_GB2312"/>
          <w:b w:val="0"/>
          <w:bCs/>
          <w:i w:val="0"/>
          <w:iCs w:val="0"/>
          <w:caps w:val="0"/>
          <w:color w:val="auto"/>
          <w:spacing w:val="0"/>
          <w:sz w:val="32"/>
          <w:szCs w:val="32"/>
          <w:lang w:val="en-US" w:eastAsia="zh-CN"/>
        </w:rPr>
        <w:t>我市化工产业发展迅速，危险化学品企业基数较大，涉及的危险化学品面广量多，监管难度较大，需要针对危险化学品的特性分类采取禁止、限制、控制等管理措施，</w:t>
      </w:r>
      <w:r>
        <w:rPr>
          <w:rFonts w:hint="eastAsia" w:ascii="Times New Roman" w:hAnsi="Times New Roman" w:eastAsia="仿宋_GB2312" w:cs="仿宋_GB2312"/>
          <w:i w:val="0"/>
          <w:iCs w:val="0"/>
          <w:caps w:val="0"/>
          <w:color w:val="auto"/>
          <w:spacing w:val="0"/>
          <w:sz w:val="32"/>
          <w:szCs w:val="32"/>
          <w:lang w:val="en-US" w:eastAsia="zh-CN"/>
        </w:rPr>
        <w:t>从源头上管控、降低安全风险，</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》将于2025年12月30日效力届满，为保障有关政策的延续性，编制新</w:t>
      </w:r>
      <w:r>
        <w:rPr>
          <w:rFonts w:hint="eastAsia" w:ascii="Times New Roman" w:hAnsi="Times New Roman" w:eastAsia="仿宋_GB2312" w:cs="仿宋_GB2312"/>
          <w:sz w:val="32"/>
          <w:szCs w:val="32"/>
          <w:lang w:eastAsia="zh-CN"/>
        </w:rPr>
        <w:t>《江门市禁止、限制和控制危险化学品目录》</w:t>
      </w:r>
      <w:r>
        <w:rPr>
          <w:rFonts w:hint="eastAsia" w:ascii="Times New Roman" w:hAnsi="Times New Roman" w:eastAsia="仿宋_GB2312" w:cs="仿宋_GB2312"/>
          <w:i w:val="0"/>
          <w:iCs w:val="0"/>
          <w:caps w:val="0"/>
          <w:color w:val="auto"/>
          <w:spacing w:val="0"/>
          <w:sz w:val="32"/>
          <w:szCs w:val="32"/>
          <w:lang w:val="en-US" w:eastAsia="zh-CN"/>
        </w:rPr>
        <w:t>具有必要性。</w:t>
      </w:r>
    </w:p>
    <w:p w14:paraId="7D8E4630">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eastAsia" w:ascii="Times New Roman" w:hAnsi="Times New Roman" w:eastAsia="仿宋_GB2312" w:cs="仿宋_GB2312"/>
          <w:b/>
          <w:bCs w:val="0"/>
          <w:sz w:val="32"/>
          <w:szCs w:val="32"/>
          <w:lang w:eastAsia="zh-CN"/>
        </w:rPr>
      </w:pPr>
      <w:r>
        <w:rPr>
          <w:rFonts w:hint="eastAsia" w:ascii="Times New Roman" w:hAnsi="Times New Roman" w:eastAsia="楷体_GB2312" w:cs="楷体_GB2312"/>
          <w:b/>
          <w:bCs w:val="0"/>
          <w:sz w:val="32"/>
          <w:szCs w:val="32"/>
          <w:lang w:val="en-US" w:eastAsia="zh-CN"/>
        </w:rPr>
        <w:t>（二）可行性。</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目录（征求意见稿）》与《</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》一样采用负面清单+区域分级管理方式，根据危险化学品危害性质分区分级实施精准管控，既</w:t>
      </w:r>
      <w:r>
        <w:rPr>
          <w:rFonts w:hint="eastAsia" w:ascii="Times New Roman" w:hAnsi="Times New Roman" w:eastAsia="仿宋_GB2312" w:cs="仿宋_GB2312"/>
          <w:i w:val="0"/>
          <w:iCs w:val="0"/>
          <w:caps w:val="0"/>
          <w:color w:val="auto"/>
          <w:spacing w:val="0"/>
          <w:sz w:val="32"/>
          <w:szCs w:val="32"/>
          <w:lang w:val="en-US" w:eastAsia="zh-CN"/>
        </w:rPr>
        <w:t>有利于严格危险化学品安全准入，也能对危险化学品进行更加精细、有效的管理，确保江门市化工行业安全发展，</w:t>
      </w:r>
      <w:r>
        <w:rPr>
          <w:rStyle w:val="9"/>
          <w:rFonts w:hint="eastAsia" w:ascii="Times New Roman" w:hAnsi="Times New Roman" w:eastAsia="仿宋_GB2312" w:cs="仿宋_GB2312"/>
          <w:b w:val="0"/>
          <w:bCs/>
          <w:i w:val="0"/>
          <w:iCs w:val="0"/>
          <w:caps w:val="0"/>
          <w:color w:val="auto"/>
          <w:spacing w:val="0"/>
          <w:sz w:val="32"/>
          <w:szCs w:val="32"/>
          <w:lang w:val="en-US" w:eastAsia="zh-CN"/>
        </w:rPr>
        <w:t>编制新</w:t>
      </w:r>
      <w:r>
        <w:rPr>
          <w:rFonts w:hint="eastAsia" w:ascii="Times New Roman" w:hAnsi="Times New Roman" w:eastAsia="仿宋_GB2312" w:cs="仿宋_GB2312"/>
          <w:sz w:val="32"/>
          <w:szCs w:val="32"/>
          <w:lang w:eastAsia="zh-CN"/>
        </w:rPr>
        <w:t>《江门市禁止、限制和控制危险化学品目录》</w:t>
      </w:r>
      <w:r>
        <w:rPr>
          <w:rStyle w:val="9"/>
          <w:rFonts w:hint="eastAsia" w:ascii="Times New Roman" w:hAnsi="Times New Roman" w:eastAsia="仿宋_GB2312" w:cs="仿宋_GB2312"/>
          <w:b w:val="0"/>
          <w:bCs/>
          <w:i w:val="0"/>
          <w:iCs w:val="0"/>
          <w:caps w:val="0"/>
          <w:color w:val="auto"/>
          <w:spacing w:val="0"/>
          <w:sz w:val="32"/>
          <w:szCs w:val="32"/>
          <w:lang w:val="en-US" w:eastAsia="zh-CN"/>
        </w:rPr>
        <w:t>具有可行性</w:t>
      </w:r>
      <w:r>
        <w:rPr>
          <w:rFonts w:hint="eastAsia" w:ascii="Times New Roman" w:hAnsi="Times New Roman" w:eastAsia="仿宋_GB2312" w:cs="仿宋_GB2312"/>
          <w:i w:val="0"/>
          <w:iCs w:val="0"/>
          <w:caps w:val="0"/>
          <w:color w:val="auto"/>
          <w:spacing w:val="0"/>
          <w:sz w:val="32"/>
          <w:szCs w:val="32"/>
          <w:lang w:val="en-US" w:eastAsia="zh-CN"/>
        </w:rPr>
        <w:t>。</w:t>
      </w:r>
    </w:p>
    <w:p w14:paraId="2D6C4BBD">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eastAsia" w:ascii="Times New Roman" w:hAnsi="Times New Roman" w:eastAsia="仿宋_GB2312" w:cs="仿宋_GB2312"/>
          <w:i w:val="0"/>
          <w:iCs w:val="0"/>
          <w:caps w:val="0"/>
          <w:color w:val="auto"/>
          <w:spacing w:val="0"/>
          <w:sz w:val="32"/>
          <w:szCs w:val="32"/>
          <w:lang w:val="en-US" w:eastAsia="zh-CN"/>
        </w:rPr>
      </w:pPr>
      <w:r>
        <w:rPr>
          <w:rFonts w:hint="eastAsia" w:ascii="Times New Roman" w:hAnsi="Times New Roman" w:eastAsia="楷体_GB2312" w:cs="楷体_GB2312"/>
          <w:b/>
          <w:bCs w:val="0"/>
          <w:sz w:val="32"/>
          <w:szCs w:val="32"/>
          <w:lang w:eastAsia="zh-CN"/>
        </w:rPr>
        <w:t>（三）合法性。</w:t>
      </w:r>
      <w:r>
        <w:rPr>
          <w:rFonts w:hint="eastAsia" w:ascii="Times New Roman" w:hAnsi="Times New Roman" w:eastAsia="仿宋_GB2312" w:cs="仿宋_GB2312"/>
          <w:sz w:val="32"/>
          <w:szCs w:val="32"/>
          <w:lang w:eastAsia="zh-CN"/>
        </w:rPr>
        <w:t>按照《江门市应急管理局职能配置、内设机构和人员编制规定》，市应急管理局“负责危险化学品安全监督管理综合工作”，且</w:t>
      </w:r>
      <w:r>
        <w:rPr>
          <w:rFonts w:hint="eastAsia" w:ascii="Times New Roman" w:hAnsi="Times New Roman" w:eastAsia="仿宋_GB2312" w:cs="仿宋_GB2312"/>
          <w:sz w:val="32"/>
          <w:szCs w:val="32"/>
          <w:lang w:val="en-US" w:eastAsia="zh-CN"/>
        </w:rPr>
        <w:t>2020年印发实施的</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》是市应急管理局提出的，在《</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》效力届满前由市应急管理局组织进行</w:t>
      </w:r>
      <w:r>
        <w:rPr>
          <w:rFonts w:hint="eastAsia" w:ascii="Times New Roman" w:hAnsi="Times New Roman" w:eastAsia="仿宋_GB2312" w:cs="仿宋_GB2312"/>
          <w:sz w:val="32"/>
          <w:szCs w:val="32"/>
          <w:lang w:eastAsia="zh-CN"/>
        </w:rPr>
        <w:t>《江门市禁止、限制和控制危险化学品目录</w:t>
      </w:r>
      <w:r>
        <w:rPr>
          <w:rStyle w:val="9"/>
          <w:rFonts w:hint="eastAsia" w:ascii="Times New Roman" w:hAnsi="Times New Roman" w:eastAsia="仿宋_GB2312" w:cs="仿宋_GB2312"/>
          <w:b w:val="0"/>
          <w:bCs/>
          <w:i w:val="0"/>
          <w:iCs w:val="0"/>
          <w:caps w:val="0"/>
          <w:color w:val="auto"/>
          <w:spacing w:val="0"/>
          <w:sz w:val="32"/>
          <w:szCs w:val="32"/>
          <w:lang w:val="en-US" w:eastAsia="zh-CN"/>
        </w:rPr>
        <w:t>》的制定，权限合法；《</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征求意见稿）》内容符合《危险化学品安全管理条例》（2013年修正本）《危险化学品目录（2015版）》以及中央办公厅、国务院办公厅《关于全面加强危险化学品安全生产工作的意见》和广东省委办公厅、广东省政府办公厅《关于全面加强危险化学品安全生产工作的实施方案》等相关条例、政策文件的规定，内容合法；本次编制《</w:t>
      </w:r>
      <w:r>
        <w:rPr>
          <w:rFonts w:hint="eastAsia" w:ascii="Times New Roman" w:hAnsi="Times New Roman" w:eastAsia="仿宋_GB2312" w:cs="仿宋_GB2312"/>
          <w:sz w:val="32"/>
          <w:szCs w:val="32"/>
          <w:lang w:eastAsia="zh-CN"/>
        </w:rPr>
        <w:t>江门市禁止、限制和控制危险化学品目录</w:t>
      </w:r>
      <w:r>
        <w:rPr>
          <w:rStyle w:val="9"/>
          <w:rFonts w:hint="eastAsia" w:ascii="Times New Roman" w:hAnsi="Times New Roman" w:eastAsia="仿宋_GB2312" w:cs="仿宋_GB2312"/>
          <w:b w:val="0"/>
          <w:bCs/>
          <w:i w:val="0"/>
          <w:iCs w:val="0"/>
          <w:caps w:val="0"/>
          <w:color w:val="auto"/>
          <w:spacing w:val="0"/>
          <w:sz w:val="32"/>
          <w:szCs w:val="32"/>
          <w:lang w:val="en-US" w:eastAsia="zh-CN"/>
        </w:rPr>
        <w:t>》，是依据《江门市行政规范性文件管理规定》《江门市行政规范性文件制定程序要点指引》，遵循部门规范性文件的制定程序，已经履行了内部征求意见等应当遵循的程序，程序合法。</w:t>
      </w:r>
    </w:p>
    <w:p w14:paraId="4D29A41E">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楷体_GB2312" w:cs="楷体_GB2312"/>
          <w:b/>
          <w:bCs w:val="0"/>
          <w:sz w:val="32"/>
          <w:szCs w:val="32"/>
          <w:lang w:eastAsia="zh-CN"/>
        </w:rPr>
        <w:t>（四）论证和评估的结论。</w:t>
      </w:r>
      <w:r>
        <w:rPr>
          <w:rFonts w:hint="eastAsia" w:ascii="Times New Roman" w:hAnsi="Times New Roman" w:eastAsia="仿宋_GB2312" w:cs="仿宋_GB2312"/>
          <w:i w:val="0"/>
          <w:iCs w:val="0"/>
          <w:caps w:val="0"/>
          <w:color w:val="auto"/>
          <w:spacing w:val="0"/>
          <w:sz w:val="32"/>
          <w:szCs w:val="32"/>
          <w:lang w:val="en-US" w:eastAsia="zh-CN"/>
        </w:rPr>
        <w:t>经过论证和评估，</w:t>
      </w:r>
      <w:r>
        <w:rPr>
          <w:rStyle w:val="9"/>
          <w:rFonts w:hint="eastAsia" w:ascii="Times New Roman" w:hAnsi="Times New Roman" w:eastAsia="仿宋_GB2312" w:cs="仿宋_GB2312"/>
          <w:b w:val="0"/>
          <w:bCs/>
          <w:i w:val="0"/>
          <w:iCs w:val="0"/>
          <w:caps w:val="0"/>
          <w:color w:val="auto"/>
          <w:spacing w:val="0"/>
          <w:sz w:val="32"/>
          <w:szCs w:val="32"/>
          <w:lang w:val="en-US" w:eastAsia="zh-CN"/>
        </w:rPr>
        <w:t>编制新</w:t>
      </w:r>
      <w:r>
        <w:rPr>
          <w:rFonts w:hint="eastAsia" w:ascii="Times New Roman" w:hAnsi="Times New Roman" w:eastAsia="仿宋_GB2312" w:cs="仿宋_GB2312"/>
          <w:sz w:val="32"/>
          <w:szCs w:val="32"/>
          <w:lang w:eastAsia="zh-CN"/>
        </w:rPr>
        <w:t>《江门市禁止、限制和控制危险化学品目录》</w:t>
      </w:r>
      <w:r>
        <w:rPr>
          <w:rStyle w:val="9"/>
          <w:rFonts w:hint="eastAsia" w:ascii="Times New Roman" w:hAnsi="Times New Roman" w:eastAsia="仿宋_GB2312" w:cs="仿宋_GB2312"/>
          <w:b w:val="0"/>
          <w:bCs/>
          <w:i w:val="0"/>
          <w:iCs w:val="0"/>
          <w:caps w:val="0"/>
          <w:color w:val="auto"/>
          <w:spacing w:val="0"/>
          <w:sz w:val="32"/>
          <w:szCs w:val="32"/>
          <w:lang w:val="en-US" w:eastAsia="zh-CN"/>
        </w:rPr>
        <w:t>具有必要性、可行性和合法性。</w:t>
      </w:r>
    </w:p>
    <w:p w14:paraId="4F7D90D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三、制定内容说明</w:t>
      </w:r>
    </w:p>
    <w:p w14:paraId="46A303F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sz w:val="32"/>
          <w:szCs w:val="32"/>
          <w:lang w:eastAsia="zh-CN"/>
        </w:rPr>
        <w:t>《“禁限控”目录（征求意见稿）》主要在</w:t>
      </w:r>
      <w:r>
        <w:rPr>
          <w:rFonts w:hint="eastAsia" w:ascii="Times New Roman" w:hAnsi="Times New Roman" w:eastAsia="仿宋_GB2312" w:cs="仿宋_GB2312"/>
          <w:sz w:val="32"/>
          <w:szCs w:val="32"/>
          <w:highlight w:val="none"/>
          <w:lang w:val="en-US" w:eastAsia="zh-CN"/>
        </w:rPr>
        <w:t>现行的《</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highlight w:val="none"/>
          <w:lang w:val="en-US" w:eastAsia="zh-CN"/>
        </w:rPr>
        <w:t>》基础上进行修改。经过评估，现行的《</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highlight w:val="none"/>
          <w:lang w:val="en-US" w:eastAsia="zh-CN"/>
        </w:rPr>
        <w:t>》除了部分表述因上级精神和要求需要进行调整和完善外，其余部分仍然能够较好的满足当前的工作实际，因此，本次修订仅是</w:t>
      </w:r>
      <w:r>
        <w:rPr>
          <w:rFonts w:hint="eastAsia" w:ascii="Times New Roman" w:hAnsi="Times New Roman" w:eastAsia="仿宋_GB2312" w:cs="仿宋_GB2312"/>
          <w:kern w:val="0"/>
          <w:sz w:val="32"/>
          <w:szCs w:val="32"/>
          <w:lang w:eastAsia="zh-CN"/>
        </w:rPr>
        <w:t>依据最新上级文件精神和要求对相关表述进行调整和完善，不涉及其他实体内容的修改。</w:t>
      </w:r>
    </w:p>
    <w:p w14:paraId="6C97564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本次编制共对《</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kern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kern w:val="0"/>
          <w:sz w:val="32"/>
          <w:szCs w:val="32"/>
          <w:lang w:val="en-US" w:eastAsia="zh-CN"/>
        </w:rPr>
        <w:t>》的16处内容进行了修改，分别如下：</w:t>
      </w:r>
    </w:p>
    <w:p w14:paraId="00339EF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bCs/>
          <w:kern w:val="0"/>
          <w:sz w:val="32"/>
          <w:szCs w:val="32"/>
          <w:lang w:eastAsia="zh-CN"/>
        </w:rPr>
        <w:t>一是</w:t>
      </w:r>
      <w:r>
        <w:rPr>
          <w:rFonts w:hint="eastAsia" w:ascii="Times New Roman" w:hAnsi="Times New Roman" w:eastAsia="仿宋_GB2312" w:cs="仿宋_GB2312"/>
          <w:kern w:val="0"/>
          <w:sz w:val="32"/>
          <w:szCs w:val="32"/>
          <w:lang w:eastAsia="zh-CN"/>
        </w:rPr>
        <w:t>帽段部分修改</w:t>
      </w:r>
      <w:r>
        <w:rPr>
          <w:rFonts w:hint="eastAsia" w:ascii="Times New Roman" w:hAnsi="Times New Roman" w:eastAsia="仿宋_GB2312" w:cs="仿宋_GB2312"/>
          <w:kern w:val="0"/>
          <w:sz w:val="32"/>
          <w:szCs w:val="32"/>
          <w:lang w:val="en-US" w:eastAsia="zh-CN"/>
        </w:rPr>
        <w:t>1处，</w:t>
      </w:r>
      <w:r>
        <w:rPr>
          <w:rFonts w:hint="eastAsia" w:ascii="Times New Roman" w:hAnsi="Times New Roman" w:eastAsia="仿宋_GB2312" w:cs="仿宋_GB2312"/>
          <w:kern w:val="0"/>
          <w:sz w:val="32"/>
          <w:szCs w:val="32"/>
          <w:lang w:eastAsia="zh-CN"/>
        </w:rPr>
        <w:t>对《</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kern w:val="0"/>
          <w:sz w:val="32"/>
          <w:szCs w:val="32"/>
          <w:lang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kern w:val="0"/>
          <w:sz w:val="32"/>
          <w:szCs w:val="32"/>
          <w:lang w:eastAsia="zh-CN"/>
        </w:rPr>
        <w:t>》制定的依据进行了修改完善和更新；</w:t>
      </w:r>
    </w:p>
    <w:p w14:paraId="21EFC0B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bCs/>
          <w:kern w:val="0"/>
          <w:sz w:val="32"/>
          <w:szCs w:val="32"/>
          <w:lang w:eastAsia="zh-CN"/>
        </w:rPr>
        <w:t>二是</w:t>
      </w:r>
      <w:r>
        <w:rPr>
          <w:rFonts w:hint="eastAsia" w:ascii="Times New Roman" w:hAnsi="Times New Roman" w:eastAsia="仿宋_GB2312" w:cs="仿宋_GB2312"/>
          <w:b w:val="0"/>
          <w:bCs w:val="0"/>
          <w:kern w:val="0"/>
          <w:sz w:val="32"/>
          <w:szCs w:val="32"/>
          <w:lang w:val="en-US" w:eastAsia="zh-CN"/>
        </w:rPr>
        <w:t>根据最新文件精神和规范表述要求，对</w:t>
      </w:r>
      <w:r>
        <w:rPr>
          <w:rFonts w:hint="eastAsia" w:ascii="Times New Roman" w:hAnsi="Times New Roman" w:eastAsia="仿宋_GB2312" w:cs="仿宋_GB2312"/>
          <w:b w:val="0"/>
          <w:bCs w:val="0"/>
          <w:kern w:val="0"/>
          <w:sz w:val="32"/>
          <w:szCs w:val="32"/>
          <w:lang w:eastAsia="zh-CN"/>
        </w:rPr>
        <w:t>总则部分</w:t>
      </w:r>
      <w:r>
        <w:rPr>
          <w:rFonts w:hint="eastAsia" w:ascii="Times New Roman" w:hAnsi="Times New Roman" w:eastAsia="仿宋_GB2312" w:cs="仿宋_GB2312"/>
          <w:b w:val="0"/>
          <w:bCs w:val="0"/>
          <w:kern w:val="0"/>
          <w:sz w:val="32"/>
          <w:szCs w:val="32"/>
          <w:lang w:val="en-US" w:eastAsia="zh-CN"/>
        </w:rPr>
        <w:t>涉及监管体系、规划要求、风险管控、本质安全、运输环节管理、化工园区管理、信用体系等8个方面11处表述进行了修改；</w:t>
      </w:r>
    </w:p>
    <w:p w14:paraId="7393C38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三是</w:t>
      </w:r>
      <w:r>
        <w:rPr>
          <w:rFonts w:hint="eastAsia" w:ascii="Times New Roman" w:hAnsi="Times New Roman" w:eastAsia="仿宋_GB2312" w:cs="仿宋_GB2312"/>
          <w:b w:val="0"/>
          <w:bCs w:val="0"/>
          <w:kern w:val="0"/>
          <w:sz w:val="32"/>
          <w:szCs w:val="32"/>
          <w:lang w:val="en-US" w:eastAsia="zh-CN"/>
        </w:rPr>
        <w:t>规范常用表述，将“各市（区）”修改为“各县（市、区）”，将“主城区、非主城区”的表述修改为“中心城区、非中心城区”；</w:t>
      </w:r>
    </w:p>
    <w:p w14:paraId="7B6A7F3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bCs/>
          <w:kern w:val="0"/>
          <w:sz w:val="32"/>
          <w:szCs w:val="32"/>
          <w:lang w:val="en-US" w:eastAsia="zh-CN"/>
        </w:rPr>
        <w:t>四是</w:t>
      </w:r>
      <w:r>
        <w:rPr>
          <w:rFonts w:hint="eastAsia" w:ascii="Times New Roman" w:hAnsi="Times New Roman" w:eastAsia="仿宋_GB2312" w:cs="仿宋_GB2312"/>
          <w:b w:val="0"/>
          <w:bCs w:val="0"/>
          <w:kern w:val="0"/>
          <w:sz w:val="32"/>
          <w:szCs w:val="32"/>
          <w:lang w:val="en-US" w:eastAsia="zh-CN"/>
        </w:rPr>
        <w:t>在附则部分补充一条准用性规定，即“4.10 列入《产业结构调整指导目录》《中国严格限制的有毒化学品名录》《优先控制化学品目录》《各类监控化学品名录》《特别管控危险化学品目录》《淘汰落后危险化学品安全生产工艺技术设备目录》等明确淘汰落后、限制、监控的化学品和工艺技术设备，依据其相关政策规定执行”；</w:t>
      </w:r>
    </w:p>
    <w:p w14:paraId="37BB3CF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bCs/>
          <w:kern w:val="0"/>
          <w:sz w:val="32"/>
          <w:szCs w:val="32"/>
          <w:lang w:val="en-US" w:eastAsia="zh-CN"/>
        </w:rPr>
        <w:t>五是</w:t>
      </w:r>
      <w:r>
        <w:rPr>
          <w:rFonts w:hint="eastAsia" w:ascii="Times New Roman" w:hAnsi="Times New Roman" w:eastAsia="仿宋_GB2312" w:cs="仿宋_GB2312"/>
          <w:b w:val="0"/>
          <w:bCs w:val="0"/>
          <w:kern w:val="0"/>
          <w:sz w:val="32"/>
          <w:szCs w:val="32"/>
          <w:lang w:val="en-US" w:eastAsia="zh-CN"/>
        </w:rPr>
        <w:t>根据2022年应急管理部等10部门公告，将《</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kern w:val="0"/>
          <w:sz w:val="32"/>
          <w:szCs w:val="32"/>
          <w:lang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val="0"/>
          <w:bCs w:val="0"/>
          <w:kern w:val="0"/>
          <w:sz w:val="32"/>
          <w:szCs w:val="32"/>
          <w:lang w:val="en-US" w:eastAsia="zh-CN"/>
        </w:rPr>
        <w:t>》中涉及柴油的表述由原来的“柴油[闭杯闪点≤60℃]”表述修改为“柴油”。</w:t>
      </w:r>
    </w:p>
    <w:p w14:paraId="19A8B4A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具体修改情况详见附表。</w:t>
      </w:r>
    </w:p>
    <w:p w14:paraId="24E4935F">
      <w:pPr>
        <w:topLinePunct/>
        <w:autoSpaceDE w:val="0"/>
        <w:spacing w:line="680" w:lineRule="exact"/>
        <w:jc w:val="both"/>
        <w:rPr>
          <w:rFonts w:hint="eastAsia" w:ascii="Times New Roman" w:hAnsi="Times New Roman" w:eastAsia="方正仿宋_GBK" w:cs="方正仿宋_GBK"/>
          <w:sz w:val="32"/>
          <w:szCs w:val="32"/>
          <w:lang w:val="en-US" w:eastAsia="zh-CN"/>
        </w:rPr>
        <w:sectPr>
          <w:footerReference r:id="rId3" w:type="default"/>
          <w:type w:val="continuous"/>
          <w:pgSz w:w="11906" w:h="16838"/>
          <w:pgMar w:top="2098" w:right="1474" w:bottom="1984" w:left="1587" w:header="851" w:footer="1304" w:gutter="0"/>
          <w:pgNumType w:fmt="decimal"/>
          <w:cols w:space="720" w:num="1"/>
          <w:docGrid w:type="lines" w:linePitch="312" w:charSpace="0"/>
        </w:sectPr>
      </w:pPr>
    </w:p>
    <w:p w14:paraId="0FCD9AFD">
      <w:pPr>
        <w:topLinePunct/>
        <w:autoSpaceDE w:val="0"/>
        <w:spacing w:line="680" w:lineRule="exact"/>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w:t>
      </w:r>
    </w:p>
    <w:p w14:paraId="10FE2B08">
      <w:pPr>
        <w:topLinePunct/>
        <w:autoSpaceDE w:val="0"/>
        <w:spacing w:line="680" w:lineRule="exact"/>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修订内容说明</w:t>
      </w:r>
    </w:p>
    <w:tbl>
      <w:tblPr>
        <w:tblStyle w:val="7"/>
        <w:tblW w:w="13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044"/>
        <w:gridCol w:w="5285"/>
        <w:gridCol w:w="3671"/>
      </w:tblGrid>
      <w:tr w14:paraId="5225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963" w:type="dxa"/>
            <w:noWrap w:val="0"/>
            <w:vAlign w:val="center"/>
          </w:tcPr>
          <w:p w14:paraId="37DF3397">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序号</w:t>
            </w:r>
          </w:p>
        </w:tc>
        <w:tc>
          <w:tcPr>
            <w:tcW w:w="4044" w:type="dxa"/>
            <w:noWrap w:val="0"/>
            <w:vAlign w:val="center"/>
          </w:tcPr>
          <w:p w14:paraId="6AE3106D">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修订前表述</w:t>
            </w:r>
          </w:p>
        </w:tc>
        <w:tc>
          <w:tcPr>
            <w:tcW w:w="5285" w:type="dxa"/>
            <w:noWrap w:val="0"/>
            <w:vAlign w:val="center"/>
          </w:tcPr>
          <w:p w14:paraId="737EA088">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修订后表述</w:t>
            </w:r>
          </w:p>
        </w:tc>
        <w:tc>
          <w:tcPr>
            <w:tcW w:w="3671" w:type="dxa"/>
            <w:noWrap w:val="0"/>
            <w:vAlign w:val="center"/>
          </w:tcPr>
          <w:p w14:paraId="7D995A90">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修订原因</w:t>
            </w:r>
          </w:p>
        </w:tc>
      </w:tr>
      <w:tr w14:paraId="6794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963" w:type="dxa"/>
            <w:noWrap w:val="0"/>
            <w:vAlign w:val="center"/>
          </w:tcPr>
          <w:p w14:paraId="61781715">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1</w:t>
            </w:r>
          </w:p>
        </w:tc>
        <w:tc>
          <w:tcPr>
            <w:tcW w:w="4044" w:type="dxa"/>
            <w:noWrap w:val="0"/>
            <w:vAlign w:val="center"/>
          </w:tcPr>
          <w:p w14:paraId="2A787AE3">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帽段：</w:t>
            </w:r>
          </w:p>
          <w:p w14:paraId="73F3DA71">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贯彻落实《国务院办公厅关于印发危险化学品安全综合治理方案的通知》（国办发〔2016〕88号）和《</w:t>
            </w:r>
            <w:r>
              <w:rPr>
                <w:rFonts w:hint="eastAsia" w:ascii="Times New Roman" w:hAnsi="Times New Roman" w:eastAsia="方正仿宋_GBK" w:cs="方正仿宋_GBK"/>
                <w:sz w:val="28"/>
                <w:szCs w:val="28"/>
              </w:rPr>
              <w:t>广东省人民政府办公厅关于印发广东省危险化学品安全综合治理实施方案的通知》（粤府办〔2017〕11号）</w:t>
            </w:r>
            <w:r>
              <w:rPr>
                <w:rFonts w:hint="eastAsia" w:ascii="Times New Roman" w:hAnsi="Times New Roman" w:eastAsia="方正仿宋_GBK" w:cs="方正仿宋_GBK"/>
                <w:sz w:val="28"/>
                <w:szCs w:val="28"/>
                <w:lang w:eastAsia="zh-CN"/>
              </w:rPr>
              <w:t>精神。</w:t>
            </w:r>
          </w:p>
        </w:tc>
        <w:tc>
          <w:tcPr>
            <w:tcW w:w="5285" w:type="dxa"/>
            <w:noWrap w:val="0"/>
            <w:vAlign w:val="center"/>
          </w:tcPr>
          <w:p w14:paraId="755BC7A0">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贯彻落实中共中央办公厅国务院办公厅印发《关于全面加强危险化学品安全生产工作的意见》和《</w:t>
            </w:r>
            <w:r>
              <w:rPr>
                <w:rFonts w:hint="eastAsia" w:ascii="Times New Roman" w:hAnsi="Times New Roman" w:eastAsia="方正仿宋_GBK" w:cs="方正仿宋_GBK"/>
                <w:sz w:val="28"/>
                <w:szCs w:val="28"/>
                <w:lang w:eastAsia="zh-CN"/>
              </w:rPr>
              <w:t>中共广东省委办公厅广东省人民政府办公厅印发〈关于全面加强危险化学品安全生产工作的实施方案〉的通知》（粤办发〔</w:t>
            </w:r>
            <w:r>
              <w:rPr>
                <w:rFonts w:hint="eastAsia" w:ascii="Times New Roman" w:hAnsi="Times New Roman" w:eastAsia="方正仿宋_GBK" w:cs="方正仿宋_GBK"/>
                <w:sz w:val="28"/>
                <w:szCs w:val="28"/>
                <w:lang w:val="en-US" w:eastAsia="zh-CN"/>
              </w:rPr>
              <w:t>2020〕16号</w:t>
            </w:r>
            <w:r>
              <w:rPr>
                <w:rFonts w:hint="eastAsia" w:ascii="Times New Roman" w:hAnsi="Times New Roman" w:eastAsia="方正仿宋_GBK" w:cs="方正仿宋_GBK"/>
                <w:sz w:val="28"/>
                <w:szCs w:val="28"/>
                <w:lang w:eastAsia="zh-CN"/>
              </w:rPr>
              <w:t>）</w:t>
            </w:r>
            <w:r>
              <w:rPr>
                <w:rFonts w:hint="eastAsia" w:ascii="Times New Roman" w:hAnsi="Times New Roman" w:eastAsia="方正仿宋_GBK" w:cs="方正仿宋_GBK"/>
                <w:sz w:val="28"/>
                <w:szCs w:val="28"/>
              </w:rPr>
              <w:t>精神</w:t>
            </w:r>
          </w:p>
        </w:tc>
        <w:tc>
          <w:tcPr>
            <w:tcW w:w="3671" w:type="dxa"/>
            <w:noWrap w:val="0"/>
            <w:vAlign w:val="center"/>
          </w:tcPr>
          <w:p w14:paraId="346413C6">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对照上级新文件精神进行修订。</w:t>
            </w:r>
          </w:p>
        </w:tc>
      </w:tr>
      <w:tr w14:paraId="3B31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 w:type="dxa"/>
            <w:noWrap w:val="0"/>
            <w:vAlign w:val="center"/>
          </w:tcPr>
          <w:p w14:paraId="53DEF0FF">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2</w:t>
            </w:r>
          </w:p>
        </w:tc>
        <w:tc>
          <w:tcPr>
            <w:tcW w:w="4044" w:type="dxa"/>
            <w:noWrap w:val="0"/>
            <w:vAlign w:val="center"/>
          </w:tcPr>
          <w:p w14:paraId="76C4174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lang w:val="en-US" w:eastAsia="zh-CN"/>
              </w:rPr>
              <w:t>1.1（监管体系）</w:t>
            </w:r>
            <w:r>
              <w:rPr>
                <w:rFonts w:hint="eastAsia" w:ascii="Times New Roman" w:hAnsi="Times New Roman" w:eastAsia="方正仿宋_GBK" w:cs="方正仿宋_GBK"/>
                <w:b w:val="0"/>
                <w:bCs w:val="0"/>
                <w:sz w:val="28"/>
                <w:szCs w:val="28"/>
                <w:lang w:eastAsia="zh-CN"/>
              </w:rPr>
              <w:t>……</w:t>
            </w:r>
            <w:r>
              <w:rPr>
                <w:rFonts w:hint="eastAsia" w:ascii="Times New Roman" w:hAnsi="Times New Roman" w:eastAsia="方正仿宋_GBK" w:cs="方正仿宋_GBK"/>
                <w:sz w:val="28"/>
                <w:szCs w:val="28"/>
              </w:rPr>
              <w:t>按照“管行业必须管安全、管业务必须管安全、管生产经营必须管安全”和“分类管理、分级负责、属地为主”的要求，进一步压实责任、健全机制、形成合力，强化危险化学品安全监管职责及安全管理责任。</w:t>
            </w:r>
          </w:p>
        </w:tc>
        <w:tc>
          <w:tcPr>
            <w:tcW w:w="5285" w:type="dxa"/>
            <w:noWrap w:val="0"/>
            <w:vAlign w:val="center"/>
          </w:tcPr>
          <w:p w14:paraId="45940E0B">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按照“管行业必须管安全、管业务必须管安全、管生产经营必须管安全”和“</w:t>
            </w:r>
            <w:r>
              <w:rPr>
                <w:rFonts w:hint="eastAsia" w:ascii="Times New Roman" w:hAnsi="Times New Roman" w:eastAsia="方正仿宋_GBK" w:cs="方正仿宋_GBK"/>
                <w:sz w:val="28"/>
                <w:szCs w:val="28"/>
                <w:lang w:eastAsia="zh-CN"/>
              </w:rPr>
              <w:t>谁审批谁负责</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eastAsia="zh-CN"/>
              </w:rPr>
              <w:t>、“谁管理谁负责”</w:t>
            </w:r>
            <w:r>
              <w:rPr>
                <w:rFonts w:hint="eastAsia" w:ascii="Times New Roman" w:hAnsi="Times New Roman" w:eastAsia="方正仿宋_GBK" w:cs="方正仿宋_GBK"/>
                <w:sz w:val="28"/>
                <w:szCs w:val="28"/>
              </w:rPr>
              <w:t>的</w:t>
            </w:r>
            <w:r>
              <w:rPr>
                <w:rFonts w:hint="eastAsia" w:ascii="Times New Roman" w:hAnsi="Times New Roman" w:eastAsia="方正仿宋_GBK" w:cs="方正仿宋_GBK"/>
                <w:sz w:val="28"/>
                <w:szCs w:val="28"/>
                <w:lang w:eastAsia="zh-CN"/>
              </w:rPr>
              <w:t>规定</w:t>
            </w:r>
            <w:r>
              <w:rPr>
                <w:rFonts w:hint="eastAsia" w:ascii="Times New Roman" w:hAnsi="Times New Roman" w:eastAsia="方正仿宋_GBK" w:cs="方正仿宋_GBK"/>
                <w:sz w:val="28"/>
                <w:szCs w:val="28"/>
              </w:rPr>
              <w:t>要求，</w:t>
            </w:r>
            <w:r>
              <w:rPr>
                <w:rFonts w:hint="eastAsia" w:ascii="Times New Roman" w:hAnsi="Times New Roman" w:eastAsia="方正仿宋_GBK" w:cs="方正仿宋_GBK"/>
                <w:sz w:val="28"/>
                <w:szCs w:val="28"/>
                <w:lang w:eastAsia="zh-CN"/>
              </w:rPr>
              <w:t>夯实地方党政领导责任、部门监管责任、企业主体责任，强化化工园区安全监管责任，着力解决基层监管和企业“最后一公里”难题，</w:t>
            </w:r>
            <w:r>
              <w:rPr>
                <w:rFonts w:hint="eastAsia" w:ascii="Times New Roman" w:hAnsi="Times New Roman" w:eastAsia="方正仿宋_GBK" w:cs="方正仿宋_GBK"/>
                <w:sz w:val="28"/>
                <w:szCs w:val="28"/>
              </w:rPr>
              <w:t>进一步压实责任、健全机制、形成合力，</w:t>
            </w:r>
            <w:r>
              <w:rPr>
                <w:rFonts w:hint="eastAsia" w:ascii="Times New Roman" w:hAnsi="Times New Roman" w:eastAsia="方正仿宋_GBK" w:cs="方正仿宋_GBK"/>
                <w:sz w:val="28"/>
                <w:szCs w:val="28"/>
                <w:lang w:eastAsia="zh-CN"/>
              </w:rPr>
              <w:t>形成企业负责、职工参与、政府监管、行业自律、社会监督的安全监管格局。</w:t>
            </w:r>
          </w:p>
        </w:tc>
        <w:tc>
          <w:tcPr>
            <w:tcW w:w="3671" w:type="dxa"/>
            <w:noWrap w:val="0"/>
            <w:vAlign w:val="center"/>
          </w:tcPr>
          <w:p w14:paraId="3725C430">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lang w:eastAsia="zh-CN"/>
              </w:rPr>
              <w:t>依据《“十四五”危险化学品安全生产规划方案》“（一）安全生产责任体系”调整表述。</w:t>
            </w:r>
          </w:p>
        </w:tc>
      </w:tr>
      <w:tr w14:paraId="11A0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 w:type="dxa"/>
            <w:noWrap w:val="0"/>
            <w:vAlign w:val="center"/>
          </w:tcPr>
          <w:p w14:paraId="5DCFC98E">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3</w:t>
            </w:r>
          </w:p>
        </w:tc>
        <w:tc>
          <w:tcPr>
            <w:tcW w:w="4044" w:type="dxa"/>
            <w:noWrap w:val="0"/>
            <w:vAlign w:val="center"/>
          </w:tcPr>
          <w:p w14:paraId="0A36AE7A">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lang w:val="en-US" w:eastAsia="zh-CN"/>
              </w:rPr>
              <w:t>1.2（规划要求）按照“统筹、调整、搬迁、集聚”的原则，</w:t>
            </w:r>
            <w:r>
              <w:rPr>
                <w:rFonts w:hint="eastAsia" w:ascii="Times New Roman" w:hAnsi="Times New Roman" w:eastAsia="方正仿宋_GBK" w:cs="方正仿宋_GBK"/>
                <w:sz w:val="28"/>
                <w:szCs w:val="28"/>
              </w:rPr>
              <w:t>科学确定化工行业发展定位和规模。</w:t>
            </w:r>
          </w:p>
        </w:tc>
        <w:tc>
          <w:tcPr>
            <w:tcW w:w="5285" w:type="dxa"/>
            <w:noWrap w:val="0"/>
            <w:vAlign w:val="center"/>
          </w:tcPr>
          <w:p w14:paraId="555542A5">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lang w:eastAsia="zh-CN"/>
              </w:rPr>
              <w:t>统筹发展和安全，顺应产业发展大势，构建准入严格、布局规范、技术先进的本质安全发展格局，</w:t>
            </w:r>
            <w:r>
              <w:rPr>
                <w:rFonts w:hint="eastAsia" w:ascii="Times New Roman" w:hAnsi="Times New Roman" w:eastAsia="方正仿宋_GBK" w:cs="方正仿宋_GBK"/>
                <w:sz w:val="28"/>
                <w:szCs w:val="28"/>
              </w:rPr>
              <w:t>科学确定化工行业发展定位和规模。</w:t>
            </w:r>
          </w:p>
        </w:tc>
        <w:tc>
          <w:tcPr>
            <w:tcW w:w="3671" w:type="dxa"/>
            <w:noWrap w:val="0"/>
            <w:vAlign w:val="center"/>
          </w:tcPr>
          <w:p w14:paraId="75D9541A">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依据《“十四五”危险化学品安全生产规划方案》“（四）本质安全发展体系”调整表述。</w:t>
            </w:r>
          </w:p>
        </w:tc>
      </w:tr>
      <w:tr w14:paraId="44A5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63" w:type="dxa"/>
            <w:noWrap w:val="0"/>
            <w:vAlign w:val="center"/>
          </w:tcPr>
          <w:p w14:paraId="4D73A16E">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4</w:t>
            </w:r>
          </w:p>
        </w:tc>
        <w:tc>
          <w:tcPr>
            <w:tcW w:w="4044" w:type="dxa"/>
            <w:noWrap w:val="0"/>
            <w:vAlign w:val="center"/>
          </w:tcPr>
          <w:p w14:paraId="56582AB3">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w:t>
            </w:r>
            <w:r>
              <w:rPr>
                <w:rFonts w:hint="eastAsia" w:ascii="Times New Roman" w:hAnsi="Times New Roman" w:eastAsia="方正仿宋_GBK" w:cs="方正仿宋_GBK"/>
                <w:sz w:val="28"/>
                <w:szCs w:val="28"/>
                <w:highlight w:val="none"/>
                <w:shd w:val="clear" w:color="auto" w:fill="auto"/>
                <w:lang w:val="en-US" w:eastAsia="zh-CN"/>
              </w:rPr>
              <w:t>（规划要求）</w:t>
            </w:r>
            <w:r>
              <w:rPr>
                <w:rFonts w:hint="eastAsia" w:ascii="Times New Roman" w:hAnsi="Times New Roman" w:eastAsia="方正仿宋_GBK" w:cs="方正仿宋_GBK"/>
                <w:sz w:val="28"/>
                <w:szCs w:val="28"/>
                <w:lang w:val="en-US" w:eastAsia="zh-CN"/>
              </w:rPr>
              <w:t>……各类危险化学品生产、经营（设储存）、使用设施的布局应当符合国土空间规划、土地利用规划、城乡规划、环境保护规划及产业规划等有关规划要求。</w:t>
            </w:r>
          </w:p>
        </w:tc>
        <w:tc>
          <w:tcPr>
            <w:tcW w:w="5285" w:type="dxa"/>
            <w:noWrap w:val="0"/>
            <w:vAlign w:val="center"/>
          </w:tcPr>
          <w:p w14:paraId="7644B8AA">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各类危险化学品生产、经营（设储存）、使用设施的布局应当符合国土空间规划、环境保护规划及产业规划等有关规划要求。</w:t>
            </w:r>
          </w:p>
          <w:p w14:paraId="30AF05F3">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p>
        </w:tc>
        <w:tc>
          <w:tcPr>
            <w:tcW w:w="3671" w:type="dxa"/>
            <w:noWrap w:val="0"/>
            <w:vAlign w:val="center"/>
          </w:tcPr>
          <w:p w14:paraId="461FF6B3">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根据《中共中央 国务院关于建立国土空间规划体系并</w:t>
            </w:r>
          </w:p>
          <w:p w14:paraId="28D09C74">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监督实施的若干意见》（中发〔2019〕18 号）调整表述。</w:t>
            </w:r>
          </w:p>
        </w:tc>
      </w:tr>
      <w:tr w14:paraId="6C9E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14:paraId="1957DBC3">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5</w:t>
            </w:r>
          </w:p>
        </w:tc>
        <w:tc>
          <w:tcPr>
            <w:tcW w:w="4044" w:type="dxa"/>
            <w:noWrap w:val="0"/>
            <w:vAlign w:val="center"/>
          </w:tcPr>
          <w:p w14:paraId="4D2D9171">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1.3（风险管控）……企业要……企业要……应实施挂牌督办。</w:t>
            </w:r>
          </w:p>
        </w:tc>
        <w:tc>
          <w:tcPr>
            <w:tcW w:w="5285" w:type="dxa"/>
            <w:noWrap w:val="0"/>
            <w:vAlign w:val="center"/>
          </w:tcPr>
          <w:p w14:paraId="3E30F086">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……企业应当……企业应当……应实施挂牌督办。</w:t>
            </w:r>
          </w:p>
        </w:tc>
        <w:tc>
          <w:tcPr>
            <w:tcW w:w="3671" w:type="dxa"/>
            <w:noWrap w:val="0"/>
            <w:vAlign w:val="center"/>
          </w:tcPr>
          <w:p w14:paraId="36FBF26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根据《立法技术规范》的指引，法律词语规范表达为“应当”。</w:t>
            </w:r>
          </w:p>
        </w:tc>
      </w:tr>
      <w:tr w14:paraId="29D0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14:paraId="6E59C1EA">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6</w:t>
            </w:r>
          </w:p>
        </w:tc>
        <w:tc>
          <w:tcPr>
            <w:tcW w:w="4044" w:type="dxa"/>
            <w:noWrap w:val="0"/>
            <w:vAlign w:val="center"/>
          </w:tcPr>
          <w:p w14:paraId="0E4B9DA5">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vertAlign w:val="baseline"/>
                <w:lang w:val="en-US" w:eastAsia="zh-CN"/>
              </w:rPr>
              <w:t>1.5（本质安全）……涉及“两重点一重大”的危险化学品生产……</w:t>
            </w:r>
          </w:p>
        </w:tc>
        <w:tc>
          <w:tcPr>
            <w:tcW w:w="5285" w:type="dxa"/>
            <w:noWrap w:val="0"/>
            <w:vAlign w:val="center"/>
          </w:tcPr>
          <w:p w14:paraId="29A923A1">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vertAlign w:val="baseline"/>
                <w:lang w:val="en-US" w:eastAsia="zh-CN"/>
              </w:rPr>
              <w:t>……涉及“两重点一重大”（即重点监管的危险化工工艺、重点监管的危险化学品、重大危险源）的危险化学品生产……</w:t>
            </w:r>
          </w:p>
        </w:tc>
        <w:tc>
          <w:tcPr>
            <w:tcW w:w="3671" w:type="dxa"/>
            <w:noWrap w:val="0"/>
            <w:vAlign w:val="center"/>
          </w:tcPr>
          <w:p w14:paraId="39E95C8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首次出现的概念为避免误解，不使用简称。</w:t>
            </w:r>
          </w:p>
        </w:tc>
      </w:tr>
      <w:tr w14:paraId="7581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14:paraId="55CCBDAC">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7</w:t>
            </w:r>
          </w:p>
        </w:tc>
        <w:tc>
          <w:tcPr>
            <w:tcW w:w="4044" w:type="dxa"/>
            <w:noWrap w:val="0"/>
            <w:vAlign w:val="center"/>
          </w:tcPr>
          <w:p w14:paraId="60F7171B">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rPr>
              <w:t>1.8（运输环节管理）……应到本市公安机关办理相关通行证后……</w:t>
            </w:r>
          </w:p>
        </w:tc>
        <w:tc>
          <w:tcPr>
            <w:tcW w:w="5285" w:type="dxa"/>
            <w:noWrap w:val="0"/>
            <w:vAlign w:val="center"/>
          </w:tcPr>
          <w:p w14:paraId="46CA5F44">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rPr>
              <w:t>……应当到本市公安机关办理《剧毒化学品道路运输通行证》后……</w:t>
            </w:r>
          </w:p>
        </w:tc>
        <w:tc>
          <w:tcPr>
            <w:tcW w:w="3671" w:type="dxa"/>
            <w:noWrap w:val="0"/>
            <w:vAlign w:val="center"/>
          </w:tcPr>
          <w:p w14:paraId="6924B019">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立法技术规范》的指引，法律词语规范表达为“应当”。另，《危险化学品安全管理条例》第六条第（二）项规定：公安机关负责危险化学品的公共安全管理，核发剧毒化学品购买许可证、剧毒化学品道路运输通行证，并负责危险化学品运输车辆的道路交通安全管理。</w:t>
            </w:r>
          </w:p>
        </w:tc>
      </w:tr>
      <w:tr w14:paraId="3A17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63" w:type="dxa"/>
            <w:noWrap w:val="0"/>
            <w:vAlign w:val="center"/>
          </w:tcPr>
          <w:p w14:paraId="3508AAF2">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8</w:t>
            </w:r>
          </w:p>
        </w:tc>
        <w:tc>
          <w:tcPr>
            <w:tcW w:w="4044" w:type="dxa"/>
            <w:noWrap w:val="0"/>
            <w:vAlign w:val="center"/>
          </w:tcPr>
          <w:p w14:paraId="588B5F43">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lang w:val="en-US" w:eastAsia="zh-CN"/>
              </w:rPr>
              <w:t>1.10（化工园区管理）……化工园区安全生产管理机构每5年至少开展一次区域整体性定量风险评估</w:t>
            </w:r>
          </w:p>
        </w:tc>
        <w:tc>
          <w:tcPr>
            <w:tcW w:w="5285" w:type="dxa"/>
            <w:noWrap w:val="0"/>
            <w:vAlign w:val="center"/>
          </w:tcPr>
          <w:p w14:paraId="5913BC2D">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val="en-US" w:eastAsia="zh-CN"/>
              </w:rPr>
              <w:t>化工园区安全生产管理机构应当至少每三年开展一次区域整体性定量风险评估</w:t>
            </w:r>
          </w:p>
        </w:tc>
        <w:tc>
          <w:tcPr>
            <w:tcW w:w="3671" w:type="dxa"/>
            <w:noWrap w:val="0"/>
            <w:vAlign w:val="center"/>
          </w:tcPr>
          <w:p w14:paraId="6D7ED8BA">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lang w:eastAsia="zh-CN"/>
              </w:rPr>
              <w:t>依据《化工园区安全风险排查治理导则》</w:t>
            </w:r>
            <w:r>
              <w:rPr>
                <w:rFonts w:hint="eastAsia" w:ascii="Times New Roman" w:hAnsi="Times New Roman" w:eastAsia="方正仿宋_GBK" w:cs="方正仿宋_GBK"/>
                <w:sz w:val="28"/>
                <w:szCs w:val="28"/>
                <w:highlight w:val="none"/>
                <w:shd w:val="clear" w:color="auto" w:fill="auto"/>
                <w:lang w:val="en-US" w:eastAsia="zh-CN"/>
              </w:rPr>
              <w:t>3.5，对每5年开展评估修改</w:t>
            </w:r>
            <w:r>
              <w:rPr>
                <w:rFonts w:hint="eastAsia" w:ascii="Times New Roman" w:hAnsi="Times New Roman" w:eastAsia="方正仿宋_GBK" w:cs="方正仿宋_GBK"/>
                <w:sz w:val="28"/>
                <w:szCs w:val="28"/>
                <w:highlight w:val="none"/>
                <w:shd w:val="clear" w:color="auto" w:fill="auto"/>
                <w:lang w:eastAsia="zh-CN"/>
              </w:rPr>
              <w:t>为每三年开展评估。</w:t>
            </w:r>
          </w:p>
        </w:tc>
      </w:tr>
      <w:tr w14:paraId="7D7C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63" w:type="dxa"/>
            <w:noWrap w:val="0"/>
            <w:vAlign w:val="center"/>
          </w:tcPr>
          <w:p w14:paraId="6C9470B0">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9</w:t>
            </w:r>
          </w:p>
        </w:tc>
        <w:tc>
          <w:tcPr>
            <w:tcW w:w="4044" w:type="dxa"/>
            <w:noWrap w:val="0"/>
            <w:vAlign w:val="center"/>
          </w:tcPr>
          <w:p w14:paraId="31F2E4D1">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lang w:eastAsia="zh-CN"/>
              </w:rPr>
              <w:t>1.10（化工园区管理）……化工园区安全生产管理机构应该至少每三年开展一次区域整体性定量风险评估……</w:t>
            </w:r>
          </w:p>
        </w:tc>
        <w:tc>
          <w:tcPr>
            <w:tcW w:w="5285" w:type="dxa"/>
            <w:noWrap w:val="0"/>
            <w:vAlign w:val="center"/>
          </w:tcPr>
          <w:p w14:paraId="0A276493">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lang w:eastAsia="zh-CN"/>
              </w:rPr>
              <w:t>……化工园区安全生产管理机构应当至少每三年开展一次区域整体性定量风险评估……</w:t>
            </w:r>
          </w:p>
        </w:tc>
        <w:tc>
          <w:tcPr>
            <w:tcW w:w="3671" w:type="dxa"/>
            <w:noWrap w:val="0"/>
            <w:vAlign w:val="center"/>
          </w:tcPr>
          <w:p w14:paraId="6297C72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根据《立法技术规范》的指引，“应该”法律词语规范表达为“应当”。</w:t>
            </w:r>
          </w:p>
        </w:tc>
      </w:tr>
      <w:tr w14:paraId="2452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14:paraId="35CD80A4">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10</w:t>
            </w:r>
          </w:p>
        </w:tc>
        <w:tc>
          <w:tcPr>
            <w:tcW w:w="4044" w:type="dxa"/>
            <w:noWrap w:val="0"/>
            <w:vAlign w:val="center"/>
          </w:tcPr>
          <w:p w14:paraId="14D9713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1.11（油气输送管道）……油气输送管道的发展和建设应纳入城乡规划，从源头合理布局。</w:t>
            </w:r>
          </w:p>
        </w:tc>
        <w:tc>
          <w:tcPr>
            <w:tcW w:w="5285" w:type="dxa"/>
            <w:noWrap w:val="0"/>
            <w:vAlign w:val="center"/>
          </w:tcPr>
          <w:p w14:paraId="5A4A66D1">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油气输送管道的发展和建设应纳入由相关主管部门组织编制的国土空间相关专项规划，并与详细规划做好衔接，从源头合理布局。</w:t>
            </w:r>
          </w:p>
        </w:tc>
        <w:tc>
          <w:tcPr>
            <w:tcW w:w="3671" w:type="dxa"/>
            <w:noWrap w:val="0"/>
            <w:vAlign w:val="center"/>
          </w:tcPr>
          <w:p w14:paraId="29AA738E">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根据《中共中央 国务院关于建立国土空间规划体系并</w:t>
            </w:r>
          </w:p>
          <w:p w14:paraId="17B52B7F">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监督实施的若干意见》（中发〔2019〕18 号）调整表述。</w:t>
            </w:r>
          </w:p>
        </w:tc>
      </w:tr>
      <w:tr w14:paraId="44A7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963" w:type="dxa"/>
            <w:noWrap w:val="0"/>
            <w:vAlign w:val="center"/>
          </w:tcPr>
          <w:p w14:paraId="051D4803">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11</w:t>
            </w:r>
          </w:p>
        </w:tc>
        <w:tc>
          <w:tcPr>
            <w:tcW w:w="4044" w:type="dxa"/>
            <w:noWrap w:val="0"/>
            <w:vAlign w:val="center"/>
          </w:tcPr>
          <w:p w14:paraId="62A66F06">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highlight w:val="none"/>
                <w:shd w:val="clear" w:color="auto" w:fill="auto"/>
                <w:lang w:val="en-US" w:eastAsia="zh-CN"/>
              </w:rPr>
            </w:pPr>
            <w:r>
              <w:rPr>
                <w:rFonts w:hint="eastAsia" w:ascii="Times New Roman" w:hAnsi="Times New Roman" w:eastAsia="方正仿宋_GBK" w:cs="方正仿宋_GBK"/>
                <w:b w:val="0"/>
                <w:bCs w:val="0"/>
                <w:sz w:val="28"/>
                <w:szCs w:val="28"/>
                <w:lang w:eastAsia="zh-CN"/>
              </w:rPr>
              <w:t>1.12（责任保险）建议危险化学品生产、经营、储存、运输单位按国家相关规定购买安全生产责任保险。</w:t>
            </w:r>
          </w:p>
        </w:tc>
        <w:tc>
          <w:tcPr>
            <w:tcW w:w="5285" w:type="dxa"/>
            <w:noWrap w:val="0"/>
            <w:vAlign w:val="center"/>
          </w:tcPr>
          <w:p w14:paraId="63D535CE">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highlight w:val="none"/>
                <w:shd w:val="clear" w:color="auto" w:fill="auto"/>
                <w:lang w:val="en-US" w:eastAsia="zh-CN"/>
              </w:rPr>
            </w:pPr>
            <w:r>
              <w:rPr>
                <w:rFonts w:hint="eastAsia" w:ascii="Times New Roman" w:hAnsi="Times New Roman" w:eastAsia="方正仿宋_GBK" w:cs="方正仿宋_GBK"/>
                <w:b w:val="0"/>
                <w:bCs w:val="0"/>
                <w:sz w:val="28"/>
                <w:szCs w:val="28"/>
                <w:lang w:eastAsia="zh-CN"/>
              </w:rPr>
              <w:t>危险化学品生产、经营、储存、运输单位应当按国家相关规定购买安全生产责任保险。</w:t>
            </w:r>
          </w:p>
        </w:tc>
        <w:tc>
          <w:tcPr>
            <w:tcW w:w="3671" w:type="dxa"/>
            <w:noWrap w:val="0"/>
            <w:vAlign w:val="center"/>
          </w:tcPr>
          <w:p w14:paraId="223AD08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根据《中华人民共和国安全生产法》第五十一条“属于国家规定的高危行业、领域的生产经营单位，应当投保安全生产责任保险”之规定，危险化学品单位属于高危行业，需强制投保。</w:t>
            </w:r>
          </w:p>
        </w:tc>
      </w:tr>
      <w:tr w14:paraId="0A08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963" w:type="dxa"/>
            <w:noWrap w:val="0"/>
            <w:vAlign w:val="center"/>
          </w:tcPr>
          <w:p w14:paraId="6D8674B6">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12</w:t>
            </w:r>
          </w:p>
        </w:tc>
        <w:tc>
          <w:tcPr>
            <w:tcW w:w="4044" w:type="dxa"/>
            <w:noWrap w:val="0"/>
            <w:vAlign w:val="center"/>
          </w:tcPr>
          <w:p w14:paraId="5A9FC69B">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lang w:val="en-US" w:eastAsia="zh-CN"/>
              </w:rPr>
              <w:t>1.13（信用体系）</w:t>
            </w:r>
            <w:r>
              <w:rPr>
                <w:rFonts w:hint="eastAsia" w:ascii="Times New Roman" w:hAnsi="Times New Roman" w:eastAsia="方正仿宋_GBK" w:cs="方正仿宋_GBK"/>
                <w:sz w:val="28"/>
                <w:szCs w:val="28"/>
                <w:lang w:val="en-US" w:eastAsia="zh-CN"/>
              </w:rPr>
              <w:t>……</w:t>
            </w:r>
            <w:r>
              <w:rPr>
                <w:rFonts w:hint="eastAsia" w:ascii="Times New Roman" w:hAnsi="Times New Roman" w:eastAsia="方正仿宋_GBK" w:cs="方正仿宋_GBK"/>
                <w:sz w:val="28"/>
                <w:szCs w:val="28"/>
                <w:highlight w:val="none"/>
                <w:shd w:val="clear" w:color="auto" w:fill="auto"/>
                <w:lang w:val="en-US" w:eastAsia="zh-CN"/>
              </w:rPr>
              <w:t>建立危险化学品安全生产领域“黑名单”。</w:t>
            </w:r>
          </w:p>
        </w:tc>
        <w:tc>
          <w:tcPr>
            <w:tcW w:w="5285" w:type="dxa"/>
            <w:noWrap w:val="0"/>
            <w:vAlign w:val="center"/>
          </w:tcPr>
          <w:p w14:paraId="06C0C4CC">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lang w:val="en-US" w:eastAsia="zh-CN"/>
              </w:rPr>
              <w:t>建立危险化学品安全生产领域“严重失信主体名单”。</w:t>
            </w:r>
          </w:p>
        </w:tc>
        <w:tc>
          <w:tcPr>
            <w:tcW w:w="3671" w:type="dxa"/>
            <w:noWrap w:val="0"/>
            <w:vAlign w:val="center"/>
          </w:tcPr>
          <w:p w14:paraId="7694A1E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lang w:eastAsia="zh-CN"/>
              </w:rPr>
              <w:t>依据《安全生产严重失信主体名单管理办法》（应急管理部令第11号）和《广东省应急管理厅关于贯彻落实《安全生产严重失信主体名单管理办法》的实施意见》（粤应急规〔2024〕2号）调整表述。</w:t>
            </w:r>
          </w:p>
        </w:tc>
      </w:tr>
      <w:tr w14:paraId="7B12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63" w:type="dxa"/>
            <w:noWrap w:val="0"/>
            <w:vAlign w:val="center"/>
          </w:tcPr>
          <w:p w14:paraId="513D6A7D">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13</w:t>
            </w:r>
          </w:p>
        </w:tc>
        <w:tc>
          <w:tcPr>
            <w:tcW w:w="4044" w:type="dxa"/>
            <w:noWrap w:val="0"/>
            <w:vAlign w:val="center"/>
          </w:tcPr>
          <w:p w14:paraId="5BBDC1F3">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val="en-US" w:eastAsia="zh-CN"/>
              </w:rPr>
            </w:pPr>
            <w:r>
              <w:rPr>
                <w:rFonts w:hint="eastAsia" w:ascii="Times New Roman" w:hAnsi="Times New Roman" w:eastAsia="仿宋_GB2312" w:cs="仿宋_GB2312"/>
                <w:b w:val="0"/>
                <w:bCs w:val="0"/>
                <w:kern w:val="0"/>
                <w:sz w:val="28"/>
                <w:szCs w:val="28"/>
                <w:lang w:val="en-US" w:eastAsia="zh-CN"/>
              </w:rPr>
              <w:t>“各市（区）”</w:t>
            </w:r>
            <w:bookmarkStart w:id="0" w:name="_GoBack"/>
            <w:bookmarkEnd w:id="0"/>
          </w:p>
        </w:tc>
        <w:tc>
          <w:tcPr>
            <w:tcW w:w="5285" w:type="dxa"/>
            <w:noWrap w:val="0"/>
            <w:vAlign w:val="center"/>
          </w:tcPr>
          <w:p w14:paraId="38C1DAB4">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val="en-US" w:eastAsia="zh-CN"/>
              </w:rPr>
            </w:pPr>
            <w:r>
              <w:rPr>
                <w:rFonts w:hint="eastAsia" w:ascii="Times New Roman" w:hAnsi="Times New Roman" w:eastAsia="方正仿宋_GBK" w:cs="方正仿宋_GBK"/>
                <w:sz w:val="28"/>
                <w:szCs w:val="28"/>
                <w:highlight w:val="none"/>
                <w:shd w:val="clear" w:color="auto" w:fill="auto"/>
                <w:lang w:val="en-US" w:eastAsia="zh-CN"/>
              </w:rPr>
              <w:t>各县（市、区）</w:t>
            </w:r>
          </w:p>
        </w:tc>
        <w:tc>
          <w:tcPr>
            <w:tcW w:w="3671" w:type="dxa"/>
            <w:noWrap w:val="0"/>
            <w:vAlign w:val="center"/>
          </w:tcPr>
          <w:p w14:paraId="1C31C13C">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调整为规范性表述</w:t>
            </w:r>
          </w:p>
        </w:tc>
      </w:tr>
      <w:tr w14:paraId="0D6F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963" w:type="dxa"/>
            <w:noWrap w:val="0"/>
            <w:vAlign w:val="center"/>
          </w:tcPr>
          <w:p w14:paraId="0844036E">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14</w:t>
            </w:r>
          </w:p>
        </w:tc>
        <w:tc>
          <w:tcPr>
            <w:tcW w:w="4044" w:type="dxa"/>
            <w:noWrap w:val="0"/>
            <w:vAlign w:val="center"/>
          </w:tcPr>
          <w:p w14:paraId="7F6A2407">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“主城区”、“非主城区”等表述</w:t>
            </w:r>
          </w:p>
        </w:tc>
        <w:tc>
          <w:tcPr>
            <w:tcW w:w="5285" w:type="dxa"/>
            <w:noWrap w:val="0"/>
            <w:vAlign w:val="center"/>
          </w:tcPr>
          <w:p w14:paraId="5CB48228">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“中心城区”、“非中心城区”</w:t>
            </w:r>
          </w:p>
        </w:tc>
        <w:tc>
          <w:tcPr>
            <w:tcW w:w="3671" w:type="dxa"/>
            <w:noWrap w:val="0"/>
            <w:vAlign w:val="center"/>
          </w:tcPr>
          <w:p w14:paraId="7AA01CC4">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依据《江门市国土空间总体规划（2021-2035年）》调整表述。</w:t>
            </w:r>
          </w:p>
        </w:tc>
      </w:tr>
      <w:tr w14:paraId="50A8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963" w:type="dxa"/>
            <w:noWrap w:val="0"/>
            <w:vAlign w:val="center"/>
          </w:tcPr>
          <w:p w14:paraId="1401A49A">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15</w:t>
            </w:r>
          </w:p>
        </w:tc>
        <w:tc>
          <w:tcPr>
            <w:tcW w:w="4044" w:type="dxa"/>
            <w:noWrap w:val="0"/>
            <w:vAlign w:val="center"/>
          </w:tcPr>
          <w:p w14:paraId="13D32104">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w:t>
            </w:r>
          </w:p>
        </w:tc>
        <w:tc>
          <w:tcPr>
            <w:tcW w:w="5285" w:type="dxa"/>
            <w:noWrap w:val="0"/>
            <w:vAlign w:val="center"/>
          </w:tcPr>
          <w:p w14:paraId="6DA03AC2">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4.10列入《产业结构调整指导目录》《中国严格限制的有毒化学品名录》《优先控制化学品目录》《各类监控化学品名录》《特别管控危险化学品目录》《淘汰落后危险化学品安全生产工艺技术设备目录》等明确淘汰落后、限制、监控的化学品和工艺技术设备，依据其相关政策规定执行。</w:t>
            </w:r>
          </w:p>
        </w:tc>
        <w:tc>
          <w:tcPr>
            <w:tcW w:w="3671" w:type="dxa"/>
            <w:noWrap w:val="0"/>
            <w:vAlign w:val="center"/>
          </w:tcPr>
          <w:p w14:paraId="5720597A">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依据相关文件精神补充内容。</w:t>
            </w:r>
          </w:p>
        </w:tc>
      </w:tr>
      <w:tr w14:paraId="4E4F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3" w:type="dxa"/>
            <w:noWrap w:val="0"/>
            <w:vAlign w:val="center"/>
          </w:tcPr>
          <w:p w14:paraId="7D094BE6">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16</w:t>
            </w:r>
          </w:p>
        </w:tc>
        <w:tc>
          <w:tcPr>
            <w:tcW w:w="4044" w:type="dxa"/>
            <w:noWrap w:val="0"/>
            <w:vAlign w:val="center"/>
          </w:tcPr>
          <w:p w14:paraId="56C9AED4">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附件2“中心城区限制和控制部分”及附件3“非中心城区限制和控制部分”涉及柴油的表述为：柴油[闭杯闪点≤60℃]</w:t>
            </w:r>
          </w:p>
        </w:tc>
        <w:tc>
          <w:tcPr>
            <w:tcW w:w="5285" w:type="dxa"/>
            <w:noWrap w:val="0"/>
            <w:vAlign w:val="center"/>
          </w:tcPr>
          <w:p w14:paraId="57A33296">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修改为“柴油”</w:t>
            </w:r>
          </w:p>
        </w:tc>
        <w:tc>
          <w:tcPr>
            <w:tcW w:w="3671" w:type="dxa"/>
            <w:noWrap w:val="0"/>
            <w:vAlign w:val="center"/>
          </w:tcPr>
          <w:p w14:paraId="57A8D6CD">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依据《应急管理部办公厅关于修改〈危险化学品目录（2015版）实施指南（试行）〉涉及柴油部分内容的通知》进行调整。</w:t>
            </w:r>
          </w:p>
        </w:tc>
      </w:tr>
    </w:tbl>
    <w:p w14:paraId="54EF5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方正仿宋_GBK"/>
          <w:b w:val="0"/>
          <w:bCs w:val="0"/>
          <w:kern w:val="0"/>
          <w:sz w:val="32"/>
          <w:szCs w:val="32"/>
          <w:lang w:val="en-US" w:eastAsia="zh-CN"/>
        </w:rPr>
      </w:pPr>
    </w:p>
    <w:sectPr>
      <w:type w:val="continuous"/>
      <w:pgSz w:w="16838" w:h="11906" w:orient="landscape"/>
      <w:pgMar w:top="1587" w:right="2098" w:bottom="1474" w:left="1984" w:header="851" w:footer="130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AC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D58F1">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64D58F1">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FE07A2"/>
    <w:rsid w:val="0DFFC17C"/>
    <w:rsid w:val="146346E9"/>
    <w:rsid w:val="1B27D0C5"/>
    <w:rsid w:val="1FBFB228"/>
    <w:rsid w:val="2A7FDE3D"/>
    <w:rsid w:val="2DD7E881"/>
    <w:rsid w:val="2DFFECA6"/>
    <w:rsid w:val="33F52CAF"/>
    <w:rsid w:val="34CBC4E6"/>
    <w:rsid w:val="3AEF0C63"/>
    <w:rsid w:val="3AFD72CD"/>
    <w:rsid w:val="3D98AB5C"/>
    <w:rsid w:val="3F9F3878"/>
    <w:rsid w:val="3FDF78C1"/>
    <w:rsid w:val="3FEA16BE"/>
    <w:rsid w:val="467FD1B5"/>
    <w:rsid w:val="4BBE0FBD"/>
    <w:rsid w:val="4E5F15CD"/>
    <w:rsid w:val="4EDE13B5"/>
    <w:rsid w:val="4F2FA6B8"/>
    <w:rsid w:val="4FB48122"/>
    <w:rsid w:val="4FEFE0DA"/>
    <w:rsid w:val="50CDC714"/>
    <w:rsid w:val="57FE67E4"/>
    <w:rsid w:val="597939C5"/>
    <w:rsid w:val="5A9C5366"/>
    <w:rsid w:val="5BB72DCC"/>
    <w:rsid w:val="5C5334DB"/>
    <w:rsid w:val="5D5FCE65"/>
    <w:rsid w:val="5EF9E23A"/>
    <w:rsid w:val="5EFE7185"/>
    <w:rsid w:val="5F5E75CE"/>
    <w:rsid w:val="5FDE5AC2"/>
    <w:rsid w:val="5FEF10D0"/>
    <w:rsid w:val="635ED07F"/>
    <w:rsid w:val="67DE7D34"/>
    <w:rsid w:val="69DF9844"/>
    <w:rsid w:val="6B7E7E3E"/>
    <w:rsid w:val="6C7C6167"/>
    <w:rsid w:val="6CB8D5EF"/>
    <w:rsid w:val="6EF78279"/>
    <w:rsid w:val="6F3D8013"/>
    <w:rsid w:val="6FBB286F"/>
    <w:rsid w:val="6FFE0A1B"/>
    <w:rsid w:val="72A6C465"/>
    <w:rsid w:val="72BF8C01"/>
    <w:rsid w:val="73F7D4BF"/>
    <w:rsid w:val="76B6A560"/>
    <w:rsid w:val="76DFE1F8"/>
    <w:rsid w:val="777BB48A"/>
    <w:rsid w:val="77ED4944"/>
    <w:rsid w:val="77F59089"/>
    <w:rsid w:val="77F7F9FF"/>
    <w:rsid w:val="79DB1245"/>
    <w:rsid w:val="79FD2888"/>
    <w:rsid w:val="7AF9A274"/>
    <w:rsid w:val="7B7A304F"/>
    <w:rsid w:val="7BBF4411"/>
    <w:rsid w:val="7BFDE8C7"/>
    <w:rsid w:val="7BFF0093"/>
    <w:rsid w:val="7DE7F508"/>
    <w:rsid w:val="7DFDA3CE"/>
    <w:rsid w:val="7DFF13C5"/>
    <w:rsid w:val="7EB761F8"/>
    <w:rsid w:val="7EF4C6EE"/>
    <w:rsid w:val="7EF6D25F"/>
    <w:rsid w:val="7F3D15A6"/>
    <w:rsid w:val="7F3F1457"/>
    <w:rsid w:val="7F7FD5DB"/>
    <w:rsid w:val="7FAF01DB"/>
    <w:rsid w:val="7FBB4376"/>
    <w:rsid w:val="7FE71542"/>
    <w:rsid w:val="89FE8740"/>
    <w:rsid w:val="9FBA300D"/>
    <w:rsid w:val="9FFEAF8C"/>
    <w:rsid w:val="B5D70C63"/>
    <w:rsid w:val="BC35500F"/>
    <w:rsid w:val="BE9F4110"/>
    <w:rsid w:val="BEFB83BD"/>
    <w:rsid w:val="BEFE7B74"/>
    <w:rsid w:val="BFD7A61E"/>
    <w:rsid w:val="BFFFD21A"/>
    <w:rsid w:val="C9FF6552"/>
    <w:rsid w:val="CFFD0C38"/>
    <w:rsid w:val="D7EF58BC"/>
    <w:rsid w:val="DAEBAC3D"/>
    <w:rsid w:val="DD6A4AE5"/>
    <w:rsid w:val="DDF39F77"/>
    <w:rsid w:val="DDFE2E91"/>
    <w:rsid w:val="DE651ADB"/>
    <w:rsid w:val="DFFE844F"/>
    <w:rsid w:val="E37BB2E7"/>
    <w:rsid w:val="E7EC717D"/>
    <w:rsid w:val="EA370B92"/>
    <w:rsid w:val="EB1FFF06"/>
    <w:rsid w:val="EBD8284F"/>
    <w:rsid w:val="EBFF01DA"/>
    <w:rsid w:val="EDFF23EF"/>
    <w:rsid w:val="EE7D0A54"/>
    <w:rsid w:val="EEB96E06"/>
    <w:rsid w:val="EEBF2A3B"/>
    <w:rsid w:val="EEFFEB1B"/>
    <w:rsid w:val="F2BDB7EF"/>
    <w:rsid w:val="F3B7C4D0"/>
    <w:rsid w:val="F7F37E21"/>
    <w:rsid w:val="F8FE07A2"/>
    <w:rsid w:val="F93F8095"/>
    <w:rsid w:val="F99B0F66"/>
    <w:rsid w:val="F9FFB5A8"/>
    <w:rsid w:val="FA9FCC6B"/>
    <w:rsid w:val="FBB6340D"/>
    <w:rsid w:val="FBEB1FDA"/>
    <w:rsid w:val="FBF17FF8"/>
    <w:rsid w:val="FBFBDCD5"/>
    <w:rsid w:val="FD63D619"/>
    <w:rsid w:val="FDF6F2E9"/>
    <w:rsid w:val="FDFBE8DC"/>
    <w:rsid w:val="FFC3F7AC"/>
    <w:rsid w:val="FFDA5545"/>
    <w:rsid w:val="FFFBDE93"/>
    <w:rsid w:val="FFFFD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样式 首行缩进:  2 字符"/>
    <w:basedOn w:val="1"/>
    <w:qFormat/>
    <w:uiPriority w:val="0"/>
    <w:pPr>
      <w:ind w:firstLine="200" w:firstLineChars="200"/>
    </w:pPr>
    <w:rPr>
      <w:rFonts w:cs="宋体"/>
      <w:bCs/>
      <w:szCs w:val="20"/>
    </w:rPr>
  </w:style>
  <w:style w:type="paragraph" w:customStyle="1" w:styleId="11">
    <w:name w:val="正文 A"/>
    <w:qFormat/>
    <w:uiPriority w:val="0"/>
    <w:pPr>
      <w:widowControl w:val="0"/>
      <w:jc w:val="both"/>
    </w:pPr>
    <w:rPr>
      <w:rFonts w:ascii="等线" w:hAnsi="等线" w:eastAsia="等线" w:cs="等线"/>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2025-12-02T23:00:00Z</dcterms:created>
  <dc:creator>uos</dc:creator>
  <cp:lastModifiedBy>uos</cp:lastModifiedBy>
  <dcterms:modified xsi:type="dcterms:W3CDTF">2025-12-17T21:18:25Z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E3532AB43B030667A1AD42693A152087_43</vt:lpwstr>
  </property>
</Properties>
</file>