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sz w:val="32"/>
          <w:szCs w:val="32"/>
        </w:rPr>
      </w:pPr>
    </w:p>
    <w:p>
      <w:pPr>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附件1：</w:t>
      </w:r>
    </w:p>
    <w:p>
      <w:pPr>
        <w:pStyle w:val="2"/>
        <w:ind w:firstLine="400"/>
      </w:pPr>
    </w:p>
    <w:p>
      <w:pPr>
        <w:spacing w:line="600" w:lineRule="exact"/>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szCs w:val="44"/>
        </w:rPr>
        <w:t>2025年干部综合能力提升培训班</w:t>
      </w:r>
      <w:r>
        <w:rPr>
          <w:rFonts w:hint="eastAsia" w:ascii="方正小标宋简体" w:hAnsi="方正小标宋简体" w:eastAsia="方正小标宋简体" w:cs="方正小标宋简体"/>
          <w:sz w:val="44"/>
        </w:rPr>
        <w:t>采购需求</w:t>
      </w:r>
    </w:p>
    <w:p>
      <w:pPr>
        <w:pStyle w:val="2"/>
        <w:spacing w:line="600" w:lineRule="exact"/>
        <w:ind w:firstLine="640" w:firstLineChars="0"/>
        <w:rPr>
          <w:rFonts w:ascii="仿宋_GB2312" w:eastAsia="仿宋_GB2312"/>
          <w:sz w:val="32"/>
        </w:rPr>
      </w:pPr>
    </w:p>
    <w:p>
      <w:pPr>
        <w:pStyle w:val="2"/>
        <w:spacing w:line="600" w:lineRule="exact"/>
        <w:ind w:firstLine="640"/>
        <w:rPr>
          <w:rFonts w:hint="eastAsia" w:ascii="仿宋_GB2312" w:eastAsia="仿宋_GB2312"/>
          <w:sz w:val="32"/>
        </w:rPr>
      </w:pPr>
      <w:r>
        <w:rPr>
          <w:rFonts w:hint="eastAsia" w:ascii="黑体" w:hAnsi="黑体" w:eastAsia="黑体"/>
          <w:sz w:val="32"/>
        </w:rPr>
        <w:t>一、项目名称：</w:t>
      </w:r>
      <w:r>
        <w:rPr>
          <w:rFonts w:hint="eastAsia" w:ascii="仿宋_GB2312" w:eastAsia="仿宋_GB2312"/>
          <w:sz w:val="32"/>
        </w:rPr>
        <w:t xml:space="preserve"> 2025年干部综合能力提升培训班</w:t>
      </w:r>
    </w:p>
    <w:p>
      <w:pPr>
        <w:pStyle w:val="2"/>
        <w:spacing w:line="600" w:lineRule="exact"/>
        <w:ind w:firstLine="672" w:firstLineChars="210"/>
        <w:rPr>
          <w:rFonts w:hint="eastAsia" w:ascii="仿宋_GB2312" w:eastAsia="仿宋_GB2312"/>
          <w:sz w:val="32"/>
          <w:szCs w:val="32"/>
        </w:rPr>
      </w:pPr>
      <w:r>
        <w:rPr>
          <w:rFonts w:ascii="黑体" w:hAnsi="黑体" w:eastAsia="黑体"/>
          <w:sz w:val="32"/>
        </w:rPr>
        <w:t>二、控制价格：</w:t>
      </w:r>
      <w:r>
        <w:rPr>
          <w:rFonts w:hint="eastAsia" w:ascii="仿宋_GB2312" w:hAnsi="仿宋_GB2312" w:eastAsia="仿宋_GB2312" w:cs="仿宋_GB2312"/>
          <w:sz w:val="32"/>
          <w:szCs w:val="32"/>
        </w:rPr>
        <w:t>38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lang w:val="zh-CN"/>
        </w:rPr>
        <w:t>元（含税）</w:t>
      </w:r>
      <w:r>
        <w:rPr>
          <w:rFonts w:hint="eastAsia" w:ascii="仿宋_GB2312" w:hAnsi="仿宋_GB2312" w:eastAsia="仿宋_GB2312" w:cs="仿宋_GB2312"/>
          <w:sz w:val="32"/>
        </w:rPr>
        <w:t>，</w:t>
      </w:r>
      <w:r>
        <w:rPr>
          <w:rFonts w:hint="eastAsia" w:ascii="仿宋_GB2312" w:eastAsia="仿宋_GB2312"/>
          <w:sz w:val="32"/>
          <w:szCs w:val="32"/>
        </w:rPr>
        <w:t>包含师资费、教学管理和服务费</w:t>
      </w:r>
      <w:r>
        <w:rPr>
          <w:rFonts w:hint="eastAsia" w:ascii="仿宋_GB2312" w:hAnsi="仿宋_GB2312" w:eastAsia="仿宋_GB2312" w:cs="仿宋_GB2312"/>
          <w:sz w:val="32"/>
          <w:szCs w:val="32"/>
        </w:rPr>
        <w:t>、培训发票税费及培训有关的其他支出</w:t>
      </w:r>
      <w:r>
        <w:rPr>
          <w:rFonts w:hint="eastAsia" w:ascii="仿宋_GB2312" w:eastAsia="仿宋_GB2312"/>
          <w:sz w:val="32"/>
          <w:szCs w:val="32"/>
        </w:rPr>
        <w:t>。</w:t>
      </w:r>
      <w:bookmarkStart w:id="0" w:name="_GoBack"/>
      <w:bookmarkEnd w:id="0"/>
    </w:p>
    <w:p>
      <w:pPr>
        <w:pStyle w:val="2"/>
        <w:spacing w:line="600" w:lineRule="exact"/>
        <w:ind w:firstLine="672" w:firstLineChars="210"/>
        <w:rPr>
          <w:rFonts w:ascii="仿宋_GB2312" w:eastAsia="仿宋_GB2312"/>
          <w:b/>
          <w:bCs/>
          <w:sz w:val="32"/>
        </w:rPr>
      </w:pPr>
      <w:r>
        <w:rPr>
          <w:rFonts w:ascii="黑体" w:hAnsi="黑体" w:eastAsia="黑体"/>
          <w:sz w:val="32"/>
        </w:rPr>
        <w:t>三、项目概况：</w:t>
      </w:r>
      <w:r>
        <w:rPr>
          <w:rFonts w:hint="eastAsia" w:eastAsia="仿宋_GB2312"/>
          <w:sz w:val="32"/>
          <w:szCs w:val="32"/>
        </w:rPr>
        <w:t>围绕提升党性修养、增强综合素养、强化履职能力三大主题，设置提升政治理论水平、了解人工智能发展趋势、提升干部舆情防控及应急处置能力、学习如何利用AI提高工作效率、提高自我调适能力、社会保障政策解读与发展方向共</w:t>
      </w:r>
      <w:r>
        <w:rPr>
          <w:rFonts w:hint="eastAsia" w:ascii="仿宋_GB2312" w:hAnsi="仿宋_GB2312" w:eastAsia="仿宋_GB2312" w:cs="仿宋_GB2312"/>
          <w:sz w:val="32"/>
          <w:szCs w:val="32"/>
        </w:rPr>
        <w:t>6</w:t>
      </w:r>
      <w:r>
        <w:rPr>
          <w:rFonts w:hint="eastAsia" w:eastAsia="仿宋_GB2312"/>
          <w:sz w:val="32"/>
          <w:szCs w:val="32"/>
        </w:rPr>
        <w:t>个专题课程，不断提升干部职工党性修养、专业水平、履职能力</w:t>
      </w:r>
      <w:r>
        <w:rPr>
          <w:rFonts w:hint="eastAsia" w:ascii="仿宋_GB2312" w:eastAsia="仿宋_GB2312"/>
          <w:b/>
          <w:bCs/>
          <w:sz w:val="32"/>
        </w:rPr>
        <w:t>。</w:t>
      </w:r>
    </w:p>
    <w:p>
      <w:pPr>
        <w:pStyle w:val="2"/>
        <w:spacing w:line="600" w:lineRule="exact"/>
        <w:ind w:firstLine="640" w:firstLineChars="0"/>
        <w:rPr>
          <w:rFonts w:ascii="黑体" w:hAnsi="黑体" w:eastAsia="黑体"/>
          <w:sz w:val="32"/>
        </w:rPr>
      </w:pPr>
      <w:r>
        <w:rPr>
          <w:rFonts w:ascii="黑体" w:hAnsi="黑体" w:eastAsia="黑体"/>
          <w:sz w:val="32"/>
        </w:rPr>
        <w:t>四、</w:t>
      </w:r>
      <w:r>
        <w:rPr>
          <w:rFonts w:hint="eastAsia" w:ascii="黑体" w:hAnsi="黑体" w:eastAsia="黑体"/>
          <w:sz w:val="32"/>
        </w:rPr>
        <w:t>培训课程需求</w:t>
      </w:r>
      <w:r>
        <w:rPr>
          <w:rFonts w:ascii="黑体" w:hAnsi="黑体" w:eastAsia="黑体"/>
          <w:sz w:val="32"/>
        </w:rPr>
        <w:t>：</w:t>
      </w:r>
    </w:p>
    <w:tbl>
      <w:tblPr>
        <w:tblStyle w:val="6"/>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460"/>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9" w:type="dxa"/>
            <w:shd w:val="clear" w:color="auto" w:fill="auto"/>
            <w:noWrap w:val="0"/>
            <w:vAlign w:val="top"/>
          </w:tcPr>
          <w:p>
            <w:pPr>
              <w:spacing w:line="480" w:lineRule="exact"/>
              <w:jc w:val="center"/>
              <w:rPr>
                <w:rFonts w:ascii="楷体_GB2312" w:hAnsi="Times New Roman" w:eastAsia="楷体_GB2312"/>
                <w:b/>
                <w:sz w:val="32"/>
                <w:szCs w:val="32"/>
              </w:rPr>
            </w:pPr>
            <w:r>
              <w:rPr>
                <w:rFonts w:hint="eastAsia" w:ascii="楷体_GB2312" w:hAnsi="Times New Roman" w:eastAsia="楷体_GB2312"/>
                <w:b/>
                <w:sz w:val="32"/>
                <w:szCs w:val="32"/>
              </w:rPr>
              <w:t>序号</w:t>
            </w:r>
          </w:p>
        </w:tc>
        <w:tc>
          <w:tcPr>
            <w:tcW w:w="2460" w:type="dxa"/>
            <w:shd w:val="clear" w:color="auto" w:fill="auto"/>
            <w:noWrap w:val="0"/>
            <w:vAlign w:val="top"/>
          </w:tcPr>
          <w:p>
            <w:pPr>
              <w:spacing w:line="480" w:lineRule="exact"/>
              <w:jc w:val="center"/>
              <w:rPr>
                <w:rFonts w:ascii="楷体_GB2312" w:hAnsi="Times New Roman" w:eastAsia="楷体_GB2312"/>
                <w:b/>
                <w:sz w:val="32"/>
                <w:szCs w:val="32"/>
              </w:rPr>
            </w:pPr>
            <w:r>
              <w:rPr>
                <w:rFonts w:hint="eastAsia" w:ascii="楷体_GB2312" w:hAnsi="Times New Roman" w:eastAsia="楷体_GB2312"/>
                <w:b/>
                <w:sz w:val="32"/>
                <w:szCs w:val="32"/>
              </w:rPr>
              <w:t>授课主题</w:t>
            </w:r>
          </w:p>
        </w:tc>
        <w:tc>
          <w:tcPr>
            <w:tcW w:w="4903" w:type="dxa"/>
            <w:shd w:val="clear" w:color="auto" w:fill="auto"/>
            <w:noWrap w:val="0"/>
            <w:vAlign w:val="top"/>
          </w:tcPr>
          <w:p>
            <w:pPr>
              <w:spacing w:line="480" w:lineRule="exact"/>
              <w:jc w:val="center"/>
              <w:rPr>
                <w:rFonts w:ascii="楷体_GB2312" w:hAnsi="Times New Roman" w:eastAsia="楷体_GB2312"/>
                <w:b/>
                <w:sz w:val="32"/>
                <w:szCs w:val="32"/>
              </w:rPr>
            </w:pPr>
            <w:r>
              <w:rPr>
                <w:rFonts w:hint="eastAsia" w:ascii="楷体_GB2312" w:hAnsi="Times New Roman" w:eastAsia="楷体_GB2312"/>
                <w:b/>
                <w:sz w:val="32"/>
                <w:szCs w:val="32"/>
              </w:rPr>
              <w:t>培训目的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0" w:hRule="atLeast"/>
        </w:trPr>
        <w:tc>
          <w:tcPr>
            <w:tcW w:w="889" w:type="dxa"/>
            <w:shd w:val="clear" w:color="auto" w:fill="auto"/>
            <w:noWrap w:val="0"/>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460"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习近平新时代中国特色社会主义思想</w:t>
            </w:r>
          </w:p>
        </w:tc>
        <w:tc>
          <w:tcPr>
            <w:tcW w:w="4903"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学习贯彻党的二十届四中全会及习近平总书记视察广东重要讲话重要指示精神，准确把握“十五五”时期党和国家事业发展的历史方位。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90" w:hRule="atLeast"/>
        </w:trPr>
        <w:tc>
          <w:tcPr>
            <w:tcW w:w="889" w:type="dxa"/>
            <w:shd w:val="clear" w:color="auto" w:fill="auto"/>
            <w:noWrap w:val="0"/>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460" w:type="dxa"/>
            <w:shd w:val="clear" w:color="auto" w:fill="auto"/>
            <w:noWrap w:val="0"/>
            <w:vAlign w:val="center"/>
          </w:tcPr>
          <w:p>
            <w:pPr>
              <w:widowControl/>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人工智能技术创新与产业发展趋势</w:t>
            </w:r>
          </w:p>
        </w:tc>
        <w:tc>
          <w:tcPr>
            <w:tcW w:w="4903"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通过学习人工智能产业的发展趋势，及时了解行业的最新动态和政策导向，拓宽工作思路。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9" w:type="dxa"/>
            <w:shd w:val="clear" w:color="auto" w:fill="auto"/>
            <w:noWrap w:val="0"/>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460"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舆情防控及应急处置</w:t>
            </w:r>
          </w:p>
        </w:tc>
        <w:tc>
          <w:tcPr>
            <w:tcW w:w="4903"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增强干部职工舆情应对</w:t>
            </w:r>
            <w:r>
              <w:rPr>
                <w:rFonts w:hint="eastAsia" w:ascii="仿宋_GB2312" w:hAnsi="仿宋_GB2312" w:eastAsia="仿宋_GB2312" w:cs="仿宋_GB2312"/>
                <w:color w:val="000000"/>
                <w:kern w:val="0"/>
                <w:sz w:val="28"/>
                <w:szCs w:val="28"/>
                <w:lang w:bidi="ar"/>
              </w:rPr>
              <w:t>及应急处置</w:t>
            </w:r>
            <w:r>
              <w:rPr>
                <w:rFonts w:hint="eastAsia" w:ascii="仿宋_GB2312" w:hAnsi="仿宋_GB2312" w:eastAsia="仿宋_GB2312" w:cs="仿宋_GB2312"/>
                <w:sz w:val="28"/>
                <w:szCs w:val="28"/>
              </w:rPr>
              <w:t>能力，防范潜在风险。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889" w:type="dxa"/>
            <w:shd w:val="clear" w:color="auto" w:fill="auto"/>
            <w:noWrap w:val="0"/>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460"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AI 赋能职场办公</w:t>
            </w:r>
          </w:p>
        </w:tc>
        <w:tc>
          <w:tcPr>
            <w:tcW w:w="4903"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学习AI在政务办公中的应用，跟上行业发展的步伐，提高工作效率。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0" w:hRule="atLeast"/>
        </w:trPr>
        <w:tc>
          <w:tcPr>
            <w:tcW w:w="889" w:type="dxa"/>
            <w:shd w:val="clear" w:color="auto" w:fill="auto"/>
            <w:noWrap w:val="0"/>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460"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提高自我心理调适能力</w:t>
            </w:r>
          </w:p>
        </w:tc>
        <w:tc>
          <w:tcPr>
            <w:tcW w:w="4903" w:type="dxa"/>
            <w:shd w:val="clear" w:color="auto" w:fill="auto"/>
            <w:noWrap w:val="0"/>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促进干部职工提高自我调适能力，增强职业获得感、幸福感，塑造积极、阳光、健康的心态。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0" w:hRule="atLeast"/>
        </w:trPr>
        <w:tc>
          <w:tcPr>
            <w:tcW w:w="889" w:type="dxa"/>
            <w:shd w:val="clear" w:color="auto" w:fill="auto"/>
            <w:noWrap w:val="0"/>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460" w:type="dxa"/>
            <w:shd w:val="clear" w:color="auto" w:fill="auto"/>
            <w:noWrap w:val="0"/>
            <w:vAlign w:val="center"/>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社会保障政策解读与发展方向</w:t>
            </w:r>
          </w:p>
        </w:tc>
        <w:tc>
          <w:tcPr>
            <w:tcW w:w="4903" w:type="dxa"/>
            <w:shd w:val="clear" w:color="auto" w:fill="auto"/>
            <w:noWrap w:val="0"/>
            <w:vAlign w:val="center"/>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促进干部更好地理解和把握相关政策、标准,全面了解当前社会保险工作面临的新形势、新任务。</w:t>
            </w:r>
          </w:p>
        </w:tc>
      </w:tr>
    </w:tbl>
    <w:p>
      <w:pPr>
        <w:pStyle w:val="2"/>
        <w:spacing w:line="600" w:lineRule="exact"/>
        <w:ind w:firstLine="672" w:firstLineChars="210"/>
        <w:rPr>
          <w:rFonts w:ascii="黑体" w:hAnsi="黑体" w:eastAsia="黑体"/>
          <w:sz w:val="32"/>
          <w:szCs w:val="32"/>
        </w:rPr>
      </w:pPr>
      <w:r>
        <w:rPr>
          <w:rFonts w:hint="eastAsia" w:eastAsia="仿宋_GB2312"/>
          <w:sz w:val="32"/>
          <w:szCs w:val="32"/>
        </w:rPr>
        <w:t>相关课程需求可根据我局需求作临时调整，在我局提前通知的情况下调整相应匹配的师资资源。</w:t>
      </w:r>
    </w:p>
    <w:p>
      <w:pPr>
        <w:pStyle w:val="2"/>
        <w:spacing w:line="600" w:lineRule="exact"/>
        <w:ind w:firstLine="672" w:firstLineChars="210"/>
        <w:rPr>
          <w:rFonts w:ascii="黑体" w:hAnsi="黑体" w:eastAsia="黑体"/>
          <w:sz w:val="32"/>
          <w:szCs w:val="32"/>
        </w:rPr>
      </w:pPr>
      <w:r>
        <w:rPr>
          <w:rFonts w:hint="eastAsia" w:ascii="黑体" w:hAnsi="黑体" w:eastAsia="黑体"/>
          <w:sz w:val="32"/>
          <w:szCs w:val="32"/>
        </w:rPr>
        <w:t>五、培训具体需求</w:t>
      </w:r>
    </w:p>
    <w:p>
      <w:pPr>
        <w:pStyle w:val="2"/>
        <w:spacing w:line="600" w:lineRule="exact"/>
        <w:ind w:firstLine="672" w:firstLineChars="210"/>
        <w:rPr>
          <w:rFonts w:ascii="仿宋_GB2312" w:hAnsi="仿宋" w:eastAsia="仿宋_GB2312"/>
          <w:sz w:val="32"/>
          <w:szCs w:val="32"/>
        </w:rPr>
      </w:pPr>
      <w:r>
        <w:rPr>
          <w:rFonts w:hint="eastAsia" w:eastAsia="仿宋_GB2312"/>
          <w:sz w:val="32"/>
          <w:szCs w:val="32"/>
        </w:rPr>
        <w:t>所有课题均需结合社保部门职能特点、培训需求进行量身定制培训课程，</w:t>
      </w:r>
      <w:r>
        <w:rPr>
          <w:rFonts w:hint="eastAsia" w:ascii="仿宋_GB2312" w:hAnsi="仿宋" w:eastAsia="仿宋_GB2312"/>
          <w:sz w:val="32"/>
          <w:szCs w:val="32"/>
        </w:rPr>
        <w:t>确保教学质量满足我局上述培训目的。每次专题培训授课时长不少于4学时。</w:t>
      </w:r>
    </w:p>
    <w:p>
      <w:pPr>
        <w:pStyle w:val="2"/>
        <w:spacing w:line="600" w:lineRule="exact"/>
        <w:ind w:firstLine="672" w:firstLineChars="210"/>
        <w:rPr>
          <w:rFonts w:hint="eastAsia" w:ascii="黑体" w:hAnsi="黑体" w:eastAsia="黑体"/>
          <w:sz w:val="32"/>
          <w:szCs w:val="32"/>
        </w:rPr>
      </w:pPr>
      <w:r>
        <w:rPr>
          <w:rFonts w:hint="eastAsia" w:ascii="黑体" w:hAnsi="黑体" w:eastAsia="黑体"/>
          <w:sz w:val="32"/>
          <w:szCs w:val="32"/>
        </w:rPr>
        <w:t>六、培训实施方式</w:t>
      </w:r>
    </w:p>
    <w:p>
      <w:pPr>
        <w:pStyle w:val="2"/>
        <w:spacing w:line="600" w:lineRule="exact"/>
        <w:ind w:firstLine="672" w:firstLineChars="2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培训采取现场集中授课的方式开展。 </w:t>
      </w:r>
    </w:p>
    <w:p>
      <w:pPr>
        <w:pStyle w:val="2"/>
        <w:spacing w:line="600" w:lineRule="exact"/>
        <w:ind w:firstLine="672" w:firstLineChars="210"/>
        <w:rPr>
          <w:rFonts w:ascii="黑体" w:hAnsi="黑体" w:eastAsia="黑体"/>
          <w:sz w:val="32"/>
          <w:szCs w:val="32"/>
        </w:rPr>
      </w:pPr>
      <w:r>
        <w:rPr>
          <w:rFonts w:hint="eastAsia" w:ascii="黑体" w:hAnsi="黑体" w:eastAsia="黑体"/>
          <w:sz w:val="32"/>
          <w:szCs w:val="32"/>
        </w:rPr>
        <w:t>七、培训时间期限</w:t>
      </w:r>
    </w:p>
    <w:p>
      <w:pPr>
        <w:pStyle w:val="2"/>
        <w:spacing w:line="600" w:lineRule="exact"/>
        <w:ind w:firstLine="672" w:firstLineChars="210"/>
        <w:rPr>
          <w:rFonts w:hint="eastAsia" w:ascii="仿宋_GB2312" w:hAnsi="仿宋_GB2312" w:eastAsia="仿宋_GB2312" w:cs="仿宋_GB2312"/>
          <w:sz w:val="32"/>
          <w:szCs w:val="32"/>
        </w:rPr>
      </w:pPr>
      <w:r>
        <w:rPr>
          <w:rFonts w:hint="eastAsia" w:eastAsia="仿宋_GB2312"/>
          <w:sz w:val="32"/>
          <w:szCs w:val="32"/>
        </w:rPr>
        <w:t>培训时间自合同签订后两</w:t>
      </w:r>
      <w:r>
        <w:rPr>
          <w:rFonts w:hint="eastAsia" w:ascii="仿宋_GB2312" w:hAnsi="仿宋_GB2312" w:eastAsia="仿宋_GB2312" w:cs="仿宋_GB2312"/>
          <w:sz w:val="32"/>
          <w:szCs w:val="32"/>
        </w:rPr>
        <w:t>个月内完成，具体时间由我局与培训供应商商定。若</w:t>
      </w:r>
      <w:r>
        <w:rPr>
          <w:rFonts w:hint="eastAsia" w:eastAsia="仿宋_GB2312"/>
          <w:sz w:val="32"/>
          <w:szCs w:val="32"/>
        </w:rPr>
        <w:t>因我局工作需要，可适当延迟整体培训项目的完成时间。</w:t>
      </w:r>
    </w:p>
    <w:p>
      <w:pPr>
        <w:pStyle w:val="2"/>
        <w:spacing w:line="600" w:lineRule="exact"/>
        <w:ind w:firstLine="672" w:firstLineChars="210"/>
        <w:rPr>
          <w:rFonts w:ascii="黑体" w:hAnsi="黑体" w:eastAsia="黑体"/>
          <w:sz w:val="32"/>
          <w:szCs w:val="32"/>
        </w:rPr>
      </w:pPr>
      <w:r>
        <w:rPr>
          <w:rFonts w:hint="eastAsia" w:ascii="黑体" w:hAnsi="黑体" w:eastAsia="黑体"/>
          <w:sz w:val="32"/>
          <w:szCs w:val="32"/>
        </w:rPr>
        <w:t>八、其他</w:t>
      </w:r>
    </w:p>
    <w:p>
      <w:pPr>
        <w:pStyle w:val="2"/>
        <w:spacing w:line="600" w:lineRule="exact"/>
        <w:ind w:firstLine="672" w:firstLineChars="210"/>
        <w:rPr>
          <w:rFonts w:eastAsia="仿宋_GB2312"/>
          <w:sz w:val="32"/>
          <w:szCs w:val="32"/>
        </w:rPr>
      </w:pPr>
      <w:r>
        <w:rPr>
          <w:rFonts w:hint="eastAsia" w:eastAsia="仿宋_GB2312"/>
          <w:sz w:val="32"/>
          <w:szCs w:val="32"/>
        </w:rPr>
        <w:t>培训供应商应在培训结束后为我局开展学员学时统计、培训质量评估等。</w:t>
      </w:r>
    </w:p>
    <w:p>
      <w:pPr>
        <w:pStyle w:val="2"/>
        <w:spacing w:line="600" w:lineRule="exact"/>
        <w:ind w:firstLine="640"/>
        <w:rPr>
          <w:rFonts w:ascii="仿宋_GB2312" w:eastAsia="仿宋_GB2312"/>
          <w:sz w:val="32"/>
          <w:szCs w:val="32"/>
        </w:rPr>
      </w:pPr>
    </w:p>
    <w:p>
      <w:pPr>
        <w:spacing w:line="600" w:lineRule="exact"/>
        <w:ind w:firstLine="640" w:firstLineChars="200"/>
        <w:jc w:val="left"/>
        <w:rPr>
          <w:rFonts w:hint="eastAsia"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p>
    <w:p>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widowControl/>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综合评选评分表</w:t>
      </w:r>
    </w:p>
    <w:p>
      <w:pPr>
        <w:spacing w:after="60" w:line="400" w:lineRule="exact"/>
        <w:rPr>
          <w:rFonts w:ascii="仿宋_GB2312" w:eastAsia="仿宋_GB2312"/>
          <w:sz w:val="30"/>
          <w:szCs w:val="30"/>
        </w:rPr>
      </w:pPr>
    </w:p>
    <w:p>
      <w:pPr>
        <w:spacing w:after="60" w:line="400" w:lineRule="exact"/>
        <w:rPr>
          <w:rFonts w:ascii="仿宋_GB2312" w:eastAsia="仿宋_GB2312"/>
          <w:sz w:val="30"/>
          <w:szCs w:val="30"/>
        </w:rPr>
      </w:pPr>
      <w:r>
        <w:rPr>
          <w:rFonts w:hint="eastAsia" w:ascii="仿宋_GB2312" w:eastAsia="仿宋_GB2312"/>
          <w:sz w:val="30"/>
          <w:szCs w:val="30"/>
        </w:rPr>
        <w:t>项目名称：</w:t>
      </w:r>
      <w:r>
        <w:rPr>
          <w:rFonts w:hint="eastAsia" w:ascii="仿宋_GB2312" w:hAnsi="仿宋_GB2312" w:eastAsia="仿宋_GB2312" w:cs="仿宋_GB2312"/>
          <w:sz w:val="32"/>
          <w:szCs w:val="32"/>
        </w:rPr>
        <w:t xml:space="preserve"> 2025年干部综合能力提升培训班</w:t>
      </w:r>
    </w:p>
    <w:tbl>
      <w:tblPr>
        <w:tblStyle w:val="6"/>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30"/>
        <w:gridCol w:w="6482"/>
        <w:gridCol w:w="1918"/>
        <w:gridCol w:w="1875"/>
        <w:gridCol w:w="180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43" w:type="dxa"/>
            <w:vMerge w:val="restart"/>
            <w:noWrap w:val="0"/>
            <w:vAlign w:val="center"/>
          </w:tcPr>
          <w:p>
            <w:pPr>
              <w:jc w:val="center"/>
              <w:rPr>
                <w:rFonts w:ascii="仿宋_GB2312" w:eastAsia="仿宋_GB2312"/>
                <w:sz w:val="24"/>
              </w:rPr>
            </w:pPr>
            <w:r>
              <w:rPr>
                <w:rFonts w:hint="eastAsia" w:ascii="仿宋_GB2312" w:eastAsia="仿宋_GB2312"/>
                <w:sz w:val="24"/>
              </w:rPr>
              <w:t>类别</w:t>
            </w:r>
          </w:p>
        </w:tc>
        <w:tc>
          <w:tcPr>
            <w:tcW w:w="1230" w:type="dxa"/>
            <w:vMerge w:val="restart"/>
            <w:noWrap w:val="0"/>
            <w:vAlign w:val="center"/>
          </w:tcPr>
          <w:p>
            <w:pPr>
              <w:jc w:val="center"/>
              <w:rPr>
                <w:rFonts w:ascii="仿宋_GB2312" w:eastAsia="仿宋_GB2312"/>
                <w:sz w:val="24"/>
              </w:rPr>
            </w:pPr>
            <w:r>
              <w:rPr>
                <w:rFonts w:hint="eastAsia" w:ascii="仿宋_GB2312" w:eastAsia="仿宋_GB2312"/>
                <w:sz w:val="24"/>
              </w:rPr>
              <w:t>评分</w:t>
            </w:r>
          </w:p>
          <w:p>
            <w:pPr>
              <w:jc w:val="center"/>
              <w:rPr>
                <w:rFonts w:ascii="仿宋_GB2312" w:eastAsia="仿宋_GB2312"/>
                <w:sz w:val="24"/>
              </w:rPr>
            </w:pPr>
            <w:r>
              <w:rPr>
                <w:rFonts w:hint="eastAsia" w:ascii="仿宋_GB2312" w:eastAsia="仿宋_GB2312"/>
                <w:sz w:val="24"/>
              </w:rPr>
              <w:t>项目</w:t>
            </w:r>
          </w:p>
        </w:tc>
        <w:tc>
          <w:tcPr>
            <w:tcW w:w="6482" w:type="dxa"/>
            <w:vMerge w:val="restart"/>
            <w:noWrap w:val="0"/>
            <w:vAlign w:val="center"/>
          </w:tcPr>
          <w:p>
            <w:pPr>
              <w:jc w:val="center"/>
              <w:rPr>
                <w:rFonts w:ascii="仿宋_GB2312" w:eastAsia="仿宋_GB2312"/>
                <w:sz w:val="24"/>
              </w:rPr>
            </w:pPr>
            <w:r>
              <w:rPr>
                <w:rFonts w:hint="eastAsia" w:ascii="仿宋_GB2312" w:eastAsia="仿宋_GB2312"/>
                <w:sz w:val="24"/>
              </w:rPr>
              <w:t>评分参考及范围</w:t>
            </w:r>
          </w:p>
        </w:tc>
        <w:tc>
          <w:tcPr>
            <w:tcW w:w="1918" w:type="dxa"/>
            <w:noWrap w:val="0"/>
            <w:vAlign w:val="center"/>
          </w:tcPr>
          <w:p>
            <w:pPr>
              <w:jc w:val="center"/>
              <w:rPr>
                <w:rFonts w:ascii="仿宋_GB2312" w:eastAsia="仿宋_GB2312"/>
                <w:sz w:val="24"/>
              </w:rPr>
            </w:pPr>
          </w:p>
        </w:tc>
        <w:tc>
          <w:tcPr>
            <w:tcW w:w="1875" w:type="dxa"/>
            <w:noWrap w:val="0"/>
            <w:vAlign w:val="center"/>
          </w:tcPr>
          <w:p>
            <w:pPr>
              <w:jc w:val="center"/>
              <w:rPr>
                <w:rFonts w:hint="eastAsia" w:ascii="仿宋_GB2312" w:eastAsia="仿宋_GB2312"/>
                <w:sz w:val="24"/>
              </w:rPr>
            </w:pPr>
          </w:p>
        </w:tc>
        <w:tc>
          <w:tcPr>
            <w:tcW w:w="1800" w:type="dxa"/>
            <w:noWrap w:val="0"/>
            <w:vAlign w:val="center"/>
          </w:tcPr>
          <w:p>
            <w:pPr>
              <w:jc w:val="center"/>
              <w:rPr>
                <w:rFonts w:ascii="仿宋_GB2312" w:eastAsia="仿宋_GB2312"/>
                <w:sz w:val="24"/>
              </w:rPr>
            </w:pPr>
          </w:p>
        </w:tc>
        <w:tc>
          <w:tcPr>
            <w:tcW w:w="1815"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3" w:type="dxa"/>
            <w:vMerge w:val="continue"/>
            <w:noWrap w:val="0"/>
            <w:vAlign w:val="center"/>
          </w:tcPr>
          <w:p>
            <w:pPr>
              <w:jc w:val="center"/>
              <w:rPr>
                <w:rFonts w:ascii="仿宋_GB2312" w:eastAsia="仿宋_GB2312"/>
                <w:sz w:val="24"/>
              </w:rPr>
            </w:pPr>
          </w:p>
        </w:tc>
        <w:tc>
          <w:tcPr>
            <w:tcW w:w="1230" w:type="dxa"/>
            <w:vMerge w:val="continue"/>
            <w:noWrap w:val="0"/>
            <w:vAlign w:val="center"/>
          </w:tcPr>
          <w:p>
            <w:pPr>
              <w:jc w:val="center"/>
              <w:rPr>
                <w:rFonts w:ascii="仿宋_GB2312" w:eastAsia="仿宋_GB2312"/>
                <w:sz w:val="24"/>
              </w:rPr>
            </w:pPr>
          </w:p>
        </w:tc>
        <w:tc>
          <w:tcPr>
            <w:tcW w:w="6482" w:type="dxa"/>
            <w:vMerge w:val="continue"/>
            <w:noWrap w:val="0"/>
            <w:vAlign w:val="center"/>
          </w:tcPr>
          <w:p>
            <w:pPr>
              <w:jc w:val="center"/>
              <w:rPr>
                <w:rFonts w:ascii="仿宋_GB2312" w:eastAsia="仿宋_GB2312"/>
                <w:sz w:val="24"/>
              </w:rPr>
            </w:pPr>
          </w:p>
        </w:tc>
        <w:tc>
          <w:tcPr>
            <w:tcW w:w="1918" w:type="dxa"/>
            <w:noWrap w:val="0"/>
            <w:vAlign w:val="center"/>
          </w:tcPr>
          <w:p>
            <w:pPr>
              <w:jc w:val="center"/>
              <w:rPr>
                <w:rFonts w:ascii="仿宋_GB2312" w:eastAsia="仿宋_GB2312"/>
                <w:sz w:val="24"/>
              </w:rPr>
            </w:pPr>
            <w:r>
              <w:rPr>
                <w:rFonts w:hint="eastAsia" w:ascii="仿宋_GB2312" w:eastAsia="仿宋_GB2312"/>
                <w:sz w:val="24"/>
              </w:rPr>
              <w:t>分值</w:t>
            </w:r>
          </w:p>
        </w:tc>
        <w:tc>
          <w:tcPr>
            <w:tcW w:w="1875" w:type="dxa"/>
            <w:noWrap w:val="0"/>
            <w:vAlign w:val="center"/>
          </w:tcPr>
          <w:p>
            <w:pPr>
              <w:jc w:val="center"/>
              <w:rPr>
                <w:rFonts w:ascii="仿宋_GB2312" w:eastAsia="仿宋_GB2312"/>
                <w:sz w:val="24"/>
              </w:rPr>
            </w:pPr>
            <w:r>
              <w:rPr>
                <w:rFonts w:hint="eastAsia" w:ascii="仿宋_GB2312" w:eastAsia="仿宋_GB2312"/>
                <w:sz w:val="24"/>
              </w:rPr>
              <w:t>分值</w:t>
            </w:r>
          </w:p>
        </w:tc>
        <w:tc>
          <w:tcPr>
            <w:tcW w:w="1800" w:type="dxa"/>
            <w:noWrap w:val="0"/>
            <w:vAlign w:val="center"/>
          </w:tcPr>
          <w:p>
            <w:pPr>
              <w:jc w:val="center"/>
              <w:rPr>
                <w:rFonts w:ascii="仿宋_GB2312" w:eastAsia="仿宋_GB2312"/>
                <w:sz w:val="24"/>
              </w:rPr>
            </w:pPr>
            <w:r>
              <w:rPr>
                <w:rFonts w:hint="eastAsia" w:ascii="仿宋_GB2312" w:eastAsia="仿宋_GB2312"/>
                <w:sz w:val="24"/>
              </w:rPr>
              <w:t>分值</w:t>
            </w:r>
          </w:p>
        </w:tc>
        <w:tc>
          <w:tcPr>
            <w:tcW w:w="1815" w:type="dxa"/>
            <w:noWrap w:val="0"/>
            <w:vAlign w:val="center"/>
          </w:tcPr>
          <w:p>
            <w:pPr>
              <w:jc w:val="center"/>
              <w:rPr>
                <w:rFonts w:ascii="仿宋_GB2312" w:eastAsia="仿宋_GB2312"/>
                <w:sz w:val="24"/>
              </w:rPr>
            </w:pPr>
            <w:r>
              <w:rPr>
                <w:rFonts w:hint="eastAsia" w:ascii="仿宋_GB2312" w:eastAsia="仿宋_GB2312"/>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43" w:type="dxa"/>
            <w:noWrap w:val="0"/>
            <w:vAlign w:val="center"/>
          </w:tcPr>
          <w:p>
            <w:pPr>
              <w:jc w:val="center"/>
              <w:rPr>
                <w:rFonts w:ascii="仿宋_GB2312" w:eastAsia="仿宋_GB2312"/>
                <w:sz w:val="24"/>
              </w:rPr>
            </w:pPr>
            <w:r>
              <w:rPr>
                <w:rFonts w:hint="eastAsia" w:ascii="仿宋_GB2312" w:eastAsia="仿宋_GB2312"/>
                <w:sz w:val="24"/>
              </w:rPr>
              <w:t>价格</w:t>
            </w:r>
          </w:p>
        </w:tc>
        <w:tc>
          <w:tcPr>
            <w:tcW w:w="1230" w:type="dxa"/>
            <w:noWrap w:val="0"/>
            <w:vAlign w:val="center"/>
          </w:tcPr>
          <w:p>
            <w:pPr>
              <w:jc w:val="center"/>
              <w:rPr>
                <w:rFonts w:ascii="仿宋_GB2312" w:eastAsia="仿宋_GB2312"/>
                <w:sz w:val="24"/>
              </w:rPr>
            </w:pPr>
            <w:r>
              <w:rPr>
                <w:rFonts w:hint="eastAsia" w:ascii="仿宋_GB2312" w:eastAsia="仿宋_GB2312"/>
                <w:sz w:val="24"/>
              </w:rPr>
              <w:t>要求投标</w:t>
            </w:r>
          </w:p>
          <w:p>
            <w:pPr>
              <w:jc w:val="center"/>
              <w:rPr>
                <w:rFonts w:ascii="仿宋_GB2312" w:eastAsia="仿宋_GB2312"/>
                <w:sz w:val="24"/>
              </w:rPr>
            </w:pPr>
            <w:r>
              <w:rPr>
                <w:rFonts w:hint="eastAsia" w:ascii="仿宋_GB2312" w:eastAsia="仿宋_GB2312"/>
                <w:sz w:val="24"/>
              </w:rPr>
              <w:t>总价</w:t>
            </w:r>
          </w:p>
          <w:p>
            <w:pPr>
              <w:jc w:val="left"/>
              <w:rPr>
                <w:rFonts w:ascii="仿宋_GB2312" w:eastAsia="仿宋_GB2312"/>
                <w:sz w:val="24"/>
              </w:rPr>
            </w:pPr>
            <w:r>
              <w:rPr>
                <w:rFonts w:hint="eastAsia" w:ascii="仿宋_GB2312" w:eastAsia="仿宋_GB2312"/>
                <w:szCs w:val="21"/>
              </w:rPr>
              <w:t>（10分）</w:t>
            </w:r>
          </w:p>
        </w:tc>
        <w:tc>
          <w:tcPr>
            <w:tcW w:w="6482" w:type="dxa"/>
            <w:noWrap w:val="0"/>
            <w:vAlign w:val="center"/>
          </w:tcPr>
          <w:p>
            <w:pPr>
              <w:rPr>
                <w:rFonts w:ascii="仿宋_GB2312" w:eastAsia="仿宋_GB2312"/>
                <w:sz w:val="24"/>
              </w:rPr>
            </w:pPr>
            <w:r>
              <w:rPr>
                <w:rFonts w:hint="eastAsia" w:ascii="仿宋_GB2312" w:eastAsia="仿宋_GB2312"/>
                <w:sz w:val="24"/>
              </w:rPr>
              <w:t>价格分</w:t>
            </w:r>
            <w:r>
              <w:rPr>
                <w:rFonts w:ascii="仿宋_GB2312" w:eastAsia="仿宋_GB2312"/>
                <w:sz w:val="24"/>
              </w:rPr>
              <w:t>=</w:t>
            </w:r>
            <w:r>
              <w:rPr>
                <w:rFonts w:hint="eastAsia" w:ascii="仿宋_GB2312" w:eastAsia="仿宋_GB2312"/>
                <w:sz w:val="24"/>
              </w:rPr>
              <w:t>评标基准价</w:t>
            </w:r>
            <w:r>
              <w:rPr>
                <w:rFonts w:ascii="仿宋_GB2312" w:eastAsia="仿宋_GB2312"/>
                <w:sz w:val="24"/>
              </w:rPr>
              <w:t>/</w:t>
            </w:r>
            <w:r>
              <w:rPr>
                <w:rFonts w:hint="eastAsia" w:ascii="仿宋_GB2312" w:eastAsia="仿宋_GB2312"/>
                <w:sz w:val="24"/>
              </w:rPr>
              <w:t>投标报价×1</w:t>
            </w:r>
            <w:r>
              <w:rPr>
                <w:rFonts w:ascii="仿宋_GB2312" w:eastAsia="仿宋_GB2312"/>
                <w:sz w:val="24"/>
              </w:rPr>
              <w:t>0</w:t>
            </w:r>
          </w:p>
          <w:p>
            <w:pPr>
              <w:rPr>
                <w:rFonts w:ascii="仿宋_GB2312" w:eastAsia="仿宋_GB2312"/>
                <w:sz w:val="24"/>
              </w:rPr>
            </w:pPr>
            <w:r>
              <w:rPr>
                <w:rFonts w:hint="eastAsia" w:ascii="仿宋_GB2312" w:eastAsia="仿宋_GB2312"/>
                <w:sz w:val="24"/>
              </w:rPr>
              <w:t>说明：投标报价最低者（评标基准价）本项得满分1</w:t>
            </w:r>
            <w:r>
              <w:rPr>
                <w:rFonts w:ascii="仿宋_GB2312" w:eastAsia="仿宋_GB2312"/>
                <w:sz w:val="24"/>
              </w:rPr>
              <w:t>0</w:t>
            </w:r>
            <w:r>
              <w:rPr>
                <w:rFonts w:hint="eastAsia" w:ascii="仿宋_GB2312" w:eastAsia="仿宋_GB2312"/>
                <w:sz w:val="24"/>
              </w:rPr>
              <w:t>分，其他单位报价按照上述公式与评标基准价相比进行分数统计。</w:t>
            </w:r>
            <w:r>
              <w:rPr>
                <w:rFonts w:hint="eastAsia" w:ascii="仿宋_GB2312" w:eastAsia="仿宋_GB2312"/>
                <w:b/>
                <w:sz w:val="24"/>
              </w:rPr>
              <w:t>备注：所有投标报价均不得超过财政预算价。</w:t>
            </w:r>
          </w:p>
        </w:tc>
        <w:tc>
          <w:tcPr>
            <w:tcW w:w="1918" w:type="dxa"/>
            <w:noWrap w:val="0"/>
            <w:vAlign w:val="top"/>
          </w:tcPr>
          <w:p>
            <w:pPr>
              <w:rPr>
                <w:rFonts w:ascii="仿宋_GB2312" w:eastAsia="仿宋_GB2312"/>
                <w:sz w:val="24"/>
              </w:rPr>
            </w:pPr>
          </w:p>
          <w:p>
            <w:pPr>
              <w:rPr>
                <w:rFonts w:ascii="仿宋_GB2312" w:eastAsia="仿宋_GB2312"/>
                <w:sz w:val="24"/>
                <w:u w:val="single"/>
              </w:rPr>
            </w:pPr>
            <w:r>
              <w:rPr>
                <w:rFonts w:hint="eastAsia" w:ascii="仿宋_GB2312" w:eastAsia="仿宋_GB2312"/>
                <w:sz w:val="24"/>
              </w:rPr>
              <w:t>报价</w:t>
            </w:r>
            <w:r>
              <w:rPr>
                <w:rFonts w:hint="eastAsia" w:ascii="仿宋_GB2312" w:eastAsia="仿宋_GB2312"/>
                <w:sz w:val="24"/>
                <w:u w:val="single"/>
              </w:rPr>
              <w:t xml:space="preserve">       </w:t>
            </w:r>
          </w:p>
        </w:tc>
        <w:tc>
          <w:tcPr>
            <w:tcW w:w="1875" w:type="dxa"/>
            <w:noWrap w:val="0"/>
            <w:vAlign w:val="top"/>
          </w:tcPr>
          <w:p>
            <w:pPr>
              <w:rPr>
                <w:rFonts w:ascii="仿宋_GB2312" w:eastAsia="仿宋_GB2312"/>
                <w:sz w:val="24"/>
              </w:rPr>
            </w:pPr>
          </w:p>
          <w:p>
            <w:pPr>
              <w:rPr>
                <w:rFonts w:ascii="仿宋_GB2312" w:eastAsia="仿宋_GB2312"/>
                <w:sz w:val="24"/>
              </w:rPr>
            </w:pPr>
            <w:r>
              <w:rPr>
                <w:rFonts w:hint="eastAsia" w:ascii="仿宋_GB2312" w:eastAsia="仿宋_GB2312"/>
                <w:sz w:val="24"/>
              </w:rPr>
              <w:t>报价</w:t>
            </w:r>
            <w:r>
              <w:rPr>
                <w:rFonts w:hint="eastAsia" w:ascii="仿宋_GB2312" w:eastAsia="仿宋_GB2312"/>
                <w:sz w:val="24"/>
                <w:u w:val="single"/>
              </w:rPr>
              <w:t xml:space="preserve">       </w:t>
            </w:r>
          </w:p>
        </w:tc>
        <w:tc>
          <w:tcPr>
            <w:tcW w:w="1800" w:type="dxa"/>
            <w:noWrap w:val="0"/>
            <w:vAlign w:val="top"/>
          </w:tcPr>
          <w:p>
            <w:pPr>
              <w:rPr>
                <w:rFonts w:ascii="仿宋_GB2312" w:eastAsia="仿宋_GB2312"/>
                <w:sz w:val="24"/>
              </w:rPr>
            </w:pPr>
          </w:p>
          <w:p>
            <w:pPr>
              <w:rPr>
                <w:rFonts w:ascii="仿宋_GB2312" w:eastAsia="仿宋_GB2312"/>
                <w:sz w:val="24"/>
              </w:rPr>
            </w:pPr>
            <w:r>
              <w:rPr>
                <w:rFonts w:hint="eastAsia" w:ascii="仿宋_GB2312" w:eastAsia="仿宋_GB2312"/>
                <w:sz w:val="24"/>
              </w:rPr>
              <w:t>报价</w:t>
            </w:r>
            <w:r>
              <w:rPr>
                <w:rFonts w:hint="eastAsia" w:ascii="仿宋_GB2312" w:eastAsia="仿宋_GB2312"/>
                <w:sz w:val="24"/>
                <w:u w:val="single"/>
              </w:rPr>
              <w:t xml:space="preserve">       </w:t>
            </w:r>
          </w:p>
        </w:tc>
        <w:tc>
          <w:tcPr>
            <w:tcW w:w="1815" w:type="dxa"/>
            <w:noWrap w:val="0"/>
            <w:vAlign w:val="top"/>
          </w:tcPr>
          <w:p>
            <w:pPr>
              <w:rPr>
                <w:rFonts w:ascii="仿宋_GB2312" w:eastAsia="仿宋_GB2312"/>
                <w:sz w:val="24"/>
              </w:rPr>
            </w:pPr>
          </w:p>
          <w:p>
            <w:pPr>
              <w:rPr>
                <w:rFonts w:ascii="仿宋_GB2312" w:eastAsia="仿宋_GB2312"/>
                <w:sz w:val="24"/>
              </w:rPr>
            </w:pPr>
            <w:r>
              <w:rPr>
                <w:rFonts w:hint="eastAsia" w:ascii="仿宋_GB2312" w:eastAsia="仿宋_GB2312"/>
                <w:sz w:val="24"/>
              </w:rPr>
              <w:t>报价</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3" w:type="dxa"/>
            <w:vMerge w:val="restart"/>
            <w:noWrap w:val="0"/>
            <w:vAlign w:val="center"/>
          </w:tcPr>
          <w:p>
            <w:pPr>
              <w:jc w:val="center"/>
              <w:rPr>
                <w:rFonts w:ascii="仿宋_GB2312" w:eastAsia="仿宋_GB2312"/>
                <w:sz w:val="24"/>
              </w:rPr>
            </w:pPr>
            <w:r>
              <w:rPr>
                <w:rFonts w:hint="eastAsia" w:ascii="仿宋_GB2312" w:eastAsia="仿宋_GB2312"/>
                <w:sz w:val="24"/>
              </w:rPr>
              <w:t>综合</w:t>
            </w:r>
          </w:p>
        </w:tc>
        <w:tc>
          <w:tcPr>
            <w:tcW w:w="1230" w:type="dxa"/>
            <w:noWrap w:val="0"/>
            <w:vAlign w:val="center"/>
          </w:tcPr>
          <w:p>
            <w:pPr>
              <w:jc w:val="center"/>
              <w:rPr>
                <w:rFonts w:ascii="仿宋_GB2312" w:eastAsia="仿宋_GB2312"/>
                <w:sz w:val="24"/>
              </w:rPr>
            </w:pPr>
            <w:r>
              <w:rPr>
                <w:rFonts w:hint="eastAsia" w:ascii="仿宋_GB2312" w:eastAsia="仿宋_GB2312"/>
                <w:sz w:val="24"/>
              </w:rPr>
              <w:t>资质</w:t>
            </w:r>
          </w:p>
          <w:p>
            <w:pPr>
              <w:jc w:val="center"/>
              <w:rPr>
                <w:rFonts w:ascii="仿宋_GB2312" w:eastAsia="仿宋_GB2312"/>
                <w:sz w:val="24"/>
              </w:rPr>
            </w:pPr>
            <w:r>
              <w:rPr>
                <w:rFonts w:hint="eastAsia" w:ascii="仿宋_GB2312" w:eastAsia="仿宋_GB2312"/>
                <w:szCs w:val="21"/>
              </w:rPr>
              <w:t>（10分</w:t>
            </w:r>
            <w:r>
              <w:rPr>
                <w:rFonts w:hint="eastAsia" w:ascii="仿宋_GB2312" w:eastAsia="仿宋_GB2312"/>
                <w:sz w:val="24"/>
              </w:rPr>
              <w:t>）</w:t>
            </w:r>
          </w:p>
        </w:tc>
        <w:tc>
          <w:tcPr>
            <w:tcW w:w="6482" w:type="dxa"/>
            <w:noWrap w:val="0"/>
            <w:vAlign w:val="center"/>
          </w:tcPr>
          <w:p>
            <w:pPr>
              <w:rPr>
                <w:rFonts w:ascii="仿宋_GB2312" w:hAnsi="仿宋_GB2312" w:eastAsia="仿宋_GB2312"/>
                <w:sz w:val="24"/>
              </w:rPr>
            </w:pPr>
            <w:r>
              <w:rPr>
                <w:rFonts w:hint="eastAsia" w:ascii="仿宋_GB2312" w:hAnsi="仿宋_GB2312" w:eastAsia="仿宋_GB2312"/>
                <w:sz w:val="24"/>
              </w:rPr>
              <w:t>提供社会团体法人登记证书或营业执照复印件得3分，提供无欠税证明、参加社会保险的相关材料复印件得3分，提供近三年无重大违法记录承诺书得2分，提供无失信记录相关材料得2分，共10分。</w:t>
            </w:r>
          </w:p>
        </w:tc>
        <w:tc>
          <w:tcPr>
            <w:tcW w:w="1918" w:type="dxa"/>
            <w:noWrap w:val="0"/>
            <w:vAlign w:val="center"/>
          </w:tcPr>
          <w:p>
            <w:pPr>
              <w:rPr>
                <w:rFonts w:ascii="仿宋_GB2312" w:hAnsi="宋体" w:eastAsia="仿宋_GB2312"/>
                <w:color w:val="000000"/>
                <w:sz w:val="24"/>
              </w:rPr>
            </w:pPr>
          </w:p>
        </w:tc>
        <w:tc>
          <w:tcPr>
            <w:tcW w:w="1875" w:type="dxa"/>
            <w:noWrap w:val="0"/>
            <w:vAlign w:val="center"/>
          </w:tcPr>
          <w:p>
            <w:pPr>
              <w:rPr>
                <w:rFonts w:ascii="仿宋_GB2312" w:hAnsi="宋体" w:eastAsia="仿宋_GB2312"/>
                <w:color w:val="000000"/>
                <w:sz w:val="24"/>
              </w:rPr>
            </w:pPr>
          </w:p>
        </w:tc>
        <w:tc>
          <w:tcPr>
            <w:tcW w:w="1800" w:type="dxa"/>
            <w:noWrap w:val="0"/>
            <w:vAlign w:val="center"/>
          </w:tcPr>
          <w:p>
            <w:pPr>
              <w:rPr>
                <w:rFonts w:ascii="仿宋_GB2312" w:hAnsi="宋体" w:eastAsia="仿宋_GB2312"/>
                <w:color w:val="000000"/>
                <w:sz w:val="24"/>
              </w:rPr>
            </w:pPr>
          </w:p>
        </w:tc>
        <w:tc>
          <w:tcPr>
            <w:tcW w:w="1815" w:type="dxa"/>
            <w:noWrap w:val="0"/>
            <w:vAlign w:val="center"/>
          </w:tcPr>
          <w:p>
            <w:pP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43" w:type="dxa"/>
            <w:vMerge w:val="continue"/>
            <w:noWrap w:val="0"/>
            <w:vAlign w:val="center"/>
          </w:tcPr>
          <w:p>
            <w:pPr>
              <w:jc w:val="center"/>
              <w:rPr>
                <w:rFonts w:ascii="仿宋_GB2312" w:eastAsia="仿宋_GB2312"/>
                <w:sz w:val="24"/>
              </w:rPr>
            </w:pPr>
          </w:p>
        </w:tc>
        <w:tc>
          <w:tcPr>
            <w:tcW w:w="1230" w:type="dxa"/>
            <w:noWrap w:val="0"/>
            <w:vAlign w:val="center"/>
          </w:tcPr>
          <w:p>
            <w:pPr>
              <w:jc w:val="center"/>
              <w:rPr>
                <w:rFonts w:ascii="仿宋_GB2312" w:eastAsia="仿宋_GB2312"/>
                <w:sz w:val="24"/>
              </w:rPr>
            </w:pPr>
            <w:r>
              <w:rPr>
                <w:rFonts w:hint="eastAsia" w:ascii="仿宋_GB2312" w:eastAsia="仿宋_GB2312"/>
                <w:sz w:val="24"/>
              </w:rPr>
              <w:t>服务经验</w:t>
            </w:r>
          </w:p>
          <w:p>
            <w:pPr>
              <w:jc w:val="center"/>
              <w:rPr>
                <w:rFonts w:ascii="仿宋_GB2312" w:eastAsia="仿宋_GB2312"/>
                <w:sz w:val="24"/>
              </w:rPr>
            </w:pPr>
            <w:r>
              <w:rPr>
                <w:rFonts w:hint="eastAsia" w:ascii="仿宋_GB2312" w:eastAsia="仿宋_GB2312"/>
                <w:szCs w:val="21"/>
              </w:rPr>
              <w:t>（20分）</w:t>
            </w:r>
          </w:p>
        </w:tc>
        <w:tc>
          <w:tcPr>
            <w:tcW w:w="6482" w:type="dxa"/>
            <w:noWrap w:val="0"/>
            <w:vAlign w:val="center"/>
          </w:tcPr>
          <w:p>
            <w:pPr>
              <w:rPr>
                <w:rFonts w:ascii="仿宋_GB2312" w:eastAsia="仿宋_GB2312"/>
                <w:sz w:val="24"/>
              </w:rPr>
            </w:pPr>
            <w:r>
              <w:rPr>
                <w:rFonts w:hint="eastAsia" w:ascii="仿宋_GB2312" w:hAnsi="仿宋_GB2312" w:eastAsia="仿宋_GB2312"/>
                <w:sz w:val="24"/>
              </w:rPr>
              <w:t>政府购买项目服务经历：</w:t>
            </w:r>
            <w:r>
              <w:rPr>
                <w:rFonts w:hint="eastAsia" w:ascii="仿宋_GB2312" w:hAnsi="宋体" w:eastAsia="仿宋_GB2312"/>
                <w:color w:val="000000"/>
                <w:sz w:val="24"/>
              </w:rPr>
              <w:t>近三年内投标单位承担过市级或以上行政、事业单位同类项目，每一项得5分，累计最高得20分（提供复印件证明，不提供不得分）。</w:t>
            </w:r>
          </w:p>
        </w:tc>
        <w:tc>
          <w:tcPr>
            <w:tcW w:w="1918" w:type="dxa"/>
            <w:noWrap w:val="0"/>
            <w:vAlign w:val="top"/>
          </w:tcPr>
          <w:p>
            <w:pPr>
              <w:jc w:val="left"/>
              <w:rPr>
                <w:rFonts w:ascii="仿宋_GB2312" w:eastAsia="仿宋_GB2312"/>
                <w:sz w:val="24"/>
              </w:rPr>
            </w:pPr>
          </w:p>
        </w:tc>
        <w:tc>
          <w:tcPr>
            <w:tcW w:w="1875" w:type="dxa"/>
            <w:noWrap w:val="0"/>
            <w:vAlign w:val="top"/>
          </w:tcPr>
          <w:p>
            <w:pPr>
              <w:jc w:val="left"/>
              <w:rPr>
                <w:rFonts w:ascii="仿宋_GB2312" w:eastAsia="仿宋_GB2312"/>
                <w:sz w:val="24"/>
              </w:rPr>
            </w:pPr>
          </w:p>
        </w:tc>
        <w:tc>
          <w:tcPr>
            <w:tcW w:w="1800" w:type="dxa"/>
            <w:noWrap w:val="0"/>
            <w:vAlign w:val="top"/>
          </w:tcPr>
          <w:p>
            <w:pPr>
              <w:jc w:val="left"/>
              <w:rPr>
                <w:rFonts w:ascii="仿宋_GB2312" w:eastAsia="仿宋_GB2312"/>
                <w:sz w:val="24"/>
              </w:rPr>
            </w:pPr>
          </w:p>
        </w:tc>
        <w:tc>
          <w:tcPr>
            <w:tcW w:w="1815" w:type="dxa"/>
            <w:noWrap w:val="0"/>
            <w:vAlign w:val="top"/>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43" w:type="dxa"/>
            <w:vMerge w:val="continue"/>
            <w:noWrap w:val="0"/>
            <w:vAlign w:val="center"/>
          </w:tcPr>
          <w:p>
            <w:pPr>
              <w:jc w:val="center"/>
              <w:rPr>
                <w:rFonts w:ascii="仿宋_GB2312" w:eastAsia="仿宋_GB2312"/>
                <w:sz w:val="24"/>
              </w:rPr>
            </w:pPr>
          </w:p>
        </w:tc>
        <w:tc>
          <w:tcPr>
            <w:tcW w:w="1230" w:type="dxa"/>
            <w:noWrap w:val="0"/>
            <w:vAlign w:val="center"/>
          </w:tcPr>
          <w:p>
            <w:pPr>
              <w:jc w:val="center"/>
              <w:rPr>
                <w:rFonts w:ascii="仿宋_GB2312" w:eastAsia="仿宋_GB2312"/>
                <w:sz w:val="24"/>
              </w:rPr>
            </w:pPr>
            <w:r>
              <w:rPr>
                <w:rFonts w:hint="eastAsia" w:ascii="仿宋_GB2312" w:eastAsia="仿宋_GB2312"/>
                <w:sz w:val="24"/>
              </w:rPr>
              <w:t>师资情况</w:t>
            </w:r>
          </w:p>
          <w:p>
            <w:pPr>
              <w:jc w:val="center"/>
              <w:rPr>
                <w:rFonts w:ascii="仿宋_GB2312" w:eastAsia="仿宋_GB2312"/>
                <w:sz w:val="24"/>
              </w:rPr>
            </w:pPr>
            <w:r>
              <w:rPr>
                <w:rFonts w:hint="eastAsia" w:ascii="仿宋_GB2312" w:eastAsia="仿宋_GB2312"/>
                <w:sz w:val="24"/>
              </w:rPr>
              <w:t>（30）</w:t>
            </w:r>
          </w:p>
        </w:tc>
        <w:tc>
          <w:tcPr>
            <w:tcW w:w="6482" w:type="dxa"/>
            <w:tcBorders>
              <w:right w:val="single" w:color="000000" w:sz="4" w:space="0"/>
            </w:tcBorders>
            <w:noWrap w:val="0"/>
            <w:vAlign w:val="center"/>
          </w:tcPr>
          <w:p>
            <w:pPr>
              <w:rPr>
                <w:rFonts w:ascii="仿宋_GB2312" w:eastAsia="仿宋_GB2312"/>
                <w:sz w:val="24"/>
              </w:rPr>
            </w:pPr>
            <w:r>
              <w:rPr>
                <w:rFonts w:hint="eastAsia" w:ascii="仿宋_GB2312" w:eastAsia="仿宋_GB2312"/>
                <w:sz w:val="24"/>
              </w:rPr>
              <w:t>根据培训专题课程需求提供匹配的6名专业师资及课程主题介绍。根据匹配度综合对比：优得30-21分，中得20-11分，差得10-0分。</w:t>
            </w:r>
          </w:p>
        </w:tc>
        <w:tc>
          <w:tcPr>
            <w:tcW w:w="1918" w:type="dxa"/>
            <w:tcBorders>
              <w:left w:val="single" w:color="000000" w:sz="4" w:space="0"/>
            </w:tcBorders>
            <w:noWrap w:val="0"/>
            <w:vAlign w:val="top"/>
          </w:tcPr>
          <w:p>
            <w:pPr>
              <w:jc w:val="left"/>
              <w:rPr>
                <w:rFonts w:ascii="仿宋_GB2312" w:eastAsia="仿宋_GB2312"/>
                <w:sz w:val="24"/>
              </w:rPr>
            </w:pPr>
          </w:p>
        </w:tc>
        <w:tc>
          <w:tcPr>
            <w:tcW w:w="1875" w:type="dxa"/>
            <w:noWrap w:val="0"/>
            <w:vAlign w:val="top"/>
          </w:tcPr>
          <w:p>
            <w:pPr>
              <w:jc w:val="left"/>
              <w:rPr>
                <w:rFonts w:ascii="仿宋_GB2312" w:eastAsia="仿宋_GB2312"/>
                <w:sz w:val="24"/>
              </w:rPr>
            </w:pPr>
          </w:p>
        </w:tc>
        <w:tc>
          <w:tcPr>
            <w:tcW w:w="1800" w:type="dxa"/>
            <w:noWrap w:val="0"/>
            <w:vAlign w:val="top"/>
          </w:tcPr>
          <w:p>
            <w:pPr>
              <w:jc w:val="left"/>
              <w:rPr>
                <w:rFonts w:ascii="仿宋_GB2312" w:eastAsia="仿宋_GB2312"/>
                <w:sz w:val="24"/>
              </w:rPr>
            </w:pPr>
          </w:p>
        </w:tc>
        <w:tc>
          <w:tcPr>
            <w:tcW w:w="1815" w:type="dxa"/>
            <w:noWrap w:val="0"/>
            <w:vAlign w:val="top"/>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43" w:type="dxa"/>
            <w:vMerge w:val="continue"/>
            <w:noWrap w:val="0"/>
            <w:vAlign w:val="center"/>
          </w:tcPr>
          <w:p>
            <w:pPr>
              <w:jc w:val="center"/>
              <w:rPr>
                <w:rFonts w:ascii="仿宋_GB2312" w:eastAsia="仿宋_GB2312"/>
                <w:sz w:val="24"/>
              </w:rPr>
            </w:pPr>
          </w:p>
        </w:tc>
        <w:tc>
          <w:tcPr>
            <w:tcW w:w="1230" w:type="dxa"/>
            <w:noWrap w:val="0"/>
            <w:vAlign w:val="center"/>
          </w:tcPr>
          <w:p>
            <w:pPr>
              <w:jc w:val="center"/>
              <w:rPr>
                <w:rFonts w:ascii="仿宋_GB2312" w:eastAsia="仿宋_GB2312"/>
                <w:sz w:val="24"/>
              </w:rPr>
            </w:pPr>
            <w:r>
              <w:rPr>
                <w:rFonts w:hint="eastAsia" w:ascii="仿宋_GB2312" w:eastAsia="仿宋_GB2312"/>
                <w:sz w:val="24"/>
              </w:rPr>
              <w:t>工作</w:t>
            </w:r>
          </w:p>
          <w:p>
            <w:pPr>
              <w:jc w:val="center"/>
              <w:rPr>
                <w:rFonts w:ascii="仿宋_GB2312" w:eastAsia="仿宋_GB2312"/>
                <w:sz w:val="24"/>
              </w:rPr>
            </w:pPr>
            <w:r>
              <w:rPr>
                <w:rFonts w:hint="eastAsia" w:ascii="仿宋_GB2312" w:eastAsia="仿宋_GB2312"/>
                <w:sz w:val="24"/>
              </w:rPr>
              <w:t>方案</w:t>
            </w:r>
          </w:p>
          <w:p>
            <w:pPr>
              <w:jc w:val="center"/>
              <w:rPr>
                <w:rFonts w:ascii="仿宋_GB2312" w:eastAsia="仿宋_GB2312"/>
                <w:sz w:val="24"/>
              </w:rPr>
            </w:pPr>
            <w:r>
              <w:rPr>
                <w:rFonts w:hint="eastAsia" w:ascii="仿宋_GB2312" w:eastAsia="仿宋_GB2312"/>
                <w:szCs w:val="21"/>
              </w:rPr>
              <w:t>（30分）</w:t>
            </w:r>
          </w:p>
        </w:tc>
        <w:tc>
          <w:tcPr>
            <w:tcW w:w="6482" w:type="dxa"/>
            <w:tcBorders>
              <w:right w:val="single" w:color="000000" w:sz="4" w:space="0"/>
            </w:tcBorders>
            <w:noWrap w:val="0"/>
            <w:vAlign w:val="center"/>
          </w:tcPr>
          <w:p>
            <w:pPr>
              <w:rPr>
                <w:rFonts w:ascii="仿宋_GB2312" w:eastAsia="仿宋_GB2312"/>
                <w:sz w:val="24"/>
              </w:rPr>
            </w:pPr>
            <w:r>
              <w:rPr>
                <w:rFonts w:hint="eastAsia" w:ascii="仿宋_GB2312" w:eastAsia="仿宋_GB2312"/>
                <w:sz w:val="24"/>
              </w:rPr>
              <w:t>工作方案和计划内容科学完整，课程设置、时间进度计划符合招标方要求，培训内容安排充实，教学安排符合目标需求。项目实施方案</w:t>
            </w:r>
            <w:r>
              <w:rPr>
                <w:rFonts w:hint="eastAsia" w:ascii="仿宋_GB2312" w:hAnsi="宋体" w:eastAsia="仿宋_GB2312"/>
                <w:color w:val="000000"/>
                <w:sz w:val="24"/>
              </w:rPr>
              <w:t>评价为优得30-21分；评价为良得21-11分；评价为差得10</w:t>
            </w:r>
            <w:r>
              <w:rPr>
                <w:rFonts w:ascii="仿宋_GB2312" w:hAnsi="宋体" w:eastAsia="仿宋_GB2312"/>
                <w:color w:val="000000"/>
                <w:sz w:val="24"/>
              </w:rPr>
              <w:t>-</w:t>
            </w:r>
            <w:r>
              <w:rPr>
                <w:rFonts w:hint="eastAsia" w:ascii="仿宋_GB2312" w:hAnsi="宋体" w:eastAsia="仿宋_GB2312"/>
                <w:color w:val="000000"/>
                <w:sz w:val="24"/>
              </w:rPr>
              <w:t>0分。</w:t>
            </w:r>
          </w:p>
        </w:tc>
        <w:tc>
          <w:tcPr>
            <w:tcW w:w="1918" w:type="dxa"/>
            <w:tcBorders>
              <w:left w:val="single" w:color="000000" w:sz="4" w:space="0"/>
            </w:tcBorders>
            <w:noWrap w:val="0"/>
            <w:vAlign w:val="top"/>
          </w:tcPr>
          <w:p>
            <w:pPr>
              <w:jc w:val="left"/>
              <w:rPr>
                <w:rFonts w:ascii="仿宋_GB2312" w:eastAsia="仿宋_GB2312"/>
                <w:sz w:val="24"/>
              </w:rPr>
            </w:pPr>
          </w:p>
        </w:tc>
        <w:tc>
          <w:tcPr>
            <w:tcW w:w="1875" w:type="dxa"/>
            <w:noWrap w:val="0"/>
            <w:vAlign w:val="top"/>
          </w:tcPr>
          <w:p>
            <w:pPr>
              <w:jc w:val="left"/>
              <w:rPr>
                <w:rFonts w:ascii="仿宋_GB2312" w:eastAsia="仿宋_GB2312"/>
                <w:sz w:val="24"/>
              </w:rPr>
            </w:pPr>
          </w:p>
        </w:tc>
        <w:tc>
          <w:tcPr>
            <w:tcW w:w="1800" w:type="dxa"/>
            <w:noWrap w:val="0"/>
            <w:vAlign w:val="top"/>
          </w:tcPr>
          <w:p>
            <w:pPr>
              <w:jc w:val="left"/>
              <w:rPr>
                <w:rFonts w:ascii="仿宋_GB2312" w:eastAsia="仿宋_GB2312"/>
                <w:sz w:val="24"/>
              </w:rPr>
            </w:pPr>
          </w:p>
        </w:tc>
        <w:tc>
          <w:tcPr>
            <w:tcW w:w="1815" w:type="dxa"/>
            <w:noWrap w:val="0"/>
            <w:vAlign w:val="top"/>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73" w:type="dxa"/>
            <w:gridSpan w:val="2"/>
            <w:noWrap w:val="0"/>
            <w:vAlign w:val="center"/>
          </w:tcPr>
          <w:p>
            <w:pPr>
              <w:jc w:val="center"/>
              <w:rPr>
                <w:rFonts w:ascii="仿宋_GB2312" w:eastAsia="仿宋_GB2312"/>
                <w:sz w:val="24"/>
              </w:rPr>
            </w:pPr>
            <w:r>
              <w:rPr>
                <w:rFonts w:hint="eastAsia" w:ascii="仿宋_GB2312" w:eastAsia="仿宋_GB2312"/>
                <w:sz w:val="24"/>
              </w:rPr>
              <w:t>评分合计</w:t>
            </w:r>
          </w:p>
        </w:tc>
        <w:tc>
          <w:tcPr>
            <w:tcW w:w="6482" w:type="dxa"/>
            <w:tcBorders>
              <w:right w:val="single" w:color="000000" w:sz="4" w:space="0"/>
            </w:tcBorders>
            <w:noWrap w:val="0"/>
            <w:vAlign w:val="top"/>
          </w:tcPr>
          <w:p>
            <w:pPr>
              <w:jc w:val="left"/>
              <w:rPr>
                <w:rFonts w:ascii="仿宋_GB2312" w:eastAsia="仿宋_GB2312"/>
                <w:sz w:val="24"/>
              </w:rPr>
            </w:pPr>
          </w:p>
        </w:tc>
        <w:tc>
          <w:tcPr>
            <w:tcW w:w="1918" w:type="dxa"/>
            <w:tcBorders>
              <w:left w:val="single" w:color="000000" w:sz="4" w:space="0"/>
            </w:tcBorders>
            <w:noWrap w:val="0"/>
            <w:vAlign w:val="top"/>
          </w:tcPr>
          <w:p>
            <w:pPr>
              <w:jc w:val="left"/>
              <w:rPr>
                <w:rFonts w:ascii="仿宋_GB2312" w:eastAsia="仿宋_GB2312"/>
                <w:sz w:val="24"/>
              </w:rPr>
            </w:pPr>
          </w:p>
        </w:tc>
        <w:tc>
          <w:tcPr>
            <w:tcW w:w="1875" w:type="dxa"/>
            <w:noWrap w:val="0"/>
            <w:vAlign w:val="top"/>
          </w:tcPr>
          <w:p>
            <w:pPr>
              <w:jc w:val="left"/>
              <w:rPr>
                <w:rFonts w:ascii="仿宋_GB2312" w:eastAsia="仿宋_GB2312"/>
                <w:sz w:val="24"/>
              </w:rPr>
            </w:pPr>
          </w:p>
        </w:tc>
        <w:tc>
          <w:tcPr>
            <w:tcW w:w="1800" w:type="dxa"/>
            <w:noWrap w:val="0"/>
            <w:vAlign w:val="top"/>
          </w:tcPr>
          <w:p>
            <w:pPr>
              <w:jc w:val="left"/>
              <w:rPr>
                <w:rFonts w:ascii="仿宋_GB2312" w:eastAsia="仿宋_GB2312"/>
                <w:sz w:val="24"/>
              </w:rPr>
            </w:pPr>
          </w:p>
        </w:tc>
        <w:tc>
          <w:tcPr>
            <w:tcW w:w="1815" w:type="dxa"/>
            <w:noWrap w:val="0"/>
            <w:vAlign w:val="top"/>
          </w:tcPr>
          <w:p>
            <w:pPr>
              <w:jc w:val="left"/>
              <w:rPr>
                <w:rFonts w:ascii="仿宋_GB2312" w:eastAsia="仿宋_GB2312"/>
                <w:sz w:val="24"/>
              </w:rPr>
            </w:pPr>
          </w:p>
        </w:tc>
      </w:tr>
    </w:tbl>
    <w:p>
      <w:pPr>
        <w:wordWrap w:val="0"/>
        <w:ind w:right="980"/>
        <w:rPr>
          <w:rFonts w:hint="eastAsia"/>
          <w:sz w:val="32"/>
          <w:szCs w:val="32"/>
        </w:rPr>
      </w:pPr>
      <w:r>
        <w:rPr>
          <w:rFonts w:hint="eastAsia" w:ascii="仿宋_GB2312" w:eastAsia="仿宋_GB2312"/>
          <w:sz w:val="30"/>
          <w:szCs w:val="30"/>
        </w:rPr>
        <w:t xml:space="preserve">评分员签名：                                                 </w:t>
      </w:r>
      <w:r>
        <w:rPr>
          <w:rFonts w:hint="eastAsia" w:ascii="仿宋_GB2312" w:eastAsia="仿宋_GB2312"/>
          <w:sz w:val="28"/>
          <w:szCs w:val="28"/>
        </w:rPr>
        <w:t>日期：     年      月     日</w:t>
      </w:r>
    </w:p>
    <w:sectPr>
      <w:pgSz w:w="16838" w:h="11906" w:orient="landscape"/>
      <w:pgMar w:top="567" w:right="567" w:bottom="567" w:left="567"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9060101010101"/>
    <w:charset w:val="00"/>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trackRevisions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Yzg0NmZiOTM2ZjZhNDU0MGQ4NGFmZThkMDk1NmQifQ=="/>
  </w:docVars>
  <w:rsids>
    <w:rsidRoot w:val="00087009"/>
    <w:rsid w:val="0000094E"/>
    <w:rsid w:val="00072485"/>
    <w:rsid w:val="00087009"/>
    <w:rsid w:val="000D615A"/>
    <w:rsid w:val="00103FF7"/>
    <w:rsid w:val="00135206"/>
    <w:rsid w:val="0016080F"/>
    <w:rsid w:val="0028684B"/>
    <w:rsid w:val="002958AD"/>
    <w:rsid w:val="002D7A8D"/>
    <w:rsid w:val="002F3198"/>
    <w:rsid w:val="003A0C4A"/>
    <w:rsid w:val="003F1307"/>
    <w:rsid w:val="00435C11"/>
    <w:rsid w:val="004A1278"/>
    <w:rsid w:val="005013FA"/>
    <w:rsid w:val="007125B6"/>
    <w:rsid w:val="007624B6"/>
    <w:rsid w:val="00764391"/>
    <w:rsid w:val="007F20B6"/>
    <w:rsid w:val="00817B70"/>
    <w:rsid w:val="0084272A"/>
    <w:rsid w:val="008508C2"/>
    <w:rsid w:val="00863E8A"/>
    <w:rsid w:val="008A2B36"/>
    <w:rsid w:val="008B582D"/>
    <w:rsid w:val="008D64CC"/>
    <w:rsid w:val="009912EC"/>
    <w:rsid w:val="00A10055"/>
    <w:rsid w:val="00A5675A"/>
    <w:rsid w:val="00A60D27"/>
    <w:rsid w:val="00AA70ED"/>
    <w:rsid w:val="00B546B6"/>
    <w:rsid w:val="00B9247F"/>
    <w:rsid w:val="00BE2437"/>
    <w:rsid w:val="00C0283C"/>
    <w:rsid w:val="00C3260C"/>
    <w:rsid w:val="00C43B0A"/>
    <w:rsid w:val="00C80EF2"/>
    <w:rsid w:val="00CA2447"/>
    <w:rsid w:val="00CA4220"/>
    <w:rsid w:val="00D47AA3"/>
    <w:rsid w:val="00DA1E45"/>
    <w:rsid w:val="00DE10B8"/>
    <w:rsid w:val="00DE567F"/>
    <w:rsid w:val="00ED2A74"/>
    <w:rsid w:val="00EF4AF7"/>
    <w:rsid w:val="00F458BF"/>
    <w:rsid w:val="00F83FAC"/>
    <w:rsid w:val="02BB0928"/>
    <w:rsid w:val="048F702C"/>
    <w:rsid w:val="05352211"/>
    <w:rsid w:val="08C96CD9"/>
    <w:rsid w:val="09822670"/>
    <w:rsid w:val="0EF546FE"/>
    <w:rsid w:val="13FE338E"/>
    <w:rsid w:val="209E72DC"/>
    <w:rsid w:val="28463A4A"/>
    <w:rsid w:val="2BBE2BCC"/>
    <w:rsid w:val="30653DF9"/>
    <w:rsid w:val="3BB6283D"/>
    <w:rsid w:val="3CEC6F22"/>
    <w:rsid w:val="3EC4273E"/>
    <w:rsid w:val="41FD3BE3"/>
    <w:rsid w:val="46A736CA"/>
    <w:rsid w:val="4FDBA827"/>
    <w:rsid w:val="51961E05"/>
    <w:rsid w:val="56EF3AE6"/>
    <w:rsid w:val="57510923"/>
    <w:rsid w:val="581216DD"/>
    <w:rsid w:val="5E83313B"/>
    <w:rsid w:val="5EE446AD"/>
    <w:rsid w:val="5F0447C5"/>
    <w:rsid w:val="62C4283B"/>
    <w:rsid w:val="67700F73"/>
    <w:rsid w:val="693B3571"/>
    <w:rsid w:val="6EEC06F9"/>
    <w:rsid w:val="780D451C"/>
    <w:rsid w:val="7E810D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Balloon Text"/>
    <w:basedOn w:val="1"/>
    <w:link w:val="9"/>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uiPriority w:val="0"/>
    <w:rPr>
      <w:rFonts w:ascii="Calibri" w:hAnsi="Calibri"/>
      <w:kern w:val="2"/>
      <w:sz w:val="18"/>
      <w:szCs w:val="18"/>
    </w:rPr>
  </w:style>
  <w:style w:type="character" w:customStyle="1" w:styleId="10">
    <w:name w:val="页眉 Char"/>
    <w:link w:val="5"/>
    <w:uiPriority w:val="0"/>
    <w:rPr>
      <w:rFonts w:ascii="Calibri" w:hAnsi="Calibri"/>
      <w:kern w:val="2"/>
      <w:sz w:val="18"/>
      <w:szCs w:val="18"/>
    </w:rPr>
  </w:style>
  <w:style w:type="character" w:customStyle="1" w:styleId="11">
    <w:name w:val="页脚 Char"/>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461</Words>
  <Characters>2633</Characters>
  <Lines>21</Lines>
  <Paragraphs>6</Paragraphs>
  <TotalTime>4</TotalTime>
  <ScaleCrop>false</ScaleCrop>
  <LinksUpToDate>false</LinksUpToDate>
  <CharactersWithSpaces>3088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2022-07-20T11:51:00Z</dcterms:created>
  <dc:creator>Administrator</dc:creator>
  <cp:lastModifiedBy>刘嘉敏</cp:lastModifiedBy>
  <dcterms:modified xsi:type="dcterms:W3CDTF">2025-12-04T16:53:23Z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6E4B0FA365664541A8C11952E465DD61</vt:lpwstr>
  </property>
</Properties>
</file>