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7C401F">
      <w:pPr>
        <w:spacing w:line="560" w:lineRule="exact"/>
        <w:jc w:val="both"/>
        <w:rPr>
          <w:rFonts w:hint="default"/>
          <w:b/>
          <w:bCs/>
          <w:color w:val="auto"/>
          <w:sz w:val="28"/>
          <w:szCs w:val="28"/>
          <w:lang w:val="en-US" w:eastAsia="zh-CN"/>
        </w:rPr>
      </w:pPr>
      <w:r>
        <w:rPr>
          <w:rFonts w:hint="eastAsia"/>
          <w:b/>
          <w:bCs/>
          <w:color w:val="auto"/>
          <w:sz w:val="28"/>
          <w:szCs w:val="28"/>
          <w:lang w:eastAsia="zh-CN"/>
        </w:rPr>
        <w:t>附件</w:t>
      </w:r>
      <w:r>
        <w:rPr>
          <w:rFonts w:hint="eastAsia"/>
          <w:b/>
          <w:bCs/>
          <w:color w:val="auto"/>
          <w:sz w:val="28"/>
          <w:szCs w:val="28"/>
          <w:lang w:val="en-US" w:eastAsia="zh-CN"/>
        </w:rPr>
        <w:t>1</w:t>
      </w:r>
      <w:bookmarkStart w:id="0" w:name="_GoBack"/>
      <w:bookmarkEnd w:id="0"/>
    </w:p>
    <w:p w14:paraId="1BF5C159">
      <w:pPr>
        <w:spacing w:line="560" w:lineRule="exact"/>
        <w:jc w:val="center"/>
        <w:rPr>
          <w:rFonts w:hint="eastAsia" w:eastAsiaTheme="minorEastAsia"/>
          <w:b/>
          <w:bCs/>
          <w:color w:val="auto"/>
          <w:sz w:val="28"/>
          <w:szCs w:val="28"/>
          <w:lang w:eastAsia="zh-CN"/>
        </w:rPr>
      </w:pPr>
      <w:r>
        <w:rPr>
          <w:rFonts w:hint="eastAsia"/>
          <w:b/>
          <w:bCs/>
          <w:color w:val="auto"/>
          <w:sz w:val="28"/>
          <w:szCs w:val="28"/>
          <w:lang w:eastAsia="zh-CN"/>
        </w:rPr>
        <w:t>江门市新会公路局养护中心</w:t>
      </w:r>
      <w:r>
        <w:rPr>
          <w:rFonts w:hint="eastAsia"/>
          <w:b/>
          <w:bCs/>
          <w:color w:val="auto"/>
          <w:sz w:val="28"/>
          <w:szCs w:val="28"/>
          <w:lang w:val="en-US" w:eastAsia="zh-CN"/>
        </w:rPr>
        <w:t>省道S271线双水电厂路段（K86+200~K86+800）挖补维修工程</w:t>
      </w:r>
      <w:r>
        <w:rPr>
          <w:rFonts w:hint="eastAsia"/>
          <w:b/>
          <w:bCs/>
          <w:color w:val="auto"/>
          <w:sz w:val="28"/>
          <w:szCs w:val="28"/>
          <w:lang w:eastAsia="zh-CN"/>
        </w:rPr>
        <w:t>钢筋</w:t>
      </w:r>
      <w:r>
        <w:rPr>
          <w:rFonts w:hint="eastAsia"/>
          <w:b/>
          <w:bCs/>
          <w:color w:val="auto"/>
          <w:sz w:val="28"/>
          <w:szCs w:val="28"/>
        </w:rPr>
        <w:t>采购</w:t>
      </w:r>
      <w:r>
        <w:rPr>
          <w:rFonts w:hint="eastAsia"/>
          <w:b/>
          <w:bCs/>
          <w:color w:val="auto"/>
          <w:sz w:val="28"/>
          <w:szCs w:val="28"/>
          <w:lang w:eastAsia="zh-CN"/>
        </w:rPr>
        <w:t>评分标准</w:t>
      </w:r>
    </w:p>
    <w:p w14:paraId="0F9D80AE">
      <w:pPr>
        <w:spacing w:line="560" w:lineRule="exact"/>
        <w:jc w:val="center"/>
        <w:rPr>
          <w:rFonts w:hint="eastAsia"/>
          <w:b/>
          <w:bCs/>
          <w:color w:val="auto"/>
          <w:sz w:val="28"/>
          <w:szCs w:val="28"/>
        </w:rPr>
      </w:pPr>
    </w:p>
    <w:p w14:paraId="4CB21B9C">
      <w:pPr>
        <w:spacing w:line="560" w:lineRule="exact"/>
        <w:ind w:firstLine="560"/>
        <w:jc w:val="left"/>
        <w:rPr>
          <w:b/>
          <w:bCs/>
          <w:color w:val="auto"/>
          <w:sz w:val="24"/>
        </w:rPr>
      </w:pPr>
      <w:r>
        <w:rPr>
          <w:rFonts w:hint="eastAsia"/>
          <w:b/>
          <w:bCs/>
          <w:color w:val="auto"/>
          <w:sz w:val="24"/>
        </w:rPr>
        <w:t>一、本</w:t>
      </w:r>
      <w:r>
        <w:rPr>
          <w:rFonts w:hint="eastAsia"/>
          <w:b/>
          <w:bCs/>
          <w:color w:val="auto"/>
          <w:sz w:val="24"/>
          <w:lang w:eastAsia="zh-CN"/>
        </w:rPr>
        <w:t>采购</w:t>
      </w:r>
      <w:r>
        <w:rPr>
          <w:rFonts w:hint="eastAsia"/>
          <w:b/>
          <w:bCs/>
          <w:color w:val="auto"/>
          <w:sz w:val="24"/>
        </w:rPr>
        <w:t>项目采用综合评分选取方式</w:t>
      </w:r>
    </w:p>
    <w:p w14:paraId="314113BB">
      <w:pPr>
        <w:spacing w:line="360" w:lineRule="auto"/>
        <w:ind w:firstLine="480" w:firstLineChars="200"/>
        <w:rPr>
          <w:rFonts w:ascii="宋体" w:hAnsi="宋体" w:eastAsia="宋体" w:cs="宋体"/>
          <w:sz w:val="24"/>
        </w:rPr>
      </w:pPr>
      <w:r>
        <w:rPr>
          <w:rFonts w:hint="eastAsia" w:ascii="宋体" w:hAnsi="宋体" w:eastAsia="宋体" w:cs="宋体"/>
          <w:sz w:val="24"/>
        </w:rPr>
        <w:t>本次采购采用【自行采购的综合选取】的方式确定中选单位。评分小组先对报名的</w:t>
      </w:r>
      <w:r>
        <w:rPr>
          <w:rFonts w:hint="eastAsia" w:ascii="宋体" w:hAnsi="宋体" w:eastAsia="宋体" w:cs="宋体"/>
          <w:sz w:val="24"/>
          <w:lang w:eastAsia="zh-CN"/>
        </w:rPr>
        <w:t>单位</w:t>
      </w:r>
      <w:r>
        <w:rPr>
          <w:rFonts w:hint="eastAsia" w:ascii="宋体" w:hAnsi="宋体" w:eastAsia="宋体" w:cs="宋体"/>
          <w:sz w:val="24"/>
        </w:rPr>
        <w:t>进行初步评审；</w:t>
      </w:r>
      <w:r>
        <w:rPr>
          <w:rFonts w:hint="eastAsia"/>
          <w:sz w:val="24"/>
          <w:highlight w:val="none"/>
        </w:rPr>
        <w:t>然后对满足初步评审要求的投标单位各规格钢筋的报价进行加权得分计算</w:t>
      </w:r>
      <w:r>
        <w:rPr>
          <w:rFonts w:hint="eastAsia" w:ascii="宋体" w:hAnsi="宋体" w:eastAsia="宋体" w:cs="宋体"/>
          <w:sz w:val="24"/>
        </w:rPr>
        <w:t>，并按得分由高到低顺序推荐中选</w:t>
      </w:r>
      <w:r>
        <w:rPr>
          <w:rFonts w:hint="eastAsia" w:ascii="宋体" w:hAnsi="宋体" w:eastAsia="宋体" w:cs="宋体"/>
          <w:sz w:val="24"/>
          <w:lang w:eastAsia="zh-CN"/>
        </w:rPr>
        <w:t>单位</w:t>
      </w:r>
      <w:r>
        <w:rPr>
          <w:rFonts w:hint="eastAsia" w:ascii="宋体" w:hAnsi="宋体" w:eastAsia="宋体" w:cs="宋体"/>
          <w:sz w:val="24"/>
        </w:rPr>
        <w:t>。</w:t>
      </w:r>
    </w:p>
    <w:p w14:paraId="394DC089">
      <w:pPr>
        <w:spacing w:line="360" w:lineRule="auto"/>
        <w:ind w:firstLine="480" w:firstLineChars="200"/>
        <w:rPr>
          <w:rFonts w:hAnsi="宋体"/>
          <w:sz w:val="24"/>
          <w:szCs w:val="24"/>
        </w:rPr>
      </w:pPr>
      <w:r>
        <w:rPr>
          <w:rFonts w:hint="eastAsia" w:ascii="宋体" w:hAnsi="宋体" w:eastAsia="宋体"/>
          <w:sz w:val="24"/>
        </w:rPr>
        <w:t>如有两家或以上</w:t>
      </w:r>
      <w:r>
        <w:rPr>
          <w:rFonts w:hint="eastAsia" w:ascii="宋体" w:hAnsi="宋体" w:eastAsia="宋体"/>
          <w:sz w:val="24"/>
          <w:lang w:eastAsia="zh-CN"/>
        </w:rPr>
        <w:t>报价单位</w:t>
      </w:r>
      <w:r>
        <w:rPr>
          <w:rFonts w:hint="eastAsia" w:ascii="宋体" w:hAnsi="宋体" w:eastAsia="宋体"/>
          <w:sz w:val="24"/>
        </w:rPr>
        <w:t>的综合得分相同且得分均为最高，</w:t>
      </w:r>
      <w:r>
        <w:rPr>
          <w:rFonts w:hint="eastAsia" w:ascii="宋体" w:hAnsi="宋体" w:eastAsia="宋体" w:cs="宋体"/>
          <w:sz w:val="24"/>
        </w:rPr>
        <w:t>评分小组视</w:t>
      </w:r>
      <w:r>
        <w:rPr>
          <w:rFonts w:hint="eastAsia" w:ascii="宋体" w:hAnsi="宋体" w:eastAsia="宋体" w:cs="宋体"/>
          <w:sz w:val="24"/>
          <w:lang w:eastAsia="zh-CN"/>
        </w:rPr>
        <w:t>报价单位</w:t>
      </w:r>
      <w:r>
        <w:rPr>
          <w:rFonts w:hint="eastAsia" w:ascii="宋体" w:hAnsi="宋体" w:eastAsia="宋体" w:cs="宋体"/>
          <w:sz w:val="24"/>
        </w:rPr>
        <w:t>的情况综合比较，投票确定其名次。</w:t>
      </w:r>
    </w:p>
    <w:p w14:paraId="375E1E7B">
      <w:pPr>
        <w:numPr>
          <w:ilvl w:val="0"/>
          <w:numId w:val="1"/>
        </w:numPr>
        <w:spacing w:line="560" w:lineRule="exact"/>
        <w:ind w:firstLine="560"/>
        <w:jc w:val="left"/>
        <w:rPr>
          <w:b/>
          <w:bCs/>
          <w:color w:val="auto"/>
          <w:sz w:val="24"/>
        </w:rPr>
      </w:pPr>
      <w:r>
        <w:rPr>
          <w:rFonts w:hint="eastAsia"/>
          <w:b/>
          <w:bCs/>
          <w:color w:val="auto"/>
          <w:sz w:val="24"/>
        </w:rPr>
        <w:t>初步评审</w:t>
      </w:r>
    </w:p>
    <w:tbl>
      <w:tblPr>
        <w:tblStyle w:val="6"/>
        <w:tblW w:w="105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2"/>
        <w:gridCol w:w="2399"/>
        <w:gridCol w:w="6851"/>
      </w:tblGrid>
      <w:tr w14:paraId="44F4C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1" w:type="dxa"/>
            <w:gridSpan w:val="2"/>
            <w:vAlign w:val="center"/>
          </w:tcPr>
          <w:p w14:paraId="4D769549">
            <w:pPr>
              <w:spacing w:line="560" w:lineRule="exact"/>
              <w:jc w:val="center"/>
              <w:rPr>
                <w:color w:val="auto"/>
                <w:sz w:val="24"/>
              </w:rPr>
            </w:pPr>
            <w:r>
              <w:rPr>
                <w:rFonts w:hint="eastAsia"/>
                <w:color w:val="auto"/>
                <w:sz w:val="24"/>
              </w:rPr>
              <w:t>评审因素与评分值</w:t>
            </w:r>
          </w:p>
        </w:tc>
        <w:tc>
          <w:tcPr>
            <w:tcW w:w="6851" w:type="dxa"/>
            <w:vMerge w:val="restart"/>
            <w:vAlign w:val="center"/>
          </w:tcPr>
          <w:p w14:paraId="2DBA73F8">
            <w:pPr>
              <w:spacing w:line="560" w:lineRule="exact"/>
              <w:jc w:val="center"/>
              <w:rPr>
                <w:color w:val="auto"/>
                <w:sz w:val="24"/>
              </w:rPr>
            </w:pPr>
            <w:r>
              <w:rPr>
                <w:rFonts w:hint="eastAsia"/>
                <w:color w:val="auto"/>
                <w:sz w:val="24"/>
                <w:lang w:eastAsia="zh-CN"/>
              </w:rPr>
              <w:t>初评</w:t>
            </w:r>
            <w:r>
              <w:rPr>
                <w:rFonts w:hint="eastAsia"/>
                <w:color w:val="auto"/>
                <w:sz w:val="24"/>
              </w:rPr>
              <w:t>标准</w:t>
            </w:r>
          </w:p>
        </w:tc>
      </w:tr>
      <w:tr w14:paraId="3DEA8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282" w:type="dxa"/>
            <w:vAlign w:val="center"/>
          </w:tcPr>
          <w:p w14:paraId="10CC1F86">
            <w:pPr>
              <w:spacing w:line="560" w:lineRule="exact"/>
              <w:jc w:val="center"/>
              <w:rPr>
                <w:color w:val="auto"/>
                <w:sz w:val="24"/>
              </w:rPr>
            </w:pPr>
            <w:r>
              <w:rPr>
                <w:rFonts w:hint="eastAsia"/>
                <w:color w:val="auto"/>
                <w:sz w:val="24"/>
              </w:rPr>
              <w:t>评审因素</w:t>
            </w:r>
          </w:p>
        </w:tc>
        <w:tc>
          <w:tcPr>
            <w:tcW w:w="2399" w:type="dxa"/>
            <w:vAlign w:val="center"/>
          </w:tcPr>
          <w:p w14:paraId="435BFA78">
            <w:pPr>
              <w:spacing w:line="560" w:lineRule="exact"/>
              <w:jc w:val="center"/>
              <w:rPr>
                <w:color w:val="auto"/>
                <w:sz w:val="24"/>
              </w:rPr>
            </w:pPr>
            <w:r>
              <w:rPr>
                <w:rFonts w:hint="eastAsia"/>
                <w:color w:val="auto"/>
                <w:sz w:val="24"/>
              </w:rPr>
              <w:t>各评审因素细项</w:t>
            </w:r>
          </w:p>
        </w:tc>
        <w:tc>
          <w:tcPr>
            <w:tcW w:w="6851" w:type="dxa"/>
            <w:vMerge w:val="continue"/>
            <w:vAlign w:val="center"/>
          </w:tcPr>
          <w:p w14:paraId="4D9593E2">
            <w:pPr>
              <w:spacing w:line="560" w:lineRule="exact"/>
              <w:jc w:val="center"/>
              <w:rPr>
                <w:color w:val="auto"/>
                <w:sz w:val="24"/>
              </w:rPr>
            </w:pPr>
          </w:p>
        </w:tc>
      </w:tr>
      <w:tr w14:paraId="46970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2" w:type="dxa"/>
            <w:vMerge w:val="restart"/>
            <w:vAlign w:val="center"/>
          </w:tcPr>
          <w:p w14:paraId="7973663B">
            <w:pPr>
              <w:spacing w:line="560" w:lineRule="exact"/>
              <w:jc w:val="center"/>
              <w:rPr>
                <w:color w:val="auto"/>
                <w:sz w:val="24"/>
              </w:rPr>
            </w:pPr>
            <w:r>
              <w:rPr>
                <w:rFonts w:hint="eastAsia"/>
                <w:color w:val="auto"/>
                <w:sz w:val="24"/>
              </w:rPr>
              <w:t>初步评审</w:t>
            </w:r>
          </w:p>
        </w:tc>
        <w:tc>
          <w:tcPr>
            <w:tcW w:w="2399" w:type="dxa"/>
            <w:vAlign w:val="center"/>
          </w:tcPr>
          <w:p w14:paraId="72676FB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eastAsiaTheme="minorEastAsia"/>
                <w:color w:val="auto"/>
                <w:sz w:val="24"/>
                <w:lang w:eastAsia="zh-CN"/>
              </w:rPr>
            </w:pPr>
            <w:r>
              <w:rPr>
                <w:rFonts w:hint="eastAsia"/>
                <w:color w:val="auto"/>
                <w:sz w:val="24"/>
              </w:rPr>
              <w:t>经营</w:t>
            </w:r>
            <w:r>
              <w:rPr>
                <w:rFonts w:hint="eastAsia"/>
                <w:color w:val="auto"/>
                <w:sz w:val="24"/>
                <w:lang w:eastAsia="zh-CN"/>
              </w:rPr>
              <w:t>资质</w:t>
            </w:r>
          </w:p>
        </w:tc>
        <w:tc>
          <w:tcPr>
            <w:tcW w:w="6851" w:type="dxa"/>
            <w:vAlign w:val="center"/>
          </w:tcPr>
          <w:p w14:paraId="64F5A48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color w:val="auto"/>
                <w:sz w:val="24"/>
              </w:rPr>
            </w:pPr>
            <w:r>
              <w:rPr>
                <w:rFonts w:hint="eastAsia"/>
                <w:color w:val="auto"/>
                <w:sz w:val="24"/>
              </w:rPr>
              <w:t>1.在中华人民共和国境内依法注册的具有合法经营资格的独立法人；</w:t>
            </w:r>
          </w:p>
          <w:p w14:paraId="675ACD77">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color w:val="auto"/>
                <w:sz w:val="24"/>
              </w:rPr>
            </w:pPr>
            <w:r>
              <w:rPr>
                <w:rFonts w:hint="eastAsia"/>
                <w:color w:val="auto"/>
                <w:sz w:val="24"/>
              </w:rPr>
              <w:t>2.具有独立承担民事责任及履行合同的能力；</w:t>
            </w:r>
          </w:p>
          <w:p w14:paraId="6211AB75">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color w:val="auto"/>
                <w:sz w:val="24"/>
              </w:rPr>
            </w:pPr>
            <w:r>
              <w:rPr>
                <w:rFonts w:hint="eastAsia"/>
                <w:color w:val="auto"/>
                <w:sz w:val="24"/>
              </w:rPr>
              <w:t>3.经营范围</w:t>
            </w:r>
            <w:r>
              <w:rPr>
                <w:rFonts w:hint="eastAsia"/>
                <w:color w:val="auto"/>
                <w:sz w:val="24"/>
                <w:lang w:eastAsia="zh-CN"/>
              </w:rPr>
              <w:t>含钢筋销售经营。</w:t>
            </w:r>
          </w:p>
        </w:tc>
      </w:tr>
      <w:tr w14:paraId="1D801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2" w:type="dxa"/>
            <w:vMerge w:val="continue"/>
            <w:vAlign w:val="center"/>
          </w:tcPr>
          <w:p w14:paraId="4AF7A38E">
            <w:pPr>
              <w:spacing w:line="560" w:lineRule="exact"/>
              <w:jc w:val="center"/>
              <w:rPr>
                <w:color w:val="auto"/>
                <w:sz w:val="24"/>
              </w:rPr>
            </w:pPr>
          </w:p>
        </w:tc>
        <w:tc>
          <w:tcPr>
            <w:tcW w:w="2399" w:type="dxa"/>
            <w:vAlign w:val="center"/>
          </w:tcPr>
          <w:p w14:paraId="0FE0E88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eastAsiaTheme="minorEastAsia"/>
                <w:color w:val="auto"/>
                <w:sz w:val="24"/>
                <w:lang w:eastAsia="zh-CN"/>
              </w:rPr>
            </w:pPr>
            <w:r>
              <w:rPr>
                <w:rFonts w:hint="eastAsia"/>
                <w:color w:val="auto"/>
                <w:sz w:val="24"/>
              </w:rPr>
              <w:t>企业信</w:t>
            </w:r>
            <w:r>
              <w:rPr>
                <w:rFonts w:hint="eastAsia"/>
                <w:color w:val="auto"/>
                <w:sz w:val="24"/>
                <w:lang w:eastAsia="zh-CN"/>
              </w:rPr>
              <w:t>用</w:t>
            </w:r>
          </w:p>
        </w:tc>
        <w:tc>
          <w:tcPr>
            <w:tcW w:w="6851" w:type="dxa"/>
            <w:vAlign w:val="center"/>
          </w:tcPr>
          <w:p w14:paraId="1506E4AA">
            <w:pPr>
              <w:keepNext w:val="0"/>
              <w:keepLines w:val="0"/>
              <w:pageBreakBefore w:val="0"/>
              <w:widowControl w:val="0"/>
              <w:kinsoku/>
              <w:wordWrap/>
              <w:overflowPunct/>
              <w:topLinePunct w:val="0"/>
              <w:autoSpaceDE/>
              <w:autoSpaceDN/>
              <w:bidi w:val="0"/>
              <w:adjustRightInd/>
              <w:snapToGrid/>
              <w:spacing w:line="500" w:lineRule="exact"/>
              <w:textAlignment w:val="auto"/>
              <w:rPr>
                <w:color w:val="auto"/>
                <w:sz w:val="24"/>
              </w:rPr>
            </w:pPr>
            <w:r>
              <w:rPr>
                <w:rFonts w:hint="eastAsia"/>
                <w:color w:val="auto"/>
                <w:sz w:val="24"/>
              </w:rPr>
              <w:t>不处于中国政府采购网“政府采购严重违法失信行为信息记录”的名单中，在“信用中国”网站或地方信用网站的信用信息报告无不良记录。</w:t>
            </w:r>
          </w:p>
        </w:tc>
      </w:tr>
      <w:tr w14:paraId="61C4F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282" w:type="dxa"/>
            <w:vMerge w:val="continue"/>
            <w:vAlign w:val="center"/>
          </w:tcPr>
          <w:p w14:paraId="28D52DA7">
            <w:pPr>
              <w:spacing w:line="560" w:lineRule="exact"/>
              <w:jc w:val="center"/>
              <w:rPr>
                <w:color w:val="auto"/>
                <w:sz w:val="24"/>
              </w:rPr>
            </w:pPr>
          </w:p>
        </w:tc>
        <w:tc>
          <w:tcPr>
            <w:tcW w:w="2399" w:type="dxa"/>
            <w:vAlign w:val="center"/>
          </w:tcPr>
          <w:p w14:paraId="026EF29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eastAsiaTheme="minorEastAsia"/>
                <w:color w:val="auto"/>
                <w:sz w:val="24"/>
                <w:lang w:eastAsia="zh-CN"/>
              </w:rPr>
            </w:pPr>
            <w:r>
              <w:rPr>
                <w:rFonts w:hint="eastAsia" w:ascii="宋体" w:hAnsi="宋体" w:eastAsia="宋体" w:cs="宋体"/>
                <w:color w:val="auto"/>
                <w:sz w:val="24"/>
                <w:szCs w:val="24"/>
                <w:lang w:eastAsia="zh-CN"/>
              </w:rPr>
              <w:t>材料质量</w:t>
            </w:r>
          </w:p>
        </w:tc>
        <w:tc>
          <w:tcPr>
            <w:tcW w:w="6851" w:type="dxa"/>
            <w:vAlign w:val="center"/>
          </w:tcPr>
          <w:p w14:paraId="1BB5746D">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default"/>
                <w:color w:val="auto"/>
                <w:sz w:val="24"/>
                <w:lang w:val="en-US" w:eastAsia="zh-CN"/>
              </w:rPr>
            </w:pPr>
            <w:r>
              <w:rPr>
                <w:rFonts w:hint="eastAsia"/>
                <w:color w:val="auto"/>
                <w:sz w:val="24"/>
                <w:lang w:val="en-US" w:eastAsia="zh-CN"/>
              </w:rPr>
              <w:t>钢材质量符合国家或部颁标准。（GB/T 1499.1-2017《钢筋混凝土用钢 第1部分:热轧光圆钢筋》、GB/T 1499.2-2018《钢筋混凝土用钢 第2部分：热轧带肋钢筋》）</w:t>
            </w:r>
          </w:p>
        </w:tc>
      </w:tr>
      <w:tr w14:paraId="39A1A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282" w:type="dxa"/>
            <w:vMerge w:val="continue"/>
            <w:vAlign w:val="center"/>
          </w:tcPr>
          <w:p w14:paraId="398CE7E2">
            <w:pPr>
              <w:spacing w:line="560" w:lineRule="exact"/>
              <w:jc w:val="center"/>
              <w:rPr>
                <w:color w:val="auto"/>
                <w:sz w:val="24"/>
              </w:rPr>
            </w:pPr>
          </w:p>
        </w:tc>
        <w:tc>
          <w:tcPr>
            <w:tcW w:w="2399" w:type="dxa"/>
            <w:shd w:val="clear" w:color="auto" w:fill="auto"/>
            <w:vAlign w:val="center"/>
          </w:tcPr>
          <w:p w14:paraId="02BBC1BD">
            <w:pPr>
              <w:spacing w:line="500" w:lineRule="exact"/>
              <w:jc w:val="center"/>
              <w:rPr>
                <w:rFonts w:hint="eastAsia" w:asciiTheme="minorHAnsi" w:hAnsiTheme="minorHAnsi" w:eastAsiaTheme="minorEastAsia" w:cstheme="minorBidi"/>
                <w:color w:val="auto"/>
                <w:kern w:val="2"/>
                <w:sz w:val="24"/>
                <w:szCs w:val="24"/>
                <w:lang w:val="en-US" w:eastAsia="zh-CN" w:bidi="ar-SA"/>
              </w:rPr>
            </w:pPr>
            <w:r>
              <w:rPr>
                <w:rFonts w:hint="eastAsia"/>
                <w:sz w:val="24"/>
              </w:rPr>
              <w:t>报价</w:t>
            </w:r>
          </w:p>
        </w:tc>
        <w:tc>
          <w:tcPr>
            <w:tcW w:w="6851" w:type="dxa"/>
            <w:shd w:val="clear" w:color="auto" w:fill="auto"/>
            <w:vAlign w:val="center"/>
          </w:tcPr>
          <w:p w14:paraId="1626D053">
            <w:pPr>
              <w:spacing w:line="500" w:lineRule="exact"/>
              <w:jc w:val="left"/>
              <w:rPr>
                <w:rFonts w:hint="default" w:asciiTheme="minorHAnsi" w:hAnsiTheme="minorHAnsi" w:eastAsiaTheme="minorEastAsia" w:cstheme="minorBidi"/>
                <w:color w:val="auto"/>
                <w:kern w:val="2"/>
                <w:sz w:val="24"/>
                <w:szCs w:val="24"/>
                <w:lang w:val="en-US" w:eastAsia="zh-CN" w:bidi="ar-SA"/>
              </w:rPr>
            </w:pPr>
            <w:r>
              <w:rPr>
                <w:rFonts w:hint="eastAsia"/>
                <w:sz w:val="24"/>
              </w:rPr>
              <w:t>各细目单价均不超过对应单价最高限价。</w:t>
            </w:r>
            <w:r>
              <w:rPr>
                <w:rFonts w:hint="eastAsia"/>
                <w:sz w:val="24"/>
                <w:lang w:eastAsia="zh-CN"/>
              </w:rPr>
              <w:t>最高限价：根据江门工程造价信息网</w:t>
            </w:r>
            <w:r>
              <w:rPr>
                <w:rFonts w:hint="eastAsia"/>
                <w:sz w:val="24"/>
                <w:lang w:val="en-US" w:eastAsia="zh-CN"/>
              </w:rPr>
              <w:t>2025年</w:t>
            </w:r>
            <w:r>
              <w:rPr>
                <w:rFonts w:hint="eastAsia"/>
                <w:sz w:val="24"/>
                <w:lang w:eastAsia="zh-CN"/>
              </w:rPr>
              <w:t>10月单价下浮3%，HPB300原材不超过3550元/吨，HRB400原材不超过3550元/吨。加工费运费合计不超过550元/吨。</w:t>
            </w:r>
          </w:p>
        </w:tc>
      </w:tr>
    </w:tbl>
    <w:p w14:paraId="51493165">
      <w:pPr>
        <w:numPr>
          <w:ilvl w:val="0"/>
          <w:numId w:val="0"/>
        </w:numPr>
        <w:spacing w:line="560" w:lineRule="exact"/>
        <w:ind w:firstLine="482" w:firstLineChars="200"/>
        <w:jc w:val="left"/>
        <w:rPr>
          <w:rFonts w:hint="eastAsia"/>
          <w:b/>
          <w:bCs/>
          <w:color w:val="auto"/>
          <w:sz w:val="24"/>
          <w:lang w:eastAsia="zh-CN"/>
        </w:rPr>
      </w:pPr>
    </w:p>
    <w:p w14:paraId="508D9107">
      <w:pPr>
        <w:numPr>
          <w:ilvl w:val="0"/>
          <w:numId w:val="0"/>
        </w:numPr>
        <w:spacing w:line="560" w:lineRule="exact"/>
        <w:ind w:firstLine="482" w:firstLineChars="200"/>
        <w:jc w:val="left"/>
        <w:rPr>
          <w:b/>
          <w:bCs/>
          <w:color w:val="auto"/>
          <w:sz w:val="24"/>
        </w:rPr>
      </w:pPr>
      <w:r>
        <w:rPr>
          <w:rFonts w:hint="eastAsia"/>
          <w:b/>
          <w:bCs/>
          <w:color w:val="auto"/>
          <w:sz w:val="24"/>
          <w:lang w:eastAsia="zh-CN"/>
        </w:rPr>
        <w:t>三、</w:t>
      </w:r>
      <w:r>
        <w:rPr>
          <w:rFonts w:hint="eastAsia"/>
          <w:b/>
          <w:bCs/>
          <w:color w:val="auto"/>
          <w:sz w:val="24"/>
        </w:rPr>
        <w:t>详细评审</w:t>
      </w:r>
    </w:p>
    <w:p w14:paraId="362B7D70">
      <w:pPr>
        <w:widowControl w:val="0"/>
        <w:numPr>
          <w:ilvl w:val="0"/>
          <w:numId w:val="0"/>
        </w:numPr>
        <w:spacing w:line="560" w:lineRule="exact"/>
        <w:ind w:left="480" w:leftChars="0"/>
        <w:jc w:val="left"/>
        <w:rPr>
          <w:rFonts w:hint="eastAsia"/>
          <w:b w:val="0"/>
          <w:bCs w:val="0"/>
          <w:color w:val="auto"/>
          <w:sz w:val="24"/>
          <w:lang w:val="en-US" w:eastAsia="zh-CN"/>
        </w:rPr>
      </w:pPr>
      <w:r>
        <w:rPr>
          <w:rFonts w:hint="eastAsia"/>
          <w:b w:val="0"/>
          <w:bCs w:val="0"/>
          <w:color w:val="auto"/>
          <w:sz w:val="24"/>
          <w:lang w:val="en-US" w:eastAsia="zh-CN"/>
        </w:rPr>
        <w:t>报价加权得分计算</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1070"/>
        <w:gridCol w:w="1665"/>
        <w:gridCol w:w="1009"/>
        <w:gridCol w:w="721"/>
        <w:gridCol w:w="912"/>
        <w:gridCol w:w="1258"/>
        <w:gridCol w:w="2540"/>
      </w:tblGrid>
      <w:tr w14:paraId="4A6CA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Align w:val="center"/>
          </w:tcPr>
          <w:p w14:paraId="26B6FC89">
            <w:pPr>
              <w:widowControl w:val="0"/>
              <w:numPr>
                <w:ilvl w:val="0"/>
                <w:numId w:val="0"/>
              </w:numPr>
              <w:spacing w:line="560" w:lineRule="exact"/>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序号</w:t>
            </w:r>
          </w:p>
        </w:tc>
        <w:tc>
          <w:tcPr>
            <w:tcW w:w="1070" w:type="dxa"/>
            <w:vAlign w:val="center"/>
          </w:tcPr>
          <w:p w14:paraId="42E56735">
            <w:pPr>
              <w:widowControl w:val="0"/>
              <w:numPr>
                <w:ilvl w:val="0"/>
                <w:numId w:val="0"/>
              </w:numPr>
              <w:spacing w:line="560" w:lineRule="exact"/>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报价单位</w:t>
            </w:r>
          </w:p>
        </w:tc>
        <w:tc>
          <w:tcPr>
            <w:tcW w:w="1665" w:type="dxa"/>
            <w:vAlign w:val="center"/>
          </w:tcPr>
          <w:p w14:paraId="62973D75">
            <w:pPr>
              <w:widowControl w:val="0"/>
              <w:numPr>
                <w:ilvl w:val="0"/>
                <w:numId w:val="0"/>
              </w:numPr>
              <w:spacing w:line="560" w:lineRule="exact"/>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钢筋</w:t>
            </w:r>
          </w:p>
          <w:p w14:paraId="71BD9A78">
            <w:pPr>
              <w:widowControl w:val="0"/>
              <w:numPr>
                <w:ilvl w:val="0"/>
                <w:numId w:val="0"/>
              </w:numPr>
              <w:spacing w:line="560" w:lineRule="exact"/>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品目</w:t>
            </w:r>
          </w:p>
        </w:tc>
        <w:tc>
          <w:tcPr>
            <w:tcW w:w="1009" w:type="dxa"/>
            <w:vAlign w:val="center"/>
          </w:tcPr>
          <w:p w14:paraId="009BD51D">
            <w:pPr>
              <w:widowControl w:val="0"/>
              <w:numPr>
                <w:ilvl w:val="0"/>
                <w:numId w:val="0"/>
              </w:numPr>
              <w:spacing w:line="560" w:lineRule="exact"/>
              <w:jc w:val="center"/>
              <w:rPr>
                <w:rFonts w:hint="eastAsia" w:ascii="宋体" w:hAnsi="宋体" w:eastAsia="宋体" w:cs="宋体"/>
                <w:b w:val="0"/>
                <w:bCs w:val="0"/>
                <w:color w:val="auto"/>
                <w:sz w:val="18"/>
                <w:szCs w:val="18"/>
                <w:vertAlign w:val="baseline"/>
                <w:lang w:val="en-US" w:eastAsia="zh-CN"/>
              </w:rPr>
            </w:pPr>
            <w:r>
              <w:rPr>
                <w:rFonts w:hint="eastAsia" w:ascii="宋体" w:hAnsi="宋体" w:eastAsia="宋体" w:cs="宋体"/>
                <w:b w:val="0"/>
                <w:bCs w:val="0"/>
                <w:color w:val="auto"/>
                <w:sz w:val="18"/>
                <w:szCs w:val="18"/>
                <w:vertAlign w:val="baseline"/>
                <w:lang w:val="en-US" w:eastAsia="zh-CN"/>
              </w:rPr>
              <w:t>综合报价</w:t>
            </w:r>
          </w:p>
          <w:p w14:paraId="58834CE0">
            <w:pPr>
              <w:widowControl w:val="0"/>
              <w:numPr>
                <w:ilvl w:val="0"/>
                <w:numId w:val="0"/>
              </w:numPr>
              <w:spacing w:line="560" w:lineRule="exact"/>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18"/>
                <w:szCs w:val="18"/>
                <w:vertAlign w:val="baseline"/>
                <w:lang w:val="en-US" w:eastAsia="zh-CN"/>
              </w:rPr>
              <w:t>（元/吨）</w:t>
            </w:r>
          </w:p>
        </w:tc>
        <w:tc>
          <w:tcPr>
            <w:tcW w:w="721" w:type="dxa"/>
            <w:vAlign w:val="center"/>
          </w:tcPr>
          <w:p w14:paraId="11AA042B">
            <w:pPr>
              <w:widowControl w:val="0"/>
              <w:numPr>
                <w:ilvl w:val="0"/>
                <w:numId w:val="0"/>
              </w:numPr>
              <w:spacing w:line="560" w:lineRule="exact"/>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权值</w:t>
            </w:r>
          </w:p>
        </w:tc>
        <w:tc>
          <w:tcPr>
            <w:tcW w:w="912" w:type="dxa"/>
            <w:vAlign w:val="center"/>
          </w:tcPr>
          <w:p w14:paraId="3262037C">
            <w:pPr>
              <w:widowControl w:val="0"/>
              <w:numPr>
                <w:ilvl w:val="0"/>
                <w:numId w:val="0"/>
              </w:numPr>
              <w:spacing w:line="560" w:lineRule="exact"/>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投标报价</w:t>
            </w:r>
          </w:p>
        </w:tc>
        <w:tc>
          <w:tcPr>
            <w:tcW w:w="1258" w:type="dxa"/>
            <w:vAlign w:val="center"/>
          </w:tcPr>
          <w:p w14:paraId="2AEAA234">
            <w:pPr>
              <w:widowControl w:val="0"/>
              <w:numPr>
                <w:ilvl w:val="0"/>
                <w:numId w:val="0"/>
              </w:numPr>
              <w:spacing w:line="560" w:lineRule="exact"/>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报价得分</w:t>
            </w:r>
          </w:p>
        </w:tc>
        <w:tc>
          <w:tcPr>
            <w:tcW w:w="2540" w:type="dxa"/>
            <w:vAlign w:val="center"/>
          </w:tcPr>
          <w:p w14:paraId="72539D0B">
            <w:pPr>
              <w:widowControl w:val="0"/>
              <w:numPr>
                <w:ilvl w:val="0"/>
                <w:numId w:val="0"/>
              </w:numPr>
              <w:spacing w:line="560" w:lineRule="exact"/>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备  注</w:t>
            </w:r>
          </w:p>
        </w:tc>
      </w:tr>
      <w:tr w14:paraId="4E743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exact"/>
        </w:trPr>
        <w:tc>
          <w:tcPr>
            <w:tcW w:w="787" w:type="dxa"/>
            <w:vMerge w:val="restart"/>
            <w:vAlign w:val="center"/>
          </w:tcPr>
          <w:p w14:paraId="7FC00C21">
            <w:pPr>
              <w:widowControl w:val="0"/>
              <w:numPr>
                <w:ilvl w:val="0"/>
                <w:numId w:val="0"/>
              </w:numPr>
              <w:spacing w:line="560" w:lineRule="exact"/>
              <w:jc w:val="center"/>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4"/>
                <w:szCs w:val="24"/>
                <w:vertAlign w:val="baseline"/>
                <w:lang w:val="en-US" w:eastAsia="zh-CN"/>
              </w:rPr>
              <w:t>1</w:t>
            </w:r>
          </w:p>
        </w:tc>
        <w:tc>
          <w:tcPr>
            <w:tcW w:w="1070" w:type="dxa"/>
            <w:vMerge w:val="restart"/>
            <w:vAlign w:val="center"/>
          </w:tcPr>
          <w:p w14:paraId="45DF7F59">
            <w:pPr>
              <w:widowControl w:val="0"/>
              <w:numPr>
                <w:ilvl w:val="0"/>
                <w:numId w:val="0"/>
              </w:numPr>
              <w:spacing w:line="560" w:lineRule="exact"/>
              <w:jc w:val="center"/>
              <w:rPr>
                <w:rFonts w:hint="eastAsia" w:ascii="宋体" w:hAnsi="宋体" w:eastAsia="宋体" w:cs="宋体"/>
                <w:b w:val="0"/>
                <w:bCs w:val="0"/>
                <w:color w:val="auto"/>
                <w:sz w:val="24"/>
                <w:szCs w:val="24"/>
                <w:vertAlign w:val="baseline"/>
                <w:lang w:val="en-US" w:eastAsia="zh-CN"/>
              </w:rPr>
            </w:pPr>
          </w:p>
        </w:tc>
        <w:tc>
          <w:tcPr>
            <w:tcW w:w="1665" w:type="dxa"/>
            <w:vAlign w:val="center"/>
          </w:tcPr>
          <w:p w14:paraId="52E7F027">
            <w:pPr>
              <w:widowControl w:val="0"/>
              <w:numPr>
                <w:ilvl w:val="0"/>
                <w:numId w:val="0"/>
              </w:numPr>
              <w:spacing w:line="560" w:lineRule="exact"/>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HPB300光圆钢筋（规格：</w:t>
            </w:r>
          </w:p>
          <w:p w14:paraId="382A528A">
            <w:pPr>
              <w:widowControl w:val="0"/>
              <w:numPr>
                <w:ilvl w:val="0"/>
                <w:numId w:val="0"/>
              </w:numPr>
              <w:spacing w:line="560" w:lineRule="exact"/>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Φ32）</w:t>
            </w:r>
          </w:p>
          <w:p w14:paraId="414A156C">
            <w:pPr>
              <w:widowControl w:val="0"/>
              <w:numPr>
                <w:ilvl w:val="0"/>
                <w:numId w:val="0"/>
              </w:numPr>
              <w:spacing w:line="560" w:lineRule="exact"/>
              <w:jc w:val="center"/>
              <w:rPr>
                <w:rFonts w:hint="eastAsia" w:ascii="宋体" w:hAnsi="宋体" w:eastAsia="宋体" w:cs="宋体"/>
                <w:b w:val="0"/>
                <w:bCs w:val="0"/>
                <w:color w:val="auto"/>
                <w:sz w:val="24"/>
                <w:szCs w:val="24"/>
                <w:vertAlign w:val="baseline"/>
                <w:lang w:val="en-US" w:eastAsia="zh-CN"/>
              </w:rPr>
            </w:pPr>
          </w:p>
        </w:tc>
        <w:tc>
          <w:tcPr>
            <w:tcW w:w="1009" w:type="dxa"/>
            <w:vAlign w:val="center"/>
          </w:tcPr>
          <w:p w14:paraId="1F8D59F1">
            <w:pPr>
              <w:widowControl w:val="0"/>
              <w:numPr>
                <w:ilvl w:val="0"/>
                <w:numId w:val="0"/>
              </w:numPr>
              <w:spacing w:line="560" w:lineRule="exact"/>
              <w:jc w:val="center"/>
              <w:rPr>
                <w:rFonts w:hint="eastAsia" w:ascii="宋体" w:hAnsi="宋体" w:eastAsia="宋体" w:cs="宋体"/>
                <w:b w:val="0"/>
                <w:bCs w:val="0"/>
                <w:color w:val="auto"/>
                <w:sz w:val="24"/>
                <w:szCs w:val="24"/>
                <w:vertAlign w:val="baseline"/>
                <w:lang w:val="en-US" w:eastAsia="zh-CN"/>
              </w:rPr>
            </w:pPr>
          </w:p>
        </w:tc>
        <w:tc>
          <w:tcPr>
            <w:tcW w:w="721" w:type="dxa"/>
            <w:vAlign w:val="center"/>
          </w:tcPr>
          <w:p w14:paraId="13F41EF4">
            <w:pPr>
              <w:widowControl w:val="0"/>
              <w:numPr>
                <w:ilvl w:val="0"/>
                <w:numId w:val="0"/>
              </w:numPr>
              <w:spacing w:line="560" w:lineRule="exact"/>
              <w:jc w:val="center"/>
              <w:rPr>
                <w:rFonts w:hint="default"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0.1</w:t>
            </w:r>
          </w:p>
        </w:tc>
        <w:tc>
          <w:tcPr>
            <w:tcW w:w="912" w:type="dxa"/>
            <w:vMerge w:val="restart"/>
            <w:vAlign w:val="center"/>
          </w:tcPr>
          <w:p w14:paraId="60889605">
            <w:pPr>
              <w:widowControl w:val="0"/>
              <w:numPr>
                <w:ilvl w:val="0"/>
                <w:numId w:val="0"/>
              </w:numPr>
              <w:spacing w:line="560" w:lineRule="exact"/>
              <w:jc w:val="center"/>
              <w:rPr>
                <w:rFonts w:hint="eastAsia" w:ascii="宋体" w:hAnsi="宋体" w:eastAsia="宋体" w:cs="宋体"/>
                <w:b w:val="0"/>
                <w:bCs w:val="0"/>
                <w:color w:val="auto"/>
                <w:sz w:val="24"/>
                <w:szCs w:val="24"/>
                <w:vertAlign w:val="baseline"/>
                <w:lang w:val="en-US" w:eastAsia="zh-CN"/>
              </w:rPr>
            </w:pPr>
          </w:p>
        </w:tc>
        <w:tc>
          <w:tcPr>
            <w:tcW w:w="1258" w:type="dxa"/>
            <w:vMerge w:val="restart"/>
            <w:vAlign w:val="center"/>
          </w:tcPr>
          <w:p w14:paraId="5DC8B098">
            <w:pPr>
              <w:widowControl w:val="0"/>
              <w:numPr>
                <w:ilvl w:val="0"/>
                <w:numId w:val="0"/>
              </w:numPr>
              <w:spacing w:line="560" w:lineRule="exact"/>
              <w:jc w:val="center"/>
              <w:rPr>
                <w:rFonts w:hint="eastAsia" w:ascii="宋体" w:hAnsi="宋体" w:eastAsia="宋体" w:cs="宋体"/>
                <w:b w:val="0"/>
                <w:bCs w:val="0"/>
                <w:color w:val="auto"/>
                <w:sz w:val="24"/>
                <w:szCs w:val="24"/>
                <w:vertAlign w:val="baseline"/>
                <w:lang w:val="en-US" w:eastAsia="zh-CN"/>
              </w:rPr>
            </w:pPr>
          </w:p>
        </w:tc>
        <w:tc>
          <w:tcPr>
            <w:tcW w:w="2540" w:type="dxa"/>
            <w:vMerge w:val="restart"/>
            <w:vAlign w:val="center"/>
          </w:tcPr>
          <w:p w14:paraId="324CD7BE">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报价得分=（最低投标报价÷投标报价）×100；</w:t>
            </w:r>
          </w:p>
          <w:p w14:paraId="08B8D80D">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投标报价=HPB300报价×权值+HRB400报价×权值；</w:t>
            </w:r>
          </w:p>
          <w:p w14:paraId="40D3B627">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default"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得分计算保留到小数点后1位。</w:t>
            </w:r>
          </w:p>
        </w:tc>
      </w:tr>
      <w:tr w14:paraId="07478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6" w:hRule="exact"/>
        </w:trPr>
        <w:tc>
          <w:tcPr>
            <w:tcW w:w="787" w:type="dxa"/>
            <w:vMerge w:val="continue"/>
            <w:vAlign w:val="center"/>
          </w:tcPr>
          <w:p w14:paraId="47636FD3">
            <w:pPr>
              <w:widowControl w:val="0"/>
              <w:numPr>
                <w:ilvl w:val="0"/>
                <w:numId w:val="0"/>
              </w:numPr>
              <w:spacing w:line="560" w:lineRule="exact"/>
              <w:jc w:val="center"/>
              <w:rPr>
                <w:rFonts w:hint="eastAsia" w:ascii="宋体" w:hAnsi="宋体" w:eastAsia="宋体" w:cs="宋体"/>
                <w:b w:val="0"/>
                <w:bCs w:val="0"/>
                <w:color w:val="auto"/>
                <w:sz w:val="21"/>
                <w:szCs w:val="21"/>
                <w:vertAlign w:val="baseline"/>
                <w:lang w:val="en-US" w:eastAsia="zh-CN"/>
              </w:rPr>
            </w:pPr>
          </w:p>
        </w:tc>
        <w:tc>
          <w:tcPr>
            <w:tcW w:w="1070" w:type="dxa"/>
            <w:vMerge w:val="continue"/>
            <w:vAlign w:val="center"/>
          </w:tcPr>
          <w:p w14:paraId="48262095">
            <w:pPr>
              <w:widowControl w:val="0"/>
              <w:numPr>
                <w:ilvl w:val="0"/>
                <w:numId w:val="0"/>
              </w:numPr>
              <w:spacing w:line="560" w:lineRule="exact"/>
              <w:jc w:val="center"/>
              <w:rPr>
                <w:rFonts w:hint="eastAsia" w:ascii="宋体" w:hAnsi="宋体" w:eastAsia="宋体" w:cs="宋体"/>
                <w:b w:val="0"/>
                <w:bCs w:val="0"/>
                <w:color w:val="auto"/>
                <w:sz w:val="21"/>
                <w:szCs w:val="21"/>
                <w:vertAlign w:val="baseline"/>
                <w:lang w:val="en-US" w:eastAsia="zh-CN"/>
              </w:rPr>
            </w:pPr>
          </w:p>
        </w:tc>
        <w:tc>
          <w:tcPr>
            <w:tcW w:w="1665" w:type="dxa"/>
            <w:vAlign w:val="center"/>
          </w:tcPr>
          <w:p w14:paraId="673624F0">
            <w:pPr>
              <w:widowControl w:val="0"/>
              <w:numPr>
                <w:ilvl w:val="0"/>
                <w:numId w:val="0"/>
              </w:numPr>
              <w:spacing w:line="560" w:lineRule="exact"/>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color w:val="auto"/>
                <w:sz w:val="24"/>
                <w:szCs w:val="24"/>
                <w:lang w:val="en-US" w:eastAsia="zh-CN"/>
              </w:rPr>
              <w:t>HRB400带肋钢筋（规格：</w:t>
            </w:r>
            <w:r>
              <w:rPr>
                <w:rFonts w:hint="eastAsia" w:ascii="宋体" w:hAnsi="宋体" w:eastAsia="宋体" w:cs="宋体"/>
                <w:color w:val="auto"/>
                <w:sz w:val="32"/>
                <w:szCs w:val="32"/>
                <w:lang w:eastAsia="zh-CN"/>
              </w:rPr>
              <w:drawing>
                <wp:inline distT="0" distB="0" distL="114300" distR="114300">
                  <wp:extent cx="133350" cy="144145"/>
                  <wp:effectExtent l="0" t="0" r="0" b="8255"/>
                  <wp:docPr id="6" name="图片 6" descr="42b4526aae63ae84f156f8b8b7d5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42b4526aae63ae84f156f8b8b7d5973"/>
                          <pic:cNvPicPr>
                            <a:picLocks noChangeAspect="1"/>
                          </pic:cNvPicPr>
                        </pic:nvPicPr>
                        <pic:blipFill>
                          <a:blip r:embed="rId4"/>
                          <a:stretch>
                            <a:fillRect/>
                          </a:stretch>
                        </pic:blipFill>
                        <pic:spPr>
                          <a:xfrm>
                            <a:off x="0" y="0"/>
                            <a:ext cx="133350" cy="144145"/>
                          </a:xfrm>
                          <a:prstGeom prst="rect">
                            <a:avLst/>
                          </a:prstGeom>
                        </pic:spPr>
                      </pic:pic>
                    </a:graphicData>
                  </a:graphic>
                </wp:inline>
              </w:drawing>
            </w:r>
            <w:r>
              <w:rPr>
                <w:rFonts w:hint="eastAsia" w:ascii="宋体" w:hAnsi="宋体" w:eastAsia="宋体" w:cs="宋体"/>
                <w:color w:val="auto"/>
                <w:sz w:val="24"/>
                <w:szCs w:val="24"/>
                <w:lang w:val="en-US" w:eastAsia="zh-CN"/>
              </w:rPr>
              <w:t>12</w:t>
            </w:r>
            <w:r>
              <w:rPr>
                <w:rFonts w:hint="eastAsia" w:ascii="宋体" w:hAnsi="宋体" w:eastAsia="宋体" w:cs="宋体"/>
                <w:color w:val="auto"/>
                <w:sz w:val="32"/>
                <w:szCs w:val="32"/>
                <w:lang w:val="en-US" w:eastAsia="zh-CN"/>
              </w:rPr>
              <w:t>~</w:t>
            </w:r>
            <w:r>
              <w:rPr>
                <w:rFonts w:hint="eastAsia" w:ascii="宋体" w:hAnsi="宋体" w:eastAsia="宋体" w:cs="宋体"/>
                <w:color w:val="auto"/>
                <w:sz w:val="32"/>
                <w:szCs w:val="32"/>
                <w:lang w:eastAsia="zh-CN"/>
              </w:rPr>
              <w:drawing>
                <wp:inline distT="0" distB="0" distL="114300" distR="114300">
                  <wp:extent cx="133350" cy="144145"/>
                  <wp:effectExtent l="0" t="0" r="0" b="8255"/>
                  <wp:docPr id="1" name="图片 1" descr="42b4526aae63ae84f156f8b8b7d5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2b4526aae63ae84f156f8b8b7d5973"/>
                          <pic:cNvPicPr>
                            <a:picLocks noChangeAspect="1"/>
                          </pic:cNvPicPr>
                        </pic:nvPicPr>
                        <pic:blipFill>
                          <a:blip r:embed="rId4"/>
                          <a:stretch>
                            <a:fillRect/>
                          </a:stretch>
                        </pic:blipFill>
                        <pic:spPr>
                          <a:xfrm>
                            <a:off x="0" y="0"/>
                            <a:ext cx="133350" cy="144145"/>
                          </a:xfrm>
                          <a:prstGeom prst="rect">
                            <a:avLst/>
                          </a:prstGeom>
                        </pic:spPr>
                      </pic:pic>
                    </a:graphicData>
                  </a:graphic>
                </wp:inline>
              </w:drawing>
            </w:r>
            <w:r>
              <w:rPr>
                <w:rFonts w:hint="eastAsia" w:ascii="宋体" w:hAnsi="宋体" w:eastAsia="宋体" w:cs="宋体"/>
                <w:color w:val="auto"/>
                <w:sz w:val="24"/>
                <w:szCs w:val="24"/>
                <w:lang w:val="en-US" w:eastAsia="zh-CN"/>
              </w:rPr>
              <w:t>16）</w:t>
            </w:r>
          </w:p>
        </w:tc>
        <w:tc>
          <w:tcPr>
            <w:tcW w:w="1009" w:type="dxa"/>
            <w:vAlign w:val="center"/>
          </w:tcPr>
          <w:p w14:paraId="46B1BF05">
            <w:pPr>
              <w:widowControl w:val="0"/>
              <w:numPr>
                <w:ilvl w:val="0"/>
                <w:numId w:val="0"/>
              </w:numPr>
              <w:spacing w:line="560" w:lineRule="exact"/>
              <w:jc w:val="center"/>
              <w:rPr>
                <w:rFonts w:hint="eastAsia" w:ascii="宋体" w:hAnsi="宋体" w:eastAsia="宋体" w:cs="宋体"/>
                <w:b w:val="0"/>
                <w:bCs w:val="0"/>
                <w:color w:val="auto"/>
                <w:sz w:val="21"/>
                <w:szCs w:val="21"/>
                <w:vertAlign w:val="baseline"/>
                <w:lang w:val="en-US" w:eastAsia="zh-CN"/>
              </w:rPr>
            </w:pPr>
          </w:p>
        </w:tc>
        <w:tc>
          <w:tcPr>
            <w:tcW w:w="721" w:type="dxa"/>
            <w:vAlign w:val="center"/>
          </w:tcPr>
          <w:p w14:paraId="10DAADFB">
            <w:pPr>
              <w:widowControl w:val="0"/>
              <w:numPr>
                <w:ilvl w:val="0"/>
                <w:numId w:val="0"/>
              </w:numPr>
              <w:spacing w:line="560" w:lineRule="exact"/>
              <w:jc w:val="center"/>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4"/>
                <w:szCs w:val="24"/>
                <w:vertAlign w:val="baseline"/>
                <w:lang w:val="en-US" w:eastAsia="zh-CN"/>
              </w:rPr>
              <w:t>0.9</w:t>
            </w:r>
          </w:p>
        </w:tc>
        <w:tc>
          <w:tcPr>
            <w:tcW w:w="912" w:type="dxa"/>
            <w:vMerge w:val="continue"/>
            <w:vAlign w:val="center"/>
          </w:tcPr>
          <w:p w14:paraId="01405C7D">
            <w:pPr>
              <w:widowControl w:val="0"/>
              <w:numPr>
                <w:ilvl w:val="0"/>
                <w:numId w:val="0"/>
              </w:numPr>
              <w:spacing w:line="560" w:lineRule="exact"/>
              <w:jc w:val="center"/>
              <w:rPr>
                <w:rFonts w:hint="eastAsia" w:ascii="宋体" w:hAnsi="宋体" w:eastAsia="宋体" w:cs="宋体"/>
                <w:b w:val="0"/>
                <w:bCs w:val="0"/>
                <w:color w:val="auto"/>
                <w:sz w:val="21"/>
                <w:szCs w:val="21"/>
                <w:vertAlign w:val="baseline"/>
                <w:lang w:val="en-US" w:eastAsia="zh-CN"/>
              </w:rPr>
            </w:pPr>
          </w:p>
        </w:tc>
        <w:tc>
          <w:tcPr>
            <w:tcW w:w="1258" w:type="dxa"/>
            <w:vMerge w:val="continue"/>
            <w:vAlign w:val="center"/>
          </w:tcPr>
          <w:p w14:paraId="106EA706">
            <w:pPr>
              <w:widowControl w:val="0"/>
              <w:numPr>
                <w:ilvl w:val="0"/>
                <w:numId w:val="0"/>
              </w:numPr>
              <w:spacing w:line="560" w:lineRule="exact"/>
              <w:jc w:val="center"/>
              <w:rPr>
                <w:rFonts w:hint="eastAsia" w:ascii="宋体" w:hAnsi="宋体" w:eastAsia="宋体" w:cs="宋体"/>
                <w:b w:val="0"/>
                <w:bCs w:val="0"/>
                <w:color w:val="auto"/>
                <w:sz w:val="21"/>
                <w:szCs w:val="21"/>
                <w:vertAlign w:val="baseline"/>
                <w:lang w:val="en-US" w:eastAsia="zh-CN"/>
              </w:rPr>
            </w:pPr>
          </w:p>
        </w:tc>
        <w:tc>
          <w:tcPr>
            <w:tcW w:w="2540" w:type="dxa"/>
            <w:vMerge w:val="continue"/>
            <w:vAlign w:val="center"/>
          </w:tcPr>
          <w:p w14:paraId="6F4C092C">
            <w:pPr>
              <w:widowControl w:val="0"/>
              <w:numPr>
                <w:ilvl w:val="0"/>
                <w:numId w:val="0"/>
              </w:numPr>
              <w:spacing w:line="560" w:lineRule="exact"/>
              <w:jc w:val="center"/>
              <w:rPr>
                <w:rFonts w:hint="eastAsia" w:ascii="宋体" w:hAnsi="宋体" w:eastAsia="宋体" w:cs="宋体"/>
                <w:b w:val="0"/>
                <w:bCs w:val="0"/>
                <w:color w:val="auto"/>
                <w:sz w:val="21"/>
                <w:szCs w:val="21"/>
                <w:vertAlign w:val="baseline"/>
                <w:lang w:val="en-US" w:eastAsia="zh-CN"/>
              </w:rPr>
            </w:pPr>
          </w:p>
        </w:tc>
      </w:tr>
    </w:tbl>
    <w:p w14:paraId="5A8CB151">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sz w:val="24"/>
          <w:szCs w:val="24"/>
          <w:vertAlign w:val="baseline"/>
          <w:lang w:val="en-US" w:eastAsia="zh-CN"/>
        </w:rPr>
      </w:pPr>
    </w:p>
    <w:p w14:paraId="396BF970">
      <w:pPr>
        <w:spacing w:line="560" w:lineRule="exact"/>
        <w:jc w:val="right"/>
        <w:rPr>
          <w:rFonts w:hint="eastAsia" w:ascii="宋体" w:hAnsi="宋体" w:eastAsia="宋体" w:cs="宋体"/>
          <w:color w:val="auto"/>
          <w:sz w:val="24"/>
          <w:szCs w:val="24"/>
          <w:lang w:eastAsia="zh-CN"/>
        </w:rPr>
      </w:pPr>
    </w:p>
    <w:p w14:paraId="1F5FE01B">
      <w:pPr>
        <w:spacing w:line="560" w:lineRule="exact"/>
        <w:jc w:val="right"/>
        <w:rPr>
          <w:rFonts w:hint="eastAsia" w:ascii="宋体" w:hAnsi="宋体" w:eastAsia="宋体" w:cs="宋体"/>
          <w:color w:val="auto"/>
          <w:sz w:val="24"/>
          <w:szCs w:val="24"/>
          <w:lang w:eastAsia="zh-CN"/>
        </w:rPr>
      </w:pPr>
    </w:p>
    <w:p w14:paraId="4438280A">
      <w:pPr>
        <w:spacing w:line="560" w:lineRule="exact"/>
        <w:jc w:val="center"/>
        <w:rPr>
          <w:rFonts w:hint="eastAsia" w:ascii="宋体" w:hAnsi="宋体" w:eastAsia="宋体" w:cs="宋体"/>
          <w:color w:val="FF0000"/>
          <w:sz w:val="24"/>
          <w:szCs w:val="24"/>
          <w:lang w:val="en-US" w:eastAsia="zh-CN"/>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D02EAA"/>
    <w:multiLevelType w:val="singleLevel"/>
    <w:tmpl w:val="E0D02EA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3MzkxYjFiMmFkYWNlOWMyMTc1NmU0ZmI1MjE4ODIifQ=="/>
  </w:docVars>
  <w:rsids>
    <w:rsidRoot w:val="0B7D4A0D"/>
    <w:rsid w:val="00056A68"/>
    <w:rsid w:val="00347F45"/>
    <w:rsid w:val="004B5441"/>
    <w:rsid w:val="007E7D0F"/>
    <w:rsid w:val="009C223A"/>
    <w:rsid w:val="00A33586"/>
    <w:rsid w:val="00B506CE"/>
    <w:rsid w:val="00B82116"/>
    <w:rsid w:val="00DC5072"/>
    <w:rsid w:val="00ED6C57"/>
    <w:rsid w:val="00FA775F"/>
    <w:rsid w:val="01635C49"/>
    <w:rsid w:val="04830723"/>
    <w:rsid w:val="05B0679A"/>
    <w:rsid w:val="0874152A"/>
    <w:rsid w:val="098849BD"/>
    <w:rsid w:val="0B7D4A0D"/>
    <w:rsid w:val="113D3447"/>
    <w:rsid w:val="12903B41"/>
    <w:rsid w:val="12A00B7B"/>
    <w:rsid w:val="12C910FC"/>
    <w:rsid w:val="12DB5F87"/>
    <w:rsid w:val="14883EEC"/>
    <w:rsid w:val="182E2E69"/>
    <w:rsid w:val="18892D35"/>
    <w:rsid w:val="18B573A8"/>
    <w:rsid w:val="1B2958D7"/>
    <w:rsid w:val="1F4D6497"/>
    <w:rsid w:val="1FD70B55"/>
    <w:rsid w:val="247D957F"/>
    <w:rsid w:val="28524F22"/>
    <w:rsid w:val="28974D43"/>
    <w:rsid w:val="293D309F"/>
    <w:rsid w:val="29820EEF"/>
    <w:rsid w:val="2A052FDD"/>
    <w:rsid w:val="2BDF2325"/>
    <w:rsid w:val="2BFFC151"/>
    <w:rsid w:val="2C793613"/>
    <w:rsid w:val="2FE9188B"/>
    <w:rsid w:val="306443BF"/>
    <w:rsid w:val="31781C5A"/>
    <w:rsid w:val="32C739DA"/>
    <w:rsid w:val="33B75670"/>
    <w:rsid w:val="33FFD87A"/>
    <w:rsid w:val="34DFFFD4"/>
    <w:rsid w:val="37FFB1A7"/>
    <w:rsid w:val="38A24CCD"/>
    <w:rsid w:val="38FB4E4D"/>
    <w:rsid w:val="38FE3E48"/>
    <w:rsid w:val="3AF45588"/>
    <w:rsid w:val="3B546B61"/>
    <w:rsid w:val="3BDD91A3"/>
    <w:rsid w:val="3BF589FE"/>
    <w:rsid w:val="3D255BCB"/>
    <w:rsid w:val="3EDF664F"/>
    <w:rsid w:val="3EE74E40"/>
    <w:rsid w:val="3FCFDA86"/>
    <w:rsid w:val="3FE61C4A"/>
    <w:rsid w:val="402B1A9F"/>
    <w:rsid w:val="41282F08"/>
    <w:rsid w:val="45EC56CC"/>
    <w:rsid w:val="4715773F"/>
    <w:rsid w:val="47E10C42"/>
    <w:rsid w:val="4A6F69D9"/>
    <w:rsid w:val="4B314060"/>
    <w:rsid w:val="4B6BE8B7"/>
    <w:rsid w:val="4BFD075C"/>
    <w:rsid w:val="4CFF54A1"/>
    <w:rsid w:val="4DBA685E"/>
    <w:rsid w:val="4E1A3BE8"/>
    <w:rsid w:val="4FDB698B"/>
    <w:rsid w:val="4FEE6915"/>
    <w:rsid w:val="527C7665"/>
    <w:rsid w:val="52904CED"/>
    <w:rsid w:val="53074AA3"/>
    <w:rsid w:val="573A4FED"/>
    <w:rsid w:val="584B2674"/>
    <w:rsid w:val="5BD77442"/>
    <w:rsid w:val="5BFFC73A"/>
    <w:rsid w:val="5DE6553E"/>
    <w:rsid w:val="5E44187C"/>
    <w:rsid w:val="5EE0038C"/>
    <w:rsid w:val="659842EF"/>
    <w:rsid w:val="65AC4B11"/>
    <w:rsid w:val="670E33AA"/>
    <w:rsid w:val="67BB51E4"/>
    <w:rsid w:val="67FB332F"/>
    <w:rsid w:val="6B054A88"/>
    <w:rsid w:val="6D2D0B79"/>
    <w:rsid w:val="6E8FFFCF"/>
    <w:rsid w:val="6EABCB32"/>
    <w:rsid w:val="6EC34B5F"/>
    <w:rsid w:val="6EEF580F"/>
    <w:rsid w:val="6FEF8099"/>
    <w:rsid w:val="6FF6D09D"/>
    <w:rsid w:val="7299CB66"/>
    <w:rsid w:val="75F68EB5"/>
    <w:rsid w:val="76434265"/>
    <w:rsid w:val="77433A3A"/>
    <w:rsid w:val="77D63E86"/>
    <w:rsid w:val="7ADB2036"/>
    <w:rsid w:val="7D5D42EC"/>
    <w:rsid w:val="7D723DB3"/>
    <w:rsid w:val="7DEBB38D"/>
    <w:rsid w:val="7DFEDFD5"/>
    <w:rsid w:val="7E353E5F"/>
    <w:rsid w:val="7EDFD655"/>
    <w:rsid w:val="7EFF1AA9"/>
    <w:rsid w:val="7EFF5148"/>
    <w:rsid w:val="7F6F0463"/>
    <w:rsid w:val="7FFD0AB0"/>
    <w:rsid w:val="7FFD162F"/>
    <w:rsid w:val="7FFF247C"/>
    <w:rsid w:val="ABE34E6F"/>
    <w:rsid w:val="AF98F263"/>
    <w:rsid w:val="BDDD5508"/>
    <w:rsid w:val="BF642428"/>
    <w:rsid w:val="BFCF58D1"/>
    <w:rsid w:val="C4F7F25F"/>
    <w:rsid w:val="CE97B96D"/>
    <w:rsid w:val="CF5CE3BA"/>
    <w:rsid w:val="CFEF3383"/>
    <w:rsid w:val="D7FF2E81"/>
    <w:rsid w:val="DA7F9B75"/>
    <w:rsid w:val="DC520E93"/>
    <w:rsid w:val="DEF7D2FD"/>
    <w:rsid w:val="DF5DF2EF"/>
    <w:rsid w:val="DFBFFCDA"/>
    <w:rsid w:val="DFEE3BE2"/>
    <w:rsid w:val="E87B54DD"/>
    <w:rsid w:val="EBCFD8B5"/>
    <w:rsid w:val="ED5F03D6"/>
    <w:rsid w:val="F70E1B2F"/>
    <w:rsid w:val="F7B7E38D"/>
    <w:rsid w:val="F8FF1C90"/>
    <w:rsid w:val="F9FD011D"/>
    <w:rsid w:val="FA6FDB5A"/>
    <w:rsid w:val="FAFF64B4"/>
    <w:rsid w:val="FB7C592D"/>
    <w:rsid w:val="FBDF8AD5"/>
    <w:rsid w:val="FBEFC286"/>
    <w:rsid w:val="FBFF602D"/>
    <w:rsid w:val="FCF3383F"/>
    <w:rsid w:val="FD773A75"/>
    <w:rsid w:val="FF9F3779"/>
    <w:rsid w:val="FFDDA231"/>
    <w:rsid w:val="FFF784E1"/>
    <w:rsid w:val="FFFD0CE6"/>
    <w:rsid w:val="FFFDCF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3"/>
    <w:qFormat/>
    <w:uiPriority w:val="0"/>
    <w:rPr>
      <w:kern w:val="2"/>
      <w:sz w:val="18"/>
      <w:szCs w:val="18"/>
    </w:rPr>
  </w:style>
  <w:style w:type="character" w:customStyle="1" w:styleId="9">
    <w:name w:val="页脚 Char"/>
    <w:basedOn w:val="7"/>
    <w:link w:val="2"/>
    <w:qFormat/>
    <w:uiPriority w:val="0"/>
    <w:rPr>
      <w:kern w:val="2"/>
      <w:sz w:val="18"/>
      <w:szCs w:val="18"/>
    </w:rPr>
  </w:style>
  <w:style w:type="paragraph" w:styleId="1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江门市市公路事务中心</Company>
  <Pages>2</Pages>
  <Words>624</Words>
  <Characters>716</Characters>
  <Lines>10</Lines>
  <Paragraphs>2</Paragraphs>
  <TotalTime>0</TotalTime>
  <ScaleCrop>false</ScaleCrop>
  <LinksUpToDate>false</LinksUpToDate>
  <CharactersWithSpaces>722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2023-07-12T20:11:00Z</dcterms:created>
  <dc:creator>Administrator</dc:creator>
  <cp:lastModifiedBy>张晓茵</cp:lastModifiedBy>
  <cp:lastPrinted>2023-07-20T15:46:00Z</cp:lastPrinted>
  <dcterms:modified xsi:type="dcterms:W3CDTF">2025-11-26T02:03:39Z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35005FD55F72484FB576A2B3A11A4523_13</vt:lpwstr>
  </property>
  <property fmtid="{D5CDD505-2E9C-101B-9397-08002B2CF9AE}" pid="4" name="KSOTemplateDocerSaveRecord">
    <vt:lpwstr>eyJoZGlkIjoiMGMwNzZhN2EyNzczOGUwY2MxNDk4NmI1N2Q3YzAzMmEiLCJ1c2VySWQiOiIxNzIwMzQ0MTIzIn0=</vt:lpwstr>
  </property>
</Properties>
</file>