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33"/>
          <w:rFonts w:hint="default" w:ascii="Times New Roman" w:hAnsi="Times New Roman" w:cs="Times New Roman"/>
        </w:rPr>
      </w:pPr>
    </w:p>
    <w:p>
      <w:pPr>
        <w:jc w:val="center"/>
        <w:rPr>
          <w:rFonts w:eastAsia="仿宋"/>
          <w:b/>
          <w:color w:val="000000" w:themeColor="text1"/>
          <w:spacing w:val="-14"/>
          <w:sz w:val="44"/>
          <w:szCs w:val="44"/>
          <w14:textFill>
            <w14:solidFill>
              <w14:schemeClr w14:val="tx1"/>
            </w14:solidFill>
          </w14:textFill>
        </w:rPr>
      </w:pPr>
    </w:p>
    <w:p>
      <w:pPr>
        <w:widowControl/>
        <w:jc w:val="center"/>
        <w:rPr>
          <w:rFonts w:eastAsia="方正小标宋简体"/>
          <w:bCs/>
          <w:color w:val="000000" w:themeColor="text1"/>
          <w:sz w:val="44"/>
          <w:szCs w:val="44"/>
          <w14:textFill>
            <w14:solidFill>
              <w14:schemeClr w14:val="tx1"/>
            </w14:solidFill>
          </w14:textFill>
        </w:rPr>
      </w:pPr>
      <w:r>
        <w:rPr>
          <w:rFonts w:eastAsia="方正小标宋简体"/>
          <w:bCs/>
          <w:color w:val="000000" w:themeColor="text1"/>
          <w:sz w:val="44"/>
          <w:szCs w:val="44"/>
          <w14:textFill>
            <w14:solidFill>
              <w14:schemeClr w14:val="tx1"/>
            </w14:solidFill>
          </w14:textFill>
        </w:rPr>
        <w:t>中国共产党江门市委员会政策研究室</w:t>
      </w:r>
    </w:p>
    <w:p>
      <w:pPr>
        <w:widowControl/>
        <w:jc w:val="center"/>
        <w:rPr>
          <w:rFonts w:eastAsia="方正小标宋简体"/>
          <w:bCs/>
          <w:color w:val="000000" w:themeColor="text1"/>
          <w:sz w:val="44"/>
          <w:szCs w:val="44"/>
          <w14:textFill>
            <w14:solidFill>
              <w14:schemeClr w14:val="tx1"/>
            </w14:solidFill>
          </w14:textFill>
        </w:rPr>
      </w:pPr>
      <w:r>
        <w:rPr>
          <w:rFonts w:eastAsia="方正小标宋简体"/>
          <w:bCs/>
          <w:color w:val="000000" w:themeColor="text1"/>
          <w:sz w:val="44"/>
          <w:szCs w:val="44"/>
          <w14:textFill>
            <w14:solidFill>
              <w14:schemeClr w14:val="tx1"/>
            </w14:solidFill>
          </w14:textFill>
        </w:rPr>
        <w:t>2024年度部门整体支出</w:t>
      </w:r>
    </w:p>
    <w:p>
      <w:pPr>
        <w:widowControl/>
        <w:jc w:val="center"/>
        <w:rPr>
          <w:rFonts w:eastAsia="方正小标宋简体"/>
          <w:bCs/>
          <w:color w:val="000000" w:themeColor="text1"/>
          <w:sz w:val="44"/>
          <w:szCs w:val="44"/>
          <w14:textFill>
            <w14:solidFill>
              <w14:schemeClr w14:val="tx1"/>
            </w14:solidFill>
          </w14:textFill>
        </w:rPr>
      </w:pPr>
      <w:r>
        <w:rPr>
          <w:rFonts w:eastAsia="方正小标宋简体"/>
          <w:bCs/>
          <w:color w:val="000000" w:themeColor="text1"/>
          <w:sz w:val="44"/>
          <w:szCs w:val="44"/>
          <w14:textFill>
            <w14:solidFill>
              <w14:schemeClr w14:val="tx1"/>
            </w14:solidFill>
          </w14:textFill>
        </w:rPr>
        <w:t>绩效评价报告</w:t>
      </w:r>
    </w:p>
    <w:p>
      <w:pPr>
        <w:widowControl/>
        <w:jc w:val="center"/>
        <w:rPr>
          <w:rFonts w:eastAsiaTheme="majorEastAsia"/>
          <w:b/>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bookmarkStart w:id="58" w:name="_GoBack"/>
      <w:bookmarkEnd w:id="58"/>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both"/>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2025年</w:t>
      </w:r>
    </w:p>
    <w:p>
      <w:pPr>
        <w:widowControl/>
        <w:jc w:val="center"/>
        <w:rPr>
          <w:rFonts w:eastAsia="仿宋"/>
          <w:bCs/>
          <w:color w:val="000000" w:themeColor="text1"/>
          <w:sz w:val="32"/>
          <w:szCs w:val="32"/>
          <w14:textFill>
            <w14:solidFill>
              <w14:schemeClr w14:val="tx1"/>
            </w14:solidFill>
          </w14:textFill>
        </w:rPr>
      </w:pPr>
    </w:p>
    <w:p>
      <w:pPr>
        <w:widowControl/>
        <w:jc w:val="center"/>
        <w:rPr>
          <w:rFonts w:eastAsia="仿宋"/>
          <w:bCs/>
          <w:color w:val="000000" w:themeColor="text1"/>
          <w:sz w:val="32"/>
          <w:szCs w:val="32"/>
          <w14:textFill>
            <w14:solidFill>
              <w14:schemeClr w14:val="tx1"/>
            </w14:solidFill>
          </w14:textFill>
        </w:rPr>
      </w:pPr>
    </w:p>
    <w:p>
      <w:pPr>
        <w:widowControl/>
        <w:jc w:val="center"/>
        <w:rPr>
          <w:rFonts w:eastAsia="仿宋"/>
          <w:bCs/>
          <w:color w:val="000000" w:themeColor="text1"/>
          <w:sz w:val="32"/>
          <w:szCs w:val="32"/>
          <w14:textFill>
            <w14:solidFill>
              <w14:schemeClr w14:val="tx1"/>
            </w14:solidFill>
          </w14:textFill>
        </w:rPr>
      </w:pPr>
    </w:p>
    <w:p>
      <w:pPr>
        <w:widowControl/>
        <w:jc w:val="both"/>
        <w:rPr>
          <w:rFonts w:eastAsia="仿宋"/>
          <w:bCs/>
          <w:color w:val="000000" w:themeColor="text1"/>
          <w:sz w:val="32"/>
          <w:szCs w:val="32"/>
          <w14:textFill>
            <w14:solidFill>
              <w14:schemeClr w14:val="tx1"/>
            </w14:solidFill>
          </w14:textFill>
        </w:rPr>
        <w:sectPr>
          <w:pgSz w:w="11906" w:h="16838"/>
          <w:pgMar w:top="2098" w:right="1474" w:bottom="1985" w:left="1588" w:header="851" w:footer="992" w:gutter="0"/>
          <w:pgNumType w:start="1"/>
          <w:cols w:space="425" w:num="1"/>
          <w:docGrid w:type="lines" w:linePitch="312" w:charSpace="0"/>
        </w:sectPr>
      </w:pP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根据《江门市本级财政支出绩效评价管理办法（修订）》（江财绩〔2024〕3号）要求，为切实提高财政资金使用效益，广东政典新动能研究院有限公司（下称“政典研究院”）受江门市财政局（下称“市财政局”）委托，对中国共产党江门市委员会政策研究室（下称“市委政研室”）开展2024年度部门整体支出绩效评价工作，形成本报告。</w:t>
      </w:r>
    </w:p>
    <w:p>
      <w:pPr>
        <w:pStyle w:val="5"/>
        <w:snapToGrid w:val="0"/>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0" w:name="_Toc201475747"/>
      <w:bookmarkStart w:id="1" w:name="_Toc203669476"/>
      <w:r>
        <w:rPr>
          <w:rFonts w:ascii="Times New Roman" w:eastAsia="黑体" w:cs="Times New Roman"/>
          <w:color w:val="000000" w:themeColor="text1"/>
          <w:sz w:val="32"/>
          <w:szCs w:val="32"/>
          <w14:textFill>
            <w14:solidFill>
              <w14:schemeClr w14:val="tx1"/>
            </w14:solidFill>
          </w14:textFill>
        </w:rPr>
        <w:t>一、评价部门概要</w:t>
      </w:r>
      <w:bookmarkEnd w:id="0"/>
      <w:bookmarkEnd w:id="1"/>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bookmarkStart w:id="2" w:name="OLE_LINK9"/>
      <w:r>
        <w:rPr>
          <w:rFonts w:ascii="Times New Roman" w:hAnsi="Times New Roman" w:eastAsia="仿宋_GB2312"/>
          <w:color w:val="000000" w:themeColor="text1"/>
          <w:sz w:val="32"/>
          <w:szCs w:val="32"/>
          <w14:textFill>
            <w14:solidFill>
              <w14:schemeClr w14:val="tx1"/>
            </w14:solidFill>
          </w14:textFill>
        </w:rPr>
        <w:t>中国共产党江门市委员会政策研究室是主管全市政策研究、全面深化改革、财经工作、决策咨询服务、“百千万工程”工作的职能部门。主要职能：起草修改市党代会报告、市委全会报告等市委有关重要文件、文稿；起草修改市委主要领导在全市性会议的讲话稿；起草修改市委主要领导有关讲课辅导报告和市委主要领导临时交办的文稿起草任务；重点对工业、农业和农村工作、商贸、对外经贸、财政金融、科技、城市建设、教育、文化、党建等方面改革发展的政策问题进行调查研究，提出意见和建议，供市委决策参考；组织协同各县（区、市）和市直有关单位开展重点课题调研活动。</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改革办是市委全面深化改革委员会常设办事机构，设在市委政研室。主要职责：组织开展全面深化改革重大问题的政策研究；统筹协调有关方面提出有关改革工作方案和措施；协调督促有关方面落实市委全面深化改革委员会的决定事项、工作部署和要求等。</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市委财经办是市委财经委员会常设办事机构，设在市委政研室。主要职责：负责处理市委财经委员会日常事务，包括筹备财经会议、问题调研、协调督促有关工作事项和工作部署落实等。</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决咨委办公室是江门市重大决策专家咨询论证委员会日常办公机构，设在市委政研室。主要职能：承担市决咨委日常工作；对江门市发展和改革具有全局性的重大问题进行决策研究，提出对策性意见和建议；对市委、市政府重大决策进行风险评估以及实施情况或成果进行综合评估，形成指导江门市发展的理论和经验。</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百县千镇万村高质量发展工程”指挥部办公室设在市委改革办，实行实体化运作。主要职能：做好“百千万工程”统筹谋划、政策研究、上传下达、督促指导、考核评估等工作，通过采取年初定任务，每周一调度，每月一评比、一通报，季度现场会，年终总考核等方法，形成有组织、有方式、有频次、有氛围、有实效的机制。</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政研室一套人马、四块牌子，同时承担市委政研室、市委改革办、市委财经办、市决咨委办四个部门工作，下设10个科室，包括办公室、党建研究科、改革协调科、市委财经办协调科、经济研究科、社会发展研究科、农业和生态研究科、侨务和台港澳研究科、综合督查科、发展推进科。</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val="zh-CN"/>
          <w14:textFill>
            <w14:solidFill>
              <w14:schemeClr w14:val="tx1"/>
            </w14:solidFill>
          </w14:textFill>
        </w:rPr>
        <w:t>2024年市委政研室年初整体预算金额1,232.84万元，其中基本支出预算金额为941.08万元（人员经费856.86万元、公用经费84.22万元），项目支出预算金额为291.76万元。调整后整体预算金额1,160.82万元，其中基本支出预算金额为969.68万元（人员经费910.91万元、公用经费58.77万元），项目支出预算金额为191.14万元。实际支出金额1,160.82万元，其中基本支出969.68万元，项目支出191.14万元，</w:t>
      </w:r>
      <w:r>
        <w:rPr>
          <w:rFonts w:ascii="Times New Roman" w:hAnsi="Times New Roman" w:eastAsia="仿宋_GB2312"/>
          <w:color w:val="000000" w:themeColor="text1"/>
          <w:sz w:val="32"/>
          <w:szCs w:val="32"/>
          <w14:textFill>
            <w14:solidFill>
              <w14:schemeClr w14:val="tx1"/>
            </w14:solidFill>
          </w14:textFill>
        </w:rPr>
        <w:t>预算执行率为10</w:t>
      </w:r>
      <w:r>
        <w:rPr>
          <w:rFonts w:ascii="Times New Roman" w:hAnsi="Times New Roman" w:eastAsia="仿宋_GB2312"/>
          <w:color w:val="000000" w:themeColor="text1"/>
          <w:sz w:val="32"/>
          <w:szCs w:val="32"/>
          <w:lang w:val="zh-CN"/>
          <w14:textFill>
            <w14:solidFill>
              <w14:schemeClr w14:val="tx1"/>
            </w14:solidFill>
          </w14:textFill>
        </w:rPr>
        <w:t>0.00%。</w:t>
      </w:r>
      <w:bookmarkEnd w:id="2"/>
    </w:p>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3" w:name="_Toc203669477"/>
      <w:bookmarkStart w:id="4" w:name="_Toc201475748"/>
      <w:r>
        <w:rPr>
          <w:rFonts w:ascii="Times New Roman" w:eastAsia="黑体" w:cs="Times New Roman"/>
          <w:color w:val="000000" w:themeColor="text1"/>
          <w:sz w:val="32"/>
          <w:szCs w:val="32"/>
          <w14:textFill>
            <w14:solidFill>
              <w14:schemeClr w14:val="tx1"/>
            </w14:solidFill>
          </w14:textFill>
        </w:rPr>
        <w:t>二、绩效评价分析</w:t>
      </w:r>
      <w:bookmarkEnd w:id="3"/>
      <w:bookmarkEnd w:id="4"/>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 w:name="_Toc203669478"/>
      <w:bookmarkStart w:id="6" w:name="_Toc201475749"/>
      <w:r>
        <w:rPr>
          <w:rFonts w:ascii="Times New Roman" w:eastAsia="楷体_GB2312" w:cs="Times New Roman"/>
          <w:color w:val="000000" w:themeColor="text1"/>
          <w:sz w:val="32"/>
          <w:szCs w:val="32"/>
          <w14:textFill>
            <w14:solidFill>
              <w14:schemeClr w14:val="tx1"/>
            </w14:solidFill>
          </w14:textFill>
        </w:rPr>
        <w:t>（一）履职效能分析</w:t>
      </w:r>
      <w:bookmarkEnd w:id="5"/>
      <w:bookmarkEnd w:id="6"/>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bookmarkStart w:id="7" w:name="OLE_LINK27"/>
      <w:r>
        <w:rPr>
          <w:rFonts w:ascii="Times New Roman" w:cs="Times New Roman"/>
          <w:color w:val="000000" w:themeColor="text1"/>
          <w:sz w:val="32"/>
          <w:szCs w:val="32"/>
          <w14:textFill>
            <w14:solidFill>
              <w14:schemeClr w14:val="tx1"/>
            </w14:solidFill>
          </w14:textFill>
        </w:rPr>
        <w:t>该指标分值50分，评价得</w:t>
      </w:r>
      <w:bookmarkStart w:id="8" w:name="OLE_LINK30"/>
      <w:r>
        <w:rPr>
          <w:rFonts w:ascii="Times New Roman" w:cs="Times New Roman"/>
          <w:color w:val="000000" w:themeColor="text1"/>
          <w:sz w:val="32"/>
          <w:szCs w:val="32"/>
          <w14:textFill>
            <w14:solidFill>
              <w14:schemeClr w14:val="tx1"/>
            </w14:solidFill>
          </w14:textFill>
        </w:rPr>
        <w:t>42.</w:t>
      </w:r>
      <w:r>
        <w:rPr>
          <w:rFonts w:hint="eastAsia" w:ascii="Times New Roman" w:cs="Times New Roman"/>
          <w:color w:val="000000" w:themeColor="text1"/>
          <w:sz w:val="32"/>
          <w:szCs w:val="32"/>
          <w14:textFill>
            <w14:solidFill>
              <w14:schemeClr w14:val="tx1"/>
            </w14:solidFill>
          </w14:textFill>
        </w:rPr>
        <w:t>9</w:t>
      </w:r>
      <w:r>
        <w:rPr>
          <w:rFonts w:ascii="Times New Roman" w:cs="Times New Roman"/>
          <w:color w:val="000000" w:themeColor="text1"/>
          <w:sz w:val="32"/>
          <w:szCs w:val="32"/>
          <w14:textFill>
            <w14:solidFill>
              <w14:schemeClr w14:val="tx1"/>
            </w14:solidFill>
          </w14:textFill>
        </w:rPr>
        <w:t>3</w:t>
      </w:r>
      <w:bookmarkEnd w:id="8"/>
      <w:r>
        <w:rPr>
          <w:rFonts w:ascii="Times New Roman" w:cs="Times New Roman"/>
          <w:color w:val="000000" w:themeColor="text1"/>
          <w:sz w:val="32"/>
          <w:szCs w:val="32"/>
          <w14:textFill>
            <w14:solidFill>
              <w14:schemeClr w14:val="tx1"/>
            </w14:solidFill>
          </w14:textFill>
        </w:rPr>
        <w:t>分，得分率为</w:t>
      </w:r>
      <w:bookmarkStart w:id="9" w:name="_Hlk203034056"/>
      <w:r>
        <w:rPr>
          <w:rFonts w:ascii="Times New Roman" w:cs="Times New Roman"/>
          <w:color w:val="000000" w:themeColor="text1"/>
          <w:sz w:val="32"/>
          <w:szCs w:val="32"/>
          <w14:textFill>
            <w14:solidFill>
              <w14:schemeClr w14:val="tx1"/>
            </w14:solidFill>
          </w14:textFill>
        </w:rPr>
        <w:t>8</w:t>
      </w:r>
      <w:r>
        <w:rPr>
          <w:rFonts w:hint="eastAsia" w:ascii="Times New Roman" w:cs="Times New Roman"/>
          <w:color w:val="000000" w:themeColor="text1"/>
          <w:sz w:val="32"/>
          <w:szCs w:val="32"/>
          <w14:textFill>
            <w14:solidFill>
              <w14:schemeClr w14:val="tx1"/>
            </w14:solidFill>
          </w14:textFill>
        </w:rPr>
        <w:t>5</w:t>
      </w:r>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8</w:t>
      </w:r>
      <w:r>
        <w:rPr>
          <w:rFonts w:ascii="Times New Roman" w:cs="Times New Roman"/>
          <w:color w:val="000000" w:themeColor="text1"/>
          <w:sz w:val="32"/>
          <w:szCs w:val="32"/>
          <w14:textFill>
            <w14:solidFill>
              <w14:schemeClr w14:val="tx1"/>
            </w14:solidFill>
          </w14:textFill>
        </w:rPr>
        <w:t>6</w:t>
      </w:r>
      <w:bookmarkEnd w:id="9"/>
      <w:r>
        <w:rPr>
          <w:rFonts w:ascii="Times New Roman" w:cs="Times New Roman"/>
          <w:color w:val="000000" w:themeColor="text1"/>
          <w:sz w:val="32"/>
          <w:szCs w:val="32"/>
          <w14:textFill>
            <w14:solidFill>
              <w14:schemeClr w14:val="tx1"/>
            </w14:solidFill>
          </w14:textFill>
        </w:rPr>
        <w:t>%。</w:t>
      </w:r>
      <w:bookmarkEnd w:id="7"/>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bookmarkStart w:id="10" w:name="OLE_LINK6"/>
      <w:r>
        <w:rPr>
          <w:rFonts w:ascii="Times New Roman" w:cs="Times New Roman"/>
          <w:color w:val="000000" w:themeColor="text1"/>
          <w:sz w:val="32"/>
          <w:szCs w:val="32"/>
          <w14:textFill>
            <w14:solidFill>
              <w14:schemeClr w14:val="tx1"/>
            </w14:solidFill>
          </w14:textFill>
        </w:rPr>
        <w:t>2024年市委政研室</w:t>
      </w:r>
      <w:bookmarkEnd w:id="10"/>
      <w:r>
        <w:rPr>
          <w:rFonts w:ascii="Times New Roman" w:cs="Times New Roman"/>
          <w:color w:val="000000" w:themeColor="text1"/>
          <w:sz w:val="32"/>
          <w:szCs w:val="32"/>
          <w14:textFill>
            <w14:solidFill>
              <w14:schemeClr w14:val="tx1"/>
            </w14:solidFill>
          </w14:textFill>
        </w:rPr>
        <w:t>在整体效能方面完成较好，部门整体产出指标完成率为</w:t>
      </w:r>
      <w:r>
        <w:rPr>
          <w:rFonts w:hint="eastAsia" w:ascii="Times New Roman" w:cs="Times New Roman"/>
          <w:color w:val="000000" w:themeColor="text1"/>
          <w:sz w:val="32"/>
          <w:szCs w:val="32"/>
          <w14:textFill>
            <w14:solidFill>
              <w14:schemeClr w14:val="tx1"/>
            </w14:solidFill>
          </w14:textFill>
        </w:rPr>
        <w:t>93.33</w:t>
      </w:r>
      <w:r>
        <w:rPr>
          <w:rFonts w:ascii="Times New Roman" w:cs="Times New Roman"/>
          <w:color w:val="000000" w:themeColor="text1"/>
          <w:sz w:val="32"/>
          <w:szCs w:val="32"/>
          <w14:textFill>
            <w14:solidFill>
              <w14:schemeClr w14:val="tx1"/>
            </w14:solidFill>
          </w14:textFill>
        </w:rPr>
        <w:t>%，但有1项产出指标完成值与预期值偏差过大（完成率高于150%），部门整体效益指标完成率为100%。</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2024年市委政研室在项目效能方面完成情况有一定提高空间。其中“百千万工程”指挥部办公室任务战略目标匹配率、采购购买服务任务完成率、采购购买服务验收通过率、编印研究成果指导性完成较好；“百千万工程”指挥部办公室任务完成率、“百千万工程”统筹督查有效性、刊物编发数量</w:t>
      </w:r>
      <w:r>
        <w:rPr>
          <w:rFonts w:hint="eastAsia" w:ascii="Times New Roman" w:cs="Times New Roman"/>
          <w:color w:val="000000" w:themeColor="text1"/>
          <w:sz w:val="32"/>
          <w:szCs w:val="32"/>
          <w14:textFill>
            <w14:solidFill>
              <w14:schemeClr w14:val="tx1"/>
            </w14:solidFill>
          </w14:textFill>
        </w:rPr>
        <w:t>等</w:t>
      </w:r>
      <w:r>
        <w:rPr>
          <w:rFonts w:ascii="Times New Roman" w:cs="Times New Roman"/>
          <w:color w:val="000000" w:themeColor="text1"/>
          <w:sz w:val="32"/>
          <w:szCs w:val="32"/>
          <w14:textFill>
            <w14:solidFill>
              <w14:schemeClr w14:val="tx1"/>
            </w14:solidFill>
          </w14:textFill>
        </w:rPr>
        <w:t>方面仍存在问题。</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主要存在问题：</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w:t>
      </w:r>
      <w:bookmarkStart w:id="11" w:name="OLE_LINK8"/>
      <w:r>
        <w:rPr>
          <w:rFonts w:ascii="Times New Roman" w:cs="Times New Roman"/>
          <w:color w:val="000000" w:themeColor="text1"/>
          <w:sz w:val="32"/>
          <w:szCs w:val="32"/>
          <w14:textFill>
            <w14:solidFill>
              <w14:schemeClr w14:val="tx1"/>
            </w14:solidFill>
          </w14:textFill>
        </w:rPr>
        <w:t>部分绩效指标值设置过于保守，目标值低于实际完成值。</w:t>
      </w:r>
      <w:bookmarkEnd w:id="11"/>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“百千万工程”指挥部办公室任务完成率尚有不足，在工作任务分解、执行以及跟踪监督方面存在欠缺。</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编印的刊物数量未达到预期目标。</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12" w:name="_Toc201475750"/>
      <w:bookmarkStart w:id="13" w:name="_Toc203669479"/>
      <w:r>
        <w:rPr>
          <w:rFonts w:ascii="Times New Roman" w:eastAsia="楷体_GB2312" w:cs="Times New Roman"/>
          <w:color w:val="000000" w:themeColor="text1"/>
          <w:sz w:val="32"/>
          <w:szCs w:val="32"/>
          <w14:textFill>
            <w14:solidFill>
              <w14:schemeClr w14:val="tx1"/>
            </w14:solidFill>
          </w14:textFill>
        </w:rPr>
        <w:t>（二）管理效率分析</w:t>
      </w:r>
      <w:bookmarkEnd w:id="12"/>
      <w:bookmarkEnd w:id="13"/>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bookmarkStart w:id="14" w:name="_Hlk201570649"/>
      <w:r>
        <w:rPr>
          <w:rFonts w:ascii="Times New Roman" w:cs="Times New Roman"/>
          <w:color w:val="000000" w:themeColor="text1"/>
          <w:sz w:val="32"/>
          <w:szCs w:val="32"/>
          <w14:textFill>
            <w14:solidFill>
              <w14:schemeClr w14:val="tx1"/>
            </w14:solidFill>
          </w14:textFill>
        </w:rPr>
        <w:t>该指标分值50分，评价得43.45分，得分率为86.90%。</w:t>
      </w:r>
      <w:bookmarkEnd w:id="14"/>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2024年市委政研室在投入成本合理性和应用管理方面表现较好，各项目投入成本均符合部门“三定”方案，预决算和绩效信息公开及时。预算管理、目标管理、成本</w:t>
      </w:r>
      <w:r>
        <w:rPr>
          <w:rFonts w:hint="eastAsia" w:ascii="Times New Roman" w:cs="Times New Roman"/>
          <w:color w:val="000000" w:themeColor="text1"/>
          <w:sz w:val="32"/>
          <w:szCs w:val="32"/>
          <w14:textFill>
            <w14:solidFill>
              <w14:schemeClr w14:val="tx1"/>
            </w14:solidFill>
          </w14:textFill>
        </w:rPr>
        <w:t>管控措施</w:t>
      </w:r>
      <w:r>
        <w:rPr>
          <w:rFonts w:ascii="Times New Roman" w:cs="Times New Roman"/>
          <w:color w:val="000000" w:themeColor="text1"/>
          <w:sz w:val="32"/>
          <w:szCs w:val="32"/>
          <w14:textFill>
            <w14:solidFill>
              <w14:schemeClr w14:val="tx1"/>
            </w14:solidFill>
          </w14:textFill>
        </w:rPr>
        <w:t>、财务管理方面存在问题。</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主要存在问题：</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bookmarkStart w:id="15" w:name="OLE_LINK14"/>
      <w:r>
        <w:rPr>
          <w:rFonts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预算编制的精细化程度不够、预见性和准确性有待提高。</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bookmarkStart w:id="16" w:name="OLE_LINK15"/>
      <w:r>
        <w:rPr>
          <w:rFonts w:ascii="Times New Roman" w:cs="Times New Roman"/>
          <w:color w:val="000000" w:themeColor="text1"/>
          <w:sz w:val="32"/>
          <w:szCs w:val="32"/>
          <w14:textFill>
            <w14:solidFill>
              <w14:schemeClr w14:val="tx1"/>
            </w14:solidFill>
          </w14:textFill>
        </w:rPr>
        <w:t>效益指标未能明确体现部门履职效果</w:t>
      </w:r>
      <w:bookmarkEnd w:id="16"/>
      <w:r>
        <w:rPr>
          <w:rFonts w:ascii="Times New Roman" w:cs="Times New Roman"/>
          <w:color w:val="000000" w:themeColor="text1"/>
          <w:sz w:val="32"/>
          <w:szCs w:val="32"/>
          <w14:textFill>
            <w14:solidFill>
              <w14:schemeClr w14:val="tx1"/>
            </w14:solidFill>
          </w14:textFill>
        </w:rPr>
        <w:t>，影响对部门效益完成情况的准确评估和有效监控。</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财务管理在细节方面存在漏洞和不规范之处。</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四是</w:t>
      </w:r>
      <w:r>
        <w:rPr>
          <w:rFonts w:ascii="Times New Roman" w:cs="Times New Roman"/>
          <w:color w:val="000000" w:themeColor="text1"/>
          <w:sz w:val="32"/>
          <w:szCs w:val="32"/>
          <w14:textFill>
            <w14:solidFill>
              <w14:schemeClr w14:val="tx1"/>
            </w14:solidFill>
          </w14:textFill>
        </w:rPr>
        <w:t>成本管控措施不严格，支出标准不统一，影响成本的控制效果。</w:t>
      </w:r>
    </w:p>
    <w:bookmarkEnd w:id="15"/>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17" w:name="_Toc203669480"/>
      <w:bookmarkStart w:id="18" w:name="_Toc201475751"/>
      <w:r>
        <w:rPr>
          <w:rFonts w:ascii="Times New Roman" w:eastAsia="黑体" w:cs="Times New Roman"/>
          <w:color w:val="000000" w:themeColor="text1"/>
          <w:sz w:val="32"/>
          <w:szCs w:val="32"/>
          <w14:textFill>
            <w14:solidFill>
              <w14:schemeClr w14:val="tx1"/>
            </w14:solidFill>
          </w14:textFill>
        </w:rPr>
        <w:t>三、绩效评价结论</w:t>
      </w:r>
      <w:bookmarkEnd w:id="17"/>
      <w:bookmarkEnd w:id="18"/>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通过对自评材料的分析和现场评价，综合履职效能、管理效率两方面对部门资金使用情况分析显示：2024年，市委政研室在履职效能和管理效率方面存在一定的不足。主要问题是部分绩效指标值设置过于保守；“百千万工程”指挥部办公室在工作任务分解、执行以及跟踪监督方面存在欠缺；预算编制的精细化程度不够；成本管控措施不严格等。经综合分析评价，2024年市委政研室部门整体绩效评价得分为8</w:t>
      </w:r>
      <w:r>
        <w:rPr>
          <w:rFonts w:hint="eastAsia" w:ascii="Times New Roman" w:cs="Times New Roman"/>
          <w:color w:val="000000" w:themeColor="text1"/>
          <w:sz w:val="32"/>
          <w:szCs w:val="32"/>
          <w14:textFill>
            <w14:solidFill>
              <w14:schemeClr w14:val="tx1"/>
            </w14:solidFill>
          </w14:textFill>
        </w:rPr>
        <w:t>6</w:t>
      </w:r>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3</w:t>
      </w:r>
      <w:r>
        <w:rPr>
          <w:rFonts w:ascii="Times New Roman" w:cs="Times New Roman"/>
          <w:color w:val="000000" w:themeColor="text1"/>
          <w:sz w:val="32"/>
          <w:szCs w:val="32"/>
          <w14:textFill>
            <w14:solidFill>
              <w14:schemeClr w14:val="tx1"/>
            </w14:solidFill>
          </w14:textFill>
        </w:rPr>
        <w:t>8分，绩效等级为“良”。</w:t>
      </w:r>
    </w:p>
    <w:p>
      <w:pPr>
        <w:spacing w:line="579" w:lineRule="exact"/>
        <w:jc w:val="center"/>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表1  评价情况总表</w:t>
      </w:r>
    </w:p>
    <w:tbl>
      <w:tblPr>
        <w:tblStyle w:val="19"/>
        <w:tblW w:w="0" w:type="auto"/>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992"/>
        <w:gridCol w:w="2001"/>
        <w:gridCol w:w="2017"/>
        <w:gridCol w:w="2029"/>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评价因素</w:t>
            </w:r>
          </w:p>
        </w:tc>
        <w:tc>
          <w:tcPr>
            <w:tcW w:w="2130"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分值</w:t>
            </w:r>
          </w:p>
        </w:tc>
        <w:tc>
          <w:tcPr>
            <w:tcW w:w="2131"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评价得分</w:t>
            </w:r>
          </w:p>
        </w:tc>
        <w:tc>
          <w:tcPr>
            <w:tcW w:w="2131"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得分率（%）</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评价总得分</w:t>
            </w:r>
          </w:p>
        </w:tc>
        <w:tc>
          <w:tcPr>
            <w:tcW w:w="2130"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100</w:t>
            </w:r>
          </w:p>
        </w:tc>
        <w:tc>
          <w:tcPr>
            <w:tcW w:w="2131"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8</w:t>
            </w:r>
            <w:r>
              <w:rPr>
                <w:rFonts w:hint="eastAsia" w:ascii="Times New Roman" w:eastAsia="黑体" w:cs="Times New Roman"/>
                <w:color w:val="000000" w:themeColor="text1"/>
                <w14:textFill>
                  <w14:solidFill>
                    <w14:schemeClr w14:val="tx1"/>
                  </w14:solidFill>
                </w14:textFill>
              </w:rPr>
              <w:t>6</w:t>
            </w:r>
            <w:r>
              <w:rPr>
                <w:rFonts w:ascii="Times New Roman" w:eastAsia="黑体" w:cs="Times New Roman"/>
                <w:color w:val="000000" w:themeColor="text1"/>
                <w14:textFill>
                  <w14:solidFill>
                    <w14:schemeClr w14:val="tx1"/>
                  </w14:solidFill>
                </w14:textFill>
              </w:rPr>
              <w:t>.</w:t>
            </w:r>
            <w:r>
              <w:rPr>
                <w:rFonts w:hint="eastAsia" w:ascii="Times New Roman" w:eastAsia="黑体" w:cs="Times New Roman"/>
                <w:color w:val="000000" w:themeColor="text1"/>
                <w14:textFill>
                  <w14:solidFill>
                    <w14:schemeClr w14:val="tx1"/>
                  </w14:solidFill>
                </w14:textFill>
              </w:rPr>
              <w:t>3</w:t>
            </w:r>
            <w:r>
              <w:rPr>
                <w:rFonts w:ascii="Times New Roman" w:eastAsia="黑体" w:cs="Times New Roman"/>
                <w:color w:val="000000" w:themeColor="text1"/>
                <w14:textFill>
                  <w14:solidFill>
                    <w14:schemeClr w14:val="tx1"/>
                  </w14:solidFill>
                </w14:textFill>
              </w:rPr>
              <w:t>8</w:t>
            </w:r>
          </w:p>
        </w:tc>
        <w:tc>
          <w:tcPr>
            <w:tcW w:w="2131"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8</w:t>
            </w:r>
            <w:r>
              <w:rPr>
                <w:rFonts w:hint="eastAsia" w:ascii="Times New Roman" w:eastAsia="黑体" w:cs="Times New Roman"/>
                <w:color w:val="000000" w:themeColor="text1"/>
                <w14:textFill>
                  <w14:solidFill>
                    <w14:schemeClr w14:val="tx1"/>
                  </w14:solidFill>
                </w14:textFill>
              </w:rPr>
              <w:t>6</w:t>
            </w:r>
            <w:r>
              <w:rPr>
                <w:rFonts w:ascii="Times New Roman" w:eastAsia="黑体" w:cs="Times New Roman"/>
                <w:color w:val="000000" w:themeColor="text1"/>
                <w14:textFill>
                  <w14:solidFill>
                    <w14:schemeClr w14:val="tx1"/>
                  </w14:solidFill>
                </w14:textFill>
              </w:rPr>
              <w:t>.</w:t>
            </w:r>
            <w:r>
              <w:rPr>
                <w:rFonts w:hint="eastAsia" w:ascii="Times New Roman" w:eastAsia="黑体" w:cs="Times New Roman"/>
                <w:color w:val="000000" w:themeColor="text1"/>
                <w14:textFill>
                  <w14:solidFill>
                    <w14:schemeClr w14:val="tx1"/>
                  </w14:solidFill>
                </w14:textFill>
              </w:rPr>
              <w:t>3</w:t>
            </w:r>
            <w:r>
              <w:rPr>
                <w:rFonts w:ascii="Times New Roman" w:eastAsia="黑体" w:cs="Times New Roman"/>
                <w:color w:val="000000" w:themeColor="text1"/>
                <w14:textFill>
                  <w14:solidFill>
                    <w14:schemeClr w14:val="tx1"/>
                  </w14:solidFill>
                </w14:textFill>
              </w:rPr>
              <w:t>8</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履职效能</w:t>
            </w:r>
          </w:p>
        </w:tc>
        <w:tc>
          <w:tcPr>
            <w:tcW w:w="2130"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50</w:t>
            </w:r>
          </w:p>
        </w:tc>
        <w:tc>
          <w:tcPr>
            <w:tcW w:w="2131"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42.</w:t>
            </w:r>
            <w:r>
              <w:rPr>
                <w:rFonts w:hint="eastAsia" w:ascii="Times New Roman" w:eastAsia="宋体" w:cs="Times New Roman"/>
                <w:color w:val="000000" w:themeColor="text1"/>
                <w14:textFill>
                  <w14:solidFill>
                    <w14:schemeClr w14:val="tx1"/>
                  </w14:solidFill>
                </w14:textFill>
              </w:rPr>
              <w:t>9</w:t>
            </w:r>
            <w:r>
              <w:rPr>
                <w:rFonts w:ascii="Times New Roman" w:eastAsia="宋体" w:cs="Times New Roman"/>
                <w:color w:val="000000" w:themeColor="text1"/>
                <w14:textFill>
                  <w14:solidFill>
                    <w14:schemeClr w14:val="tx1"/>
                  </w14:solidFill>
                </w14:textFill>
              </w:rPr>
              <w:t>3</w:t>
            </w:r>
          </w:p>
        </w:tc>
        <w:tc>
          <w:tcPr>
            <w:tcW w:w="2131"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8</w:t>
            </w:r>
            <w:r>
              <w:rPr>
                <w:rFonts w:hint="eastAsia" w:ascii="Times New Roman" w:eastAsia="宋体" w:cs="Times New Roman"/>
                <w:color w:val="000000" w:themeColor="text1"/>
                <w14:textFill>
                  <w14:solidFill>
                    <w14:schemeClr w14:val="tx1"/>
                  </w14:solidFill>
                </w14:textFill>
              </w:rPr>
              <w:t>5</w:t>
            </w:r>
            <w:r>
              <w:rPr>
                <w:rFonts w:ascii="Times New Roman" w:eastAsia="宋体" w:cs="Times New Roman"/>
                <w:color w:val="000000" w:themeColor="text1"/>
                <w14:textFill>
                  <w14:solidFill>
                    <w14:schemeClr w14:val="tx1"/>
                  </w14:solidFill>
                </w14:textFill>
              </w:rPr>
              <w:t>.</w:t>
            </w:r>
            <w:r>
              <w:rPr>
                <w:rFonts w:hint="eastAsia" w:ascii="Times New Roman" w:eastAsia="宋体" w:cs="Times New Roman"/>
                <w:color w:val="000000" w:themeColor="text1"/>
                <w14:textFill>
                  <w14:solidFill>
                    <w14:schemeClr w14:val="tx1"/>
                  </w14:solidFill>
                </w14:textFill>
              </w:rPr>
              <w:t>8</w:t>
            </w:r>
            <w:r>
              <w:rPr>
                <w:rFonts w:ascii="Times New Roman" w:eastAsia="宋体" w:cs="Times New Roman"/>
                <w:color w:val="000000" w:themeColor="text1"/>
                <w14:textFill>
                  <w14:solidFill>
                    <w14:schemeClr w14:val="tx1"/>
                  </w14:solidFill>
                </w14:textFill>
              </w:rPr>
              <w:t>6</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管理效率</w:t>
            </w:r>
          </w:p>
        </w:tc>
        <w:tc>
          <w:tcPr>
            <w:tcW w:w="2130"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50</w:t>
            </w:r>
          </w:p>
        </w:tc>
        <w:tc>
          <w:tcPr>
            <w:tcW w:w="2131"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43.45</w:t>
            </w:r>
          </w:p>
        </w:tc>
        <w:tc>
          <w:tcPr>
            <w:tcW w:w="2131"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86.90</w:t>
            </w:r>
          </w:p>
        </w:tc>
      </w:tr>
    </w:tbl>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19" w:name="_Toc203669481"/>
      <w:bookmarkStart w:id="20" w:name="_Toc201475752"/>
      <w:r>
        <w:rPr>
          <w:rFonts w:ascii="Times New Roman" w:eastAsia="黑体" w:cs="Times New Roman"/>
          <w:color w:val="000000" w:themeColor="text1"/>
          <w:sz w:val="32"/>
          <w:szCs w:val="32"/>
          <w14:textFill>
            <w14:solidFill>
              <w14:schemeClr w14:val="tx1"/>
            </w14:solidFill>
          </w14:textFill>
        </w:rPr>
        <w:t>四、主要绩效</w:t>
      </w:r>
      <w:bookmarkEnd w:id="19"/>
      <w:bookmarkEnd w:id="20"/>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21" w:name="_Toc201475753"/>
      <w:bookmarkStart w:id="22" w:name="_Toc203669482"/>
      <w:r>
        <w:rPr>
          <w:rFonts w:ascii="Times New Roman" w:eastAsia="楷体_GB2312" w:cs="Times New Roman"/>
          <w:color w:val="000000" w:themeColor="text1"/>
          <w:sz w:val="32"/>
          <w:szCs w:val="32"/>
          <w14:textFill>
            <w14:solidFill>
              <w14:schemeClr w14:val="tx1"/>
            </w14:solidFill>
          </w14:textFill>
        </w:rPr>
        <w:t>（一）高效履行以文辅政职能</w:t>
      </w:r>
      <w:bookmarkEnd w:id="21"/>
      <w:bookmarkEnd w:id="22"/>
    </w:p>
    <w:p>
      <w:pPr>
        <w:pStyle w:val="5"/>
        <w:spacing w:line="579" w:lineRule="exact"/>
        <w:ind w:firstLine="640" w:firstLineChars="200"/>
        <w:jc w:val="both"/>
        <w:rPr>
          <w:rFonts w:ascii="Times New Roman" w:cs="Times New Roman"/>
          <w:sz w:val="32"/>
          <w:szCs w:val="32"/>
        </w:rPr>
      </w:pPr>
      <w:r>
        <w:rPr>
          <w:rFonts w:ascii="Times New Roman" w:cs="Times New Roman"/>
          <w:sz w:val="32"/>
          <w:szCs w:val="32"/>
        </w:rPr>
        <w:t>市委政研室2024年高质量完成各类综合文稿580多份、总计超370万字，比上年增加30多份、20多万字；获市领导批示125次，其中市委、市政府主要领导批示39次，分别比上年增加39次、19次。24篇文稿在《广东调研》等省级以上刊物刊登，比上年增加10 篇，其中，《以电化学储能为突破口抢占新型储能产业新赛道》在《学习与研究》刊发，实现江门市首次在中央政策研究室主办刊物发表调研报告的历史性突破。</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23" w:name="_Toc203669483"/>
      <w:bookmarkStart w:id="24" w:name="_Toc201475754"/>
      <w:r>
        <w:rPr>
          <w:rFonts w:ascii="Times New Roman" w:eastAsia="楷体_GB2312" w:cs="Times New Roman"/>
          <w:color w:val="000000" w:themeColor="text1"/>
          <w:sz w:val="32"/>
          <w:szCs w:val="32"/>
          <w14:textFill>
            <w14:solidFill>
              <w14:schemeClr w14:val="tx1"/>
            </w14:solidFill>
          </w14:textFill>
        </w:rPr>
        <w:t>（二）推动改革见行见效</w:t>
      </w:r>
      <w:bookmarkEnd w:id="23"/>
      <w:bookmarkEnd w:id="24"/>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市委政研室2024年制定出台《市委全面深化改革委员会2024 年改革工作安排》《江门市贯彻落实省2024年聚焦完善两项机制推进“百千万工程”集成式改革重点任务安排行动方案》《江门市落实深化农村改革重点任务清单》，部署实施十大领域96项年度改革任务、23项“百千万工程”集成式改革任务、25项深化农村改革重点任务，统筹推进各领域改革，充分激发各方面动力活力。成功组织申报推进镇域经济高质量发展、信用建设助推社会治理现代化等省级改革试点，协调推进全域水经济、全域土地综合整治等50多项省级以上改革试点工作。</w:t>
      </w:r>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25" w:name="_Toc201475755"/>
      <w:bookmarkStart w:id="26" w:name="_Toc203669484"/>
      <w:r>
        <w:rPr>
          <w:rFonts w:ascii="Times New Roman" w:eastAsia="楷体_GB2312" w:cs="Times New Roman"/>
          <w:color w:val="000000" w:themeColor="text1"/>
          <w:sz w:val="32"/>
          <w:szCs w:val="32"/>
          <w14:textFill>
            <w14:solidFill>
              <w14:schemeClr w14:val="tx1"/>
            </w14:solidFill>
          </w14:textFill>
        </w:rPr>
        <w:t>（三）助力“百千万工程”加力提速</w:t>
      </w:r>
      <w:bookmarkEnd w:id="25"/>
      <w:bookmarkEnd w:id="26"/>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协调市四套班子成员到挂点联系镇村开展调研257人次，解决问题468个；成立6个督查组开展联合大督查110次，发现问题1037个，在限期整改中倒逼工作推进。全省率先在市县两级指挥部成立“百千万工程”合规指导组，加强资金、项目合规指导，打造“民心工程”“阳光工程”“廉洁工程”。编发《工作简报》24 期，向省报送信息256条，2条入选中央改革办调研组专题参阅材料，9条被省级采用刊发推广；策划“我与百千万”专题图片展，7个县（市、区）巡回展出累计观展人数超15万；与南方报业集团共建南方+江门“百千万工程”频道，讲好江门故事。</w:t>
      </w:r>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27" w:name="_Toc201475756"/>
      <w:bookmarkStart w:id="28" w:name="_Toc203669485"/>
      <w:r>
        <w:rPr>
          <w:rFonts w:ascii="Times New Roman" w:eastAsia="黑体" w:cs="Times New Roman"/>
          <w:color w:val="000000" w:themeColor="text1"/>
          <w:sz w:val="32"/>
          <w:szCs w:val="32"/>
          <w14:textFill>
            <w14:solidFill>
              <w14:schemeClr w14:val="tx1"/>
            </w14:solidFill>
          </w14:textFill>
        </w:rPr>
        <w:t>五、存在问题</w:t>
      </w:r>
      <w:bookmarkEnd w:id="27"/>
      <w:bookmarkEnd w:id="28"/>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29" w:name="_Toc201475757"/>
      <w:bookmarkStart w:id="30" w:name="_Toc203669486"/>
      <w:bookmarkStart w:id="31" w:name="OLE_LINK11"/>
      <w:bookmarkStart w:id="32" w:name="OLE_LINK20"/>
      <w:r>
        <w:rPr>
          <w:rFonts w:ascii="Times New Roman" w:eastAsia="楷体_GB2312" w:cs="Times New Roman"/>
          <w:color w:val="000000" w:themeColor="text1"/>
          <w:sz w:val="32"/>
          <w:szCs w:val="32"/>
          <w14:textFill>
            <w14:solidFill>
              <w14:schemeClr w14:val="tx1"/>
            </w14:solidFill>
          </w14:textFill>
        </w:rPr>
        <w:t>（一）产出指标设置较保守，效益指标欠缺契合度</w:t>
      </w:r>
      <w:bookmarkEnd w:id="29"/>
      <w:bookmarkEnd w:id="30"/>
    </w:p>
    <w:bookmarkEnd w:id="31"/>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部分产出指标值与实际完成情况存在差距。以 “提出有效决策建议数”指标为例，其预期值仅设定为5个，实际实现值达到8个，完成率为160%。这一保守的预期设定一方面无法充分体现部门在政策研究与决策辅助工作中的实际能力与潜力，使得部门在决策建议领域的工作成果被低估，另一方面也难以形成有效的激励机制，无法促使工作人员充分发挥主观能动性，追求更高质量的工作成果。​</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市委政研室当前设置的4项社会效益指标存在明显不足，难以</w:t>
      </w:r>
      <w:bookmarkStart w:id="33" w:name="OLE_LINK16"/>
      <w:r>
        <w:rPr>
          <w:rFonts w:ascii="Times New Roman" w:cs="Times New Roman"/>
          <w:color w:val="000000" w:themeColor="text1"/>
          <w:sz w:val="32"/>
          <w:szCs w:val="32"/>
          <w14:textFill>
            <w14:solidFill>
              <w14:schemeClr w14:val="tx1"/>
            </w14:solidFill>
          </w14:textFill>
        </w:rPr>
        <w:t>全面、准确反映部门履职成效</w:t>
      </w:r>
      <w:bookmarkEnd w:id="33"/>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有待</w:t>
      </w:r>
      <w:r>
        <w:rPr>
          <w:rFonts w:ascii="Times New Roman" w:cs="Times New Roman"/>
          <w:color w:val="000000" w:themeColor="text1"/>
          <w:sz w:val="32"/>
          <w:szCs w:val="32"/>
          <w14:textFill>
            <w14:solidFill>
              <w14:schemeClr w14:val="tx1"/>
            </w14:solidFill>
          </w14:textFill>
        </w:rPr>
        <w:t>优化完善。​</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市委政研室现有的4项社会效益指标分别为：“平均运行无故障（%），指标值≥96”；“安全事故发生数（起），0”；“政策执行跟踪反馈覆盖率（%），100%”；“有利于提高工作效率（是 / 否），是” 。已有的4项社会效益指标未能全面、准确反映部门履职成效，导致部门在绩效评估过程中，难以对政策研究、决策辅助等核心职能的履行效果进行科学、系统的评价。由于缺少能明确考核部门履职效果的各类效益指标，无法精准衡量政策研究成果对社会发展的促进作用、决策建议的实际采纳及实施效果，使得绩效目标完成情况的评估缺乏客观性和准确性，无法为后续工作改进和资源合理配置提供有力的数据支撑。在日常监控方面，现有指标无法及时发现工作中存在的深层次问题，难以实现对绩效目标的动态跟踪和有效调整，进而影响了绩效管理工作的效能。</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34" w:name="_Toc201475758"/>
      <w:bookmarkStart w:id="35" w:name="_Toc203669487"/>
      <w:r>
        <w:rPr>
          <w:rFonts w:ascii="Times New Roman" w:eastAsia="楷体_GB2312" w:cs="Times New Roman"/>
          <w:color w:val="000000" w:themeColor="text1"/>
          <w:sz w:val="32"/>
          <w:szCs w:val="32"/>
          <w14:textFill>
            <w14:solidFill>
              <w14:schemeClr w14:val="tx1"/>
            </w14:solidFill>
          </w14:textFill>
        </w:rPr>
        <w:t>（二）预算编制不精细，</w:t>
      </w:r>
      <w:bookmarkEnd w:id="34"/>
      <w:r>
        <w:rPr>
          <w:rFonts w:ascii="Times New Roman" w:eastAsia="楷体_GB2312" w:cs="Times New Roman"/>
          <w:color w:val="000000" w:themeColor="text1"/>
          <w:sz w:val="32"/>
          <w:szCs w:val="32"/>
          <w14:textFill>
            <w14:solidFill>
              <w14:schemeClr w14:val="tx1"/>
            </w14:solidFill>
          </w14:textFill>
        </w:rPr>
        <w:t>同类资金分配模糊</w:t>
      </w:r>
      <w:bookmarkEnd w:id="35"/>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在各项目预算编制过程中，存在同类用途资金分配边界不清晰，缺乏明确划分标准的情况，导致预算编制不够精准、规范。以办公用品购置为例，多个项目均涉及办公用品采购，但在预算编制时，未对不同项目中办公用品采购资金进行清晰界定，使得资金流向难以精准追踪与核算，较易造成预算编制的混乱，降低资金使用效率。</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36" w:name="_Toc201475759"/>
      <w:bookmarkStart w:id="37" w:name="_Toc203669488"/>
      <w:bookmarkStart w:id="38" w:name="OLE_LINK12"/>
      <w:r>
        <w:rPr>
          <w:rFonts w:ascii="Times New Roman" w:eastAsia="楷体_GB2312" w:cs="Times New Roman"/>
          <w:color w:val="000000" w:themeColor="text1"/>
          <w:sz w:val="32"/>
          <w:szCs w:val="32"/>
          <w14:textFill>
            <w14:solidFill>
              <w14:schemeClr w14:val="tx1"/>
            </w14:solidFill>
          </w14:textFill>
        </w:rPr>
        <w:t>（三）成本管控有缺失，</w:t>
      </w:r>
      <w:bookmarkEnd w:id="36"/>
      <w:r>
        <w:rPr>
          <w:rFonts w:ascii="Times New Roman" w:eastAsia="楷体_GB2312" w:cs="Times New Roman"/>
          <w:color w:val="000000" w:themeColor="text1"/>
          <w:sz w:val="32"/>
          <w:szCs w:val="32"/>
          <w14:textFill>
            <w14:solidFill>
              <w14:schemeClr w14:val="tx1"/>
            </w14:solidFill>
          </w14:textFill>
        </w:rPr>
        <w:t>测算科学性待提高</w:t>
      </w:r>
      <w:bookmarkEnd w:id="37"/>
    </w:p>
    <w:bookmarkEnd w:id="38"/>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一是成本管控措施不严格。</w:t>
      </w:r>
      <w:r>
        <w:rPr>
          <w:rFonts w:ascii="Times New Roman" w:cs="Times New Roman"/>
          <w:color w:val="000000" w:themeColor="text1"/>
          <w:sz w:val="32"/>
          <w:szCs w:val="32"/>
          <w14:textFill>
            <w14:solidFill>
              <w14:schemeClr w14:val="tx1"/>
            </w14:solidFill>
          </w14:textFill>
        </w:rPr>
        <w:t>劳务费金额无相关测算标准和测算方案，导致在确定劳务费用时，缺乏客观、量化的依据。根据已收集到的2024年支付结题尾款的3项课题委托协议书，合同额均为5万元，且均涉及劳务费，但劳务费仅列示总金额，且劳务费差异较大，例如《发挥企二代作用，推动民营经济高质量发展》中劳务费为3.5万元、《发展壮大镇域经济 推进区域协调发展》《建设现代化海洋牧场对策研究》劳务费为0.5万元。</w:t>
      </w:r>
      <w:r>
        <w:rPr>
          <w:rFonts w:ascii="Times New Roman" w:cs="Times New Roman"/>
          <w:color w:val="auto"/>
          <w:sz w:val="32"/>
          <w:szCs w:val="32"/>
        </w:rPr>
        <w:t>三个项目的性质同为对策研究、研究方式方法基本相同，劳务费支出额度差距较大，</w:t>
      </w:r>
      <w:r>
        <w:rPr>
          <w:rFonts w:ascii="Times New Roman" w:cs="Times New Roman"/>
          <w:color w:val="000000" w:themeColor="text1"/>
          <w:sz w:val="32"/>
          <w:szCs w:val="32"/>
          <w14:textFill>
            <w14:solidFill>
              <w14:schemeClr w14:val="tx1"/>
            </w14:solidFill>
          </w14:textFill>
        </w:rPr>
        <w:t>支出标准不统一，成本管理缺乏规范性，使得资金使用的合理性难以保证，较难有效衡量劳务支出所带来的实际效益，影响了成本管控的有效性。</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二是项目成本测算方式待</w:t>
      </w:r>
      <w:r>
        <w:rPr>
          <w:rFonts w:hint="eastAsia" w:ascii="Times New Roman" w:cs="Times New Roman"/>
          <w:b/>
          <w:bCs/>
          <w:color w:val="000000" w:themeColor="text1"/>
          <w:sz w:val="32"/>
          <w:szCs w:val="32"/>
          <w14:textFill>
            <w14:solidFill>
              <w14:schemeClr w14:val="tx1"/>
            </w14:solidFill>
          </w14:textFill>
        </w:rPr>
        <w:t>完善</w:t>
      </w:r>
      <w:r>
        <w:rPr>
          <w:rFonts w:ascii="Times New Roman" w:cs="Times New Roman"/>
          <w:b/>
          <w:bCs/>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市委政研室存在部分同类支出内容在多个项目中碎片化预测，如“文具、硒鼓粉盒耗材”在市委财经办工作经费、市决咨委工作经费、专项业务支出中均有支出，且测算依据不充分，预算科学性</w:t>
      </w:r>
      <w:r>
        <w:rPr>
          <w:rFonts w:hint="eastAsia" w:ascii="Times New Roman" w:cs="Times New Roman"/>
          <w:color w:val="000000" w:themeColor="text1"/>
          <w:sz w:val="32"/>
          <w:szCs w:val="32"/>
          <w14:textFill>
            <w14:solidFill>
              <w14:schemeClr w14:val="tx1"/>
            </w14:solidFill>
          </w14:textFill>
        </w:rPr>
        <w:t>有待提高</w:t>
      </w:r>
      <w:r>
        <w:rPr>
          <w:rFonts w:ascii="Times New Roman" w:cs="Times New Roman"/>
          <w:color w:val="000000" w:themeColor="text1"/>
          <w:sz w:val="32"/>
          <w:szCs w:val="32"/>
          <w14:textFill>
            <w14:solidFill>
              <w14:schemeClr w14:val="tx1"/>
            </w14:solidFill>
          </w14:textFill>
        </w:rPr>
        <w:t>。</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39" w:name="_Toc201475760"/>
      <w:bookmarkStart w:id="40" w:name="_Toc203669489"/>
      <w:bookmarkStart w:id="41" w:name="OLE_LINK13"/>
      <w:r>
        <w:rPr>
          <w:rFonts w:ascii="Times New Roman" w:eastAsia="楷体_GB2312" w:cs="Times New Roman"/>
          <w:color w:val="000000" w:themeColor="text1"/>
          <w:sz w:val="32"/>
          <w:szCs w:val="32"/>
          <w14:textFill>
            <w14:solidFill>
              <w14:schemeClr w14:val="tx1"/>
            </w14:solidFill>
          </w14:textFill>
        </w:rPr>
        <w:t>（四）刊物编发不达标，成果应用衡量标准</w:t>
      </w:r>
      <w:bookmarkEnd w:id="39"/>
      <w:r>
        <w:rPr>
          <w:rFonts w:hint="eastAsia" w:ascii="Times New Roman" w:eastAsia="楷体_GB2312" w:cs="Times New Roman"/>
          <w:color w:val="000000" w:themeColor="text1"/>
          <w:sz w:val="32"/>
          <w:szCs w:val="32"/>
          <w14:textFill>
            <w14:solidFill>
              <w14:schemeClr w14:val="tx1"/>
            </w14:solidFill>
          </w14:textFill>
        </w:rPr>
        <w:t>待补充</w:t>
      </w:r>
      <w:bookmarkEnd w:id="40"/>
    </w:p>
    <w:bookmarkEnd w:id="41"/>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一是刊物编印数量未达预期。</w:t>
      </w:r>
      <w:r>
        <w:rPr>
          <w:rFonts w:ascii="Times New Roman" w:cs="Times New Roman"/>
          <w:color w:val="000000" w:themeColor="text1"/>
          <w:sz w:val="32"/>
          <w:szCs w:val="32"/>
          <w14:textFill>
            <w14:solidFill>
              <w14:schemeClr w14:val="tx1"/>
            </w14:solidFill>
          </w14:textFill>
        </w:rPr>
        <w:t>根据《关于印发〈市委政研室2024年工作要点〉的通知》要求，各刊物均设定了明确的编印目标，但实际执行情况与预期存在差距。其中，《决策参考》</w:t>
      </w:r>
      <w:bookmarkStart w:id="42" w:name="OLE_LINK17"/>
      <w:r>
        <w:rPr>
          <w:rFonts w:ascii="Times New Roman" w:cs="Times New Roman"/>
          <w:color w:val="000000" w:themeColor="text1"/>
          <w:sz w:val="32"/>
          <w:szCs w:val="32"/>
          <w14:textFill>
            <w14:solidFill>
              <w14:schemeClr w14:val="tx1"/>
            </w14:solidFill>
          </w14:textFill>
        </w:rPr>
        <w:t>预期编印数量12期</w:t>
      </w:r>
      <w:bookmarkEnd w:id="42"/>
      <w:r>
        <w:rPr>
          <w:rFonts w:ascii="Times New Roman" w:cs="Times New Roman"/>
          <w:color w:val="000000" w:themeColor="text1"/>
          <w:sz w:val="32"/>
          <w:szCs w:val="32"/>
          <w14:textFill>
            <w14:solidFill>
              <w14:schemeClr w14:val="tx1"/>
            </w14:solidFill>
          </w14:textFill>
        </w:rPr>
        <w:t>，实际编印8期；《财经专报》预期编印数量12期，实际仅编印1期；《决策信息》预期编印52期，实际编印29期；《江门改革督查情况》预期编印数量6期，市委政研室将《江门改革督查情况》并入《江门市“百千万工程”全覆盖大督查简报》，未单独刊发《江门改革督查情况》，实际编印《江门市“百千万工程”全覆盖大督查简报》13期。刊物作为市委政研室重要的成果展示窗口，数量上的不足直接导致政策研究成果、决策信息等无法及时、全面地传递给相关部门和决策层。</w:t>
      </w:r>
    </w:p>
    <w:p>
      <w:pPr>
        <w:pStyle w:val="5"/>
        <w:spacing w:line="579" w:lineRule="exact"/>
        <w:ind w:firstLine="642" w:firstLineChars="200"/>
        <w:jc w:val="both"/>
        <w:rPr>
          <w:rFonts w:hint="eastAsia"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二是研究成果应用衡量标准不清晰。</w:t>
      </w:r>
      <w:r>
        <w:rPr>
          <w:rFonts w:ascii="Times New Roman" w:cs="Times New Roman"/>
          <w:color w:val="000000" w:themeColor="text1"/>
          <w:sz w:val="32"/>
          <w:szCs w:val="32"/>
          <w14:textFill>
            <w14:solidFill>
              <w14:schemeClr w14:val="tx1"/>
            </w14:solidFill>
          </w14:textFill>
        </w:rPr>
        <w:t>由于市委政研室尚未建立一套系统、明确的研究成果应用衡量标准体系，在判断研究成果应用效果和程度时，缺乏统一且可量化的指标</w:t>
      </w:r>
      <w:r>
        <w:rPr>
          <w:rFonts w:hint="eastAsia" w:ascii="Times New Roman" w:cs="Times New Roman"/>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研究成果应用效果的评估缺乏科学性和客观性</w:t>
      </w:r>
      <w:r>
        <w:rPr>
          <w:rFonts w:hint="eastAsia" w:ascii="Times New Roman" w:cs="Times New Roman"/>
          <w:color w:val="000000" w:themeColor="text1"/>
          <w:sz w:val="32"/>
          <w:szCs w:val="32"/>
          <w14:textFill>
            <w14:solidFill>
              <w14:schemeClr w14:val="tx1"/>
            </w14:solidFill>
          </w14:textFill>
        </w:rPr>
        <w:t>。</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43" w:name="_Toc201475761"/>
      <w:bookmarkStart w:id="44" w:name="_Toc203669490"/>
      <w:r>
        <w:rPr>
          <w:rFonts w:ascii="Times New Roman" w:eastAsia="楷体_GB2312" w:cs="Times New Roman"/>
          <w:color w:val="000000" w:themeColor="text1"/>
          <w:sz w:val="32"/>
          <w:szCs w:val="32"/>
          <w14:textFill>
            <w14:solidFill>
              <w14:schemeClr w14:val="tx1"/>
            </w14:solidFill>
          </w14:textFill>
        </w:rPr>
        <w:t>（五）任务完成率尚有不足，资金落实</w:t>
      </w:r>
      <w:bookmarkEnd w:id="43"/>
      <w:r>
        <w:rPr>
          <w:rFonts w:ascii="Times New Roman" w:eastAsia="楷体_GB2312" w:cs="Times New Roman"/>
          <w:color w:val="000000" w:themeColor="text1"/>
          <w:sz w:val="32"/>
          <w:szCs w:val="32"/>
          <w14:textFill>
            <w14:solidFill>
              <w14:schemeClr w14:val="tx1"/>
            </w14:solidFill>
          </w14:textFill>
        </w:rPr>
        <w:t>工作待完善</w:t>
      </w:r>
      <w:bookmarkEnd w:id="44"/>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 xml:space="preserve"> </w:t>
      </w:r>
      <w:r>
        <w:rPr>
          <w:rFonts w:hint="eastAsia"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“百千万工程”指挥部办公室共承担多项核心工作任务，涵盖宣传推广等多个重要领域</w:t>
      </w:r>
      <w:r>
        <w:rPr>
          <w:rFonts w:hint="eastAsia" w:ascii="Times New Roman" w:cs="Times New Roman"/>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经统计，目前整体任务完成率尚有不足，如开设“奋战百千万镇街勇争先”专栏工作等未完成年初设定目标，影响了年度工作目标的全面实现。</w:t>
      </w:r>
      <w:bookmarkEnd w:id="32"/>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江门市级财政已下达考核奖励资金377.5万元，但截至2025年5月，各镇村仍有95.63万元尚未支出，“百千万工程”指挥部办公室对江门市“百县千镇万村高质量发展工程”考核奖励资金的指导监督工作中，仍有未落实不到位的情况。</w:t>
      </w:r>
    </w:p>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45" w:name="_Toc201475762"/>
      <w:bookmarkStart w:id="46" w:name="_Toc203669491"/>
      <w:r>
        <w:rPr>
          <w:rFonts w:ascii="Times New Roman" w:eastAsia="黑体" w:cs="Times New Roman"/>
          <w:color w:val="000000" w:themeColor="text1"/>
          <w:sz w:val="32"/>
          <w:szCs w:val="32"/>
          <w14:textFill>
            <w14:solidFill>
              <w14:schemeClr w14:val="tx1"/>
            </w14:solidFill>
          </w14:textFill>
        </w:rPr>
        <w:t>六、相关建议</w:t>
      </w:r>
      <w:bookmarkEnd w:id="45"/>
      <w:bookmarkEnd w:id="46"/>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47" w:name="_Toc203669492"/>
      <w:bookmarkStart w:id="48" w:name="_Toc201475763"/>
      <w:r>
        <w:rPr>
          <w:rFonts w:ascii="Times New Roman" w:eastAsia="楷体_GB2312" w:cs="Times New Roman"/>
          <w:color w:val="000000" w:themeColor="text1"/>
          <w:sz w:val="32"/>
          <w:szCs w:val="32"/>
          <w14:textFill>
            <w14:solidFill>
              <w14:schemeClr w14:val="tx1"/>
            </w14:solidFill>
          </w14:textFill>
        </w:rPr>
        <w:t>（一）优化指标体系，提升评估科学性</w:t>
      </w:r>
      <w:bookmarkEnd w:id="47"/>
      <w:bookmarkEnd w:id="48"/>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一是动态调整产出指标，激发工作潜能。</w:t>
      </w:r>
      <w:r>
        <w:rPr>
          <w:rFonts w:ascii="Times New Roman" w:cs="Times New Roman"/>
          <w:color w:val="000000" w:themeColor="text1"/>
          <w:sz w:val="32"/>
          <w:szCs w:val="32"/>
          <w14:textFill>
            <w14:solidFill>
              <w14:schemeClr w14:val="tx1"/>
            </w14:solidFill>
          </w14:textFill>
        </w:rPr>
        <w:t>首先，建立数据驱动的动态调整机制，核心在于构建动态化的指标管理体系。通过建立专门的指标管理台账，对过往3-5年实际完成数据进行深度挖掘与分析。其次，在指标预期值设定过程中，要坚持科学性与挑战性相结合的原则，采用定量与定性相结合的方法，制定阶梯式指标体系。同时，建立定期评估与调整机制，对实际完成情况与预期偏差较大的指标，及时进行原因分析，在下年度对指标预期值进行动态调整，确保指标始终具有合理性与导向性。</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二是完善效益指标，精准反映履职成效。</w:t>
      </w:r>
      <w:bookmarkStart w:id="49" w:name="OLE_LINK7"/>
      <w:r>
        <w:rPr>
          <w:rFonts w:ascii="Times New Roman" w:cs="Times New Roman"/>
          <w:color w:val="000000" w:themeColor="text1"/>
          <w:sz w:val="32"/>
          <w:szCs w:val="32"/>
          <w14:textFill>
            <w14:solidFill>
              <w14:schemeClr w14:val="tx1"/>
            </w14:solidFill>
          </w14:textFill>
        </w:rPr>
        <w:t>建议在设置效益指标时，应紧密贴合市委政研室核心职能，强化对政策研究成果转化与实际效益的考量。</w:t>
      </w:r>
      <w:bookmarkEnd w:id="49"/>
      <w:r>
        <w:rPr>
          <w:rFonts w:ascii="Times New Roman" w:cs="Times New Roman"/>
          <w:color w:val="000000" w:themeColor="text1"/>
          <w:sz w:val="32"/>
          <w:szCs w:val="32"/>
          <w14:textFill>
            <w14:solidFill>
              <w14:schemeClr w14:val="tx1"/>
            </w14:solidFill>
          </w14:textFill>
        </w:rPr>
        <w:t>设立“政策研究成果转化率”</w:t>
      </w:r>
      <w:r>
        <w:rPr>
          <w:rFonts w:ascii="Times New Roman" w:cs="Times New Roman"/>
        </w:rPr>
        <w:t xml:space="preserve"> </w:t>
      </w:r>
      <w:r>
        <w:rPr>
          <w:rFonts w:ascii="Times New Roman" w:cs="Times New Roman"/>
          <w:color w:val="000000" w:themeColor="text1"/>
          <w:sz w:val="32"/>
          <w:szCs w:val="32"/>
          <w14:textFill>
            <w14:solidFill>
              <w14:schemeClr w14:val="tx1"/>
            </w14:solidFill>
          </w14:textFill>
        </w:rPr>
        <w:t>指标、决策建议采纳后产生的“经济、社会、生态”等效益指标，联合财政、统计等部门，通过成本-效益分析、对比分析等方法，科学测算市委政研室产出成果在产业发展、税收增长、资源节约等方面产生的经济效益。针对难以直接量化的经济效益，可采用专家评估、案例对比等方式进行综合评定，为衡量市委政研室产出成果实现效益情况提供有力依据。</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0" w:name="_Toc203669493"/>
      <w:bookmarkStart w:id="51" w:name="_Toc201475764"/>
      <w:r>
        <w:rPr>
          <w:rFonts w:ascii="Times New Roman" w:eastAsia="楷体_GB2312" w:cs="Times New Roman"/>
          <w:color w:val="000000" w:themeColor="text1"/>
          <w:sz w:val="32"/>
          <w:szCs w:val="32"/>
          <w14:textFill>
            <w14:solidFill>
              <w14:schemeClr w14:val="tx1"/>
            </w14:solidFill>
          </w14:textFill>
        </w:rPr>
        <w:t>（二）规范预算管理，增强资金效能</w:t>
      </w:r>
      <w:bookmarkEnd w:id="50"/>
      <w:bookmarkEnd w:id="51"/>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设计统一规范的预算编制模板，明确设置项目基本信息、资金分配依据、支出品类清单、预算金额明细等必填栏目。资金分配依据需详细说明项目性质、人员数量、使用周期等因素的具体取值及计算过程；支出品类清单应列明所支出内容的名称、规格、数量等信息；预算金额明细则需根据分配标准与品类清单，逐项计算并汇总各类支出项目的预算金额。针对不同类型的支出项目，分别制定通用模板和个性化模板，确保模板能够精准适配各类项目需求，实现预算编制的标准化、规范化。</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组织开展预算编制专题培训，向部门预算编制人员详细讲解资金分配标准的制定依据、模板填写规范及注意事项，提高编制人员的专业能力与执行意识。</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在预算执行阶段，实时追踪资金流向，定期开展预算执行情况检查，深入分析原因，及时调整改进预算编制与执行管理措施。</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2" w:name="_Toc201475765"/>
      <w:bookmarkStart w:id="53" w:name="_Toc203669494"/>
      <w:r>
        <w:rPr>
          <w:rFonts w:ascii="Times New Roman" w:eastAsia="楷体_GB2312" w:cs="Times New Roman"/>
          <w:color w:val="000000" w:themeColor="text1"/>
          <w:sz w:val="32"/>
          <w:szCs w:val="32"/>
          <w14:textFill>
            <w14:solidFill>
              <w14:schemeClr w14:val="tx1"/>
            </w14:solidFill>
          </w14:textFill>
        </w:rPr>
        <w:t>（三）严格成本管控，规范</w:t>
      </w:r>
      <w:bookmarkEnd w:id="52"/>
      <w:r>
        <w:rPr>
          <w:rFonts w:hint="eastAsia" w:ascii="Times New Roman" w:eastAsia="楷体_GB2312" w:cs="Times New Roman"/>
          <w:color w:val="000000" w:themeColor="text1"/>
          <w:sz w:val="32"/>
          <w:szCs w:val="32"/>
          <w14:textFill>
            <w14:solidFill>
              <w14:schemeClr w14:val="tx1"/>
            </w14:solidFill>
          </w14:textFill>
        </w:rPr>
        <w:t>支出标准</w:t>
      </w:r>
      <w:bookmarkEnd w:id="53"/>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全面梳理各项业务活动，按照业务性质、资金用途等维度，对成本进行系统分类，根据不同成本类别设置相应合理的测算标准。</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建立项目历史成本数据库，将过往项目按课题研究等类别进行分类归档。针对劳务费支出，详细记录每个项目的课题名称、研究内容、劳务费总额、人员构成及劳务费用明细，分析不同项目在人员投入、工作周期与劳务费用之间的关联。通过对历史数据的系统性梳理，挖掘成本变化规律与潜在问题，为成本分析提供纵向对比依据。</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充分收集市场价格、支出标准等资料。针对课题研究领域，关注同类课题的资金投入规模、劳务费占比、研究成果产出等情况，了解普遍的成本结构与资源配置模式。同时，利用公开招投标平台、行业论坛等渠道，收集同类型项目的采购案例与成本数据，拓宽数据来源渠道，确保行业数据的全面性与时效性，为成本分析提供横向对比参照。</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4" w:name="_Toc203669495"/>
      <w:bookmarkStart w:id="55" w:name="_Toc201475766"/>
      <w:r>
        <w:rPr>
          <w:rFonts w:ascii="Times New Roman" w:eastAsia="楷体_GB2312" w:cs="Times New Roman"/>
          <w:color w:val="000000" w:themeColor="text1"/>
          <w:sz w:val="32"/>
          <w:szCs w:val="32"/>
          <w14:textFill>
            <w14:solidFill>
              <w14:schemeClr w14:val="tx1"/>
            </w14:solidFill>
          </w14:textFill>
        </w:rPr>
        <w:t>（四）保障刊物编发，明晰成果应用</w:t>
      </w:r>
      <w:bookmarkEnd w:id="54"/>
      <w:bookmarkEnd w:id="55"/>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一是加强刊物统筹管理，确保编印目标达成。</w:t>
      </w:r>
      <w:r>
        <w:rPr>
          <w:rFonts w:ascii="Times New Roman" w:cs="Times New Roman"/>
          <w:color w:val="000000" w:themeColor="text1"/>
          <w:sz w:val="32"/>
          <w:szCs w:val="32"/>
          <w14:textFill>
            <w14:solidFill>
              <w14:schemeClr w14:val="tx1"/>
            </w14:solidFill>
          </w14:textFill>
        </w:rPr>
        <w:t>建议成立刊物专项工作组，明确各刊物责任编辑与时间节点，制定刊物编印进度表，每月跟踪编印情况，对进度滞后的刊物及时分析原因并采取措施。例如增加编辑人员、优化稿件征集流程等，确保市委政研室刊物按计划编印，充分发挥成果展示作用。</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二是构建成果应用标准体系，科学评估成果价值。</w:t>
      </w:r>
      <w:r>
        <w:rPr>
          <w:rFonts w:ascii="Times New Roman" w:cs="Times New Roman"/>
          <w:color w:val="000000" w:themeColor="text1"/>
          <w:sz w:val="32"/>
          <w:szCs w:val="32"/>
          <w14:textFill>
            <w14:solidFill>
              <w14:schemeClr w14:val="tx1"/>
            </w14:solidFill>
          </w14:textFill>
        </w:rPr>
        <w:t>针对研究成果应用衡量标准不清晰问题，构建系统的成果应用评估体系。对于政策建议类成果，除领导批示外，增加政策落地率、实施效果满意度调查等指标；对于调研类成果，制定以数据对比、案例分析为基础的评估标准，衡量其对实际工作的指导作用。通过量化评估，准确把握研究成果实际价值，为后续研究工作提供参考。</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6" w:name="_Toc203669496"/>
      <w:bookmarkStart w:id="57" w:name="_Toc201475767"/>
      <w:r>
        <w:rPr>
          <w:rFonts w:ascii="Times New Roman" w:eastAsia="楷体_GB2312" w:cs="Times New Roman"/>
          <w:color w:val="000000" w:themeColor="text1"/>
          <w:sz w:val="32"/>
          <w:szCs w:val="32"/>
          <w14:textFill>
            <w14:solidFill>
              <w14:schemeClr w14:val="tx1"/>
            </w14:solidFill>
          </w14:textFill>
        </w:rPr>
        <w:t>（五）强化任务执行，提升统筹督查效能</w:t>
      </w:r>
      <w:bookmarkEnd w:id="56"/>
      <w:bookmarkEnd w:id="57"/>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一是分解任务目标，确保工作落实。</w:t>
      </w:r>
      <w:r>
        <w:rPr>
          <w:rFonts w:ascii="Times New Roman" w:cs="Times New Roman"/>
          <w:color w:val="000000" w:themeColor="text1"/>
          <w:sz w:val="32"/>
          <w:szCs w:val="32"/>
          <w14:textFill>
            <w14:solidFill>
              <w14:schemeClr w14:val="tx1"/>
            </w14:solidFill>
          </w14:textFill>
        </w:rPr>
        <w:t>建议“百千万工程” 指挥部办公室对任务进行细化分解，明确季度、月度工作目标，并制定详细的工作计划表。同时，建立任务进度跟踪台账，每周检查任务完成情况，对未达进度的任务及时预警并督促整改，保障年度工作目标实现。​</w:t>
      </w:r>
    </w:p>
    <w:p>
      <w:pPr>
        <w:pStyle w:val="5"/>
        <w:spacing w:line="579" w:lineRule="exact"/>
        <w:ind w:firstLine="642" w:firstLineChars="200"/>
        <w:jc w:val="both"/>
        <w:rPr>
          <w:rFonts w:eastAsia="仿宋_GB2312"/>
          <w:color w:val="000000" w:themeColor="text1"/>
          <w:kern w:val="0"/>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二是优化统筹督查机制，加强全程监管。</w:t>
      </w:r>
      <w:r>
        <w:rPr>
          <w:rFonts w:ascii="Times New Roman" w:cs="Times New Roman"/>
          <w:color w:val="000000" w:themeColor="text1"/>
          <w:sz w:val="32"/>
          <w:szCs w:val="32"/>
          <w14:textFill>
            <w14:solidFill>
              <w14:schemeClr w14:val="tx1"/>
            </w14:solidFill>
          </w14:textFill>
        </w:rPr>
        <w:t>建议优化工作时间安排，加强年初工作部署与推进。建立资金使用全程监管机制，要求实施部门定期报送考核奖励资金使用情况，对资金未支出或使用方向不明的情况进行重点核查，对重点内容应要求限期提交使用资料，确保资金使用规范、高效。</w:t>
      </w:r>
    </w:p>
    <w:p>
      <w:pPr>
        <w:adjustRightInd w:val="0"/>
        <w:snapToGrid w:val="0"/>
        <w:rPr>
          <w:rFonts w:hint="eastAsia" w:eastAsia="方正小标宋_GBK"/>
          <w:color w:val="000000" w:themeColor="text1"/>
          <w:kern w:val="0"/>
          <w:sz w:val="32"/>
          <w:szCs w:val="32"/>
          <w14:textFill>
            <w14:solidFill>
              <w14:schemeClr w14:val="tx1"/>
            </w14:solidFill>
          </w14:textFill>
        </w:rPr>
      </w:pPr>
    </w:p>
    <w:sectPr>
      <w:footerReference r:id="rId3" w:type="default"/>
      <w:pgSz w:w="11906" w:h="16838"/>
      <w:pgMar w:top="1474" w:right="1985" w:bottom="1588"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Microsoft YaHei">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7457417"/>
    </w:sdtPr>
    <w:sdtContent>
      <w:p>
        <w:pPr>
          <w:pStyle w:val="11"/>
          <w:ind w:left="420"/>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YjRlOWUyYzVmZDYzMTQyNjg1NmQwNzc1MmY4ZjQifQ=="/>
  </w:docVars>
  <w:rsids>
    <w:rsidRoot w:val="006C543F"/>
    <w:rsid w:val="00007F56"/>
    <w:rsid w:val="000130D8"/>
    <w:rsid w:val="0004326D"/>
    <w:rsid w:val="00056576"/>
    <w:rsid w:val="000647E0"/>
    <w:rsid w:val="0006618D"/>
    <w:rsid w:val="00066F63"/>
    <w:rsid w:val="00067C3F"/>
    <w:rsid w:val="00072F05"/>
    <w:rsid w:val="00081412"/>
    <w:rsid w:val="00091743"/>
    <w:rsid w:val="00093FED"/>
    <w:rsid w:val="000B0F41"/>
    <w:rsid w:val="000B4532"/>
    <w:rsid w:val="000C199C"/>
    <w:rsid w:val="000D78AC"/>
    <w:rsid w:val="000E0C22"/>
    <w:rsid w:val="000E4738"/>
    <w:rsid w:val="0010035D"/>
    <w:rsid w:val="00112ABE"/>
    <w:rsid w:val="00113BE6"/>
    <w:rsid w:val="0011487B"/>
    <w:rsid w:val="001221C0"/>
    <w:rsid w:val="00140562"/>
    <w:rsid w:val="001431AE"/>
    <w:rsid w:val="00144A90"/>
    <w:rsid w:val="00181747"/>
    <w:rsid w:val="00194575"/>
    <w:rsid w:val="001C18F6"/>
    <w:rsid w:val="001C4A3B"/>
    <w:rsid w:val="001D5D5A"/>
    <w:rsid w:val="001D6F3B"/>
    <w:rsid w:val="001E021C"/>
    <w:rsid w:val="001E1D74"/>
    <w:rsid w:val="001E5FBA"/>
    <w:rsid w:val="00214F9B"/>
    <w:rsid w:val="00220A0D"/>
    <w:rsid w:val="002301D8"/>
    <w:rsid w:val="00252722"/>
    <w:rsid w:val="002543BE"/>
    <w:rsid w:val="002546C4"/>
    <w:rsid w:val="00265E3D"/>
    <w:rsid w:val="002934E9"/>
    <w:rsid w:val="002A5823"/>
    <w:rsid w:val="002B4391"/>
    <w:rsid w:val="002B6282"/>
    <w:rsid w:val="002B6AD5"/>
    <w:rsid w:val="002C5CAE"/>
    <w:rsid w:val="002D4040"/>
    <w:rsid w:val="002E07D0"/>
    <w:rsid w:val="002F123C"/>
    <w:rsid w:val="002F20D8"/>
    <w:rsid w:val="003007B7"/>
    <w:rsid w:val="00302200"/>
    <w:rsid w:val="003173E6"/>
    <w:rsid w:val="003207FD"/>
    <w:rsid w:val="003231FC"/>
    <w:rsid w:val="003269C4"/>
    <w:rsid w:val="00327701"/>
    <w:rsid w:val="00327F31"/>
    <w:rsid w:val="00330313"/>
    <w:rsid w:val="003418F9"/>
    <w:rsid w:val="00350181"/>
    <w:rsid w:val="00351736"/>
    <w:rsid w:val="003543C4"/>
    <w:rsid w:val="00360407"/>
    <w:rsid w:val="00367AEA"/>
    <w:rsid w:val="0037382B"/>
    <w:rsid w:val="00390731"/>
    <w:rsid w:val="003943FD"/>
    <w:rsid w:val="003A0FDC"/>
    <w:rsid w:val="003A5EE9"/>
    <w:rsid w:val="003B3947"/>
    <w:rsid w:val="003C201A"/>
    <w:rsid w:val="003C3CB2"/>
    <w:rsid w:val="003C7B2A"/>
    <w:rsid w:val="003D1EE4"/>
    <w:rsid w:val="003D6656"/>
    <w:rsid w:val="003D7ECA"/>
    <w:rsid w:val="003E2B66"/>
    <w:rsid w:val="003E64CB"/>
    <w:rsid w:val="003E78FA"/>
    <w:rsid w:val="003F3537"/>
    <w:rsid w:val="003F7CDA"/>
    <w:rsid w:val="00400E23"/>
    <w:rsid w:val="0040339C"/>
    <w:rsid w:val="0040601E"/>
    <w:rsid w:val="00407A0C"/>
    <w:rsid w:val="00423B90"/>
    <w:rsid w:val="0043608D"/>
    <w:rsid w:val="00441A96"/>
    <w:rsid w:val="00444A70"/>
    <w:rsid w:val="00453A38"/>
    <w:rsid w:val="0046681D"/>
    <w:rsid w:val="004802C8"/>
    <w:rsid w:val="00487692"/>
    <w:rsid w:val="00487BD1"/>
    <w:rsid w:val="00491BC6"/>
    <w:rsid w:val="004D5C5D"/>
    <w:rsid w:val="004E1BB6"/>
    <w:rsid w:val="004E24DF"/>
    <w:rsid w:val="004E6152"/>
    <w:rsid w:val="004F79E0"/>
    <w:rsid w:val="00506433"/>
    <w:rsid w:val="00507219"/>
    <w:rsid w:val="0051520F"/>
    <w:rsid w:val="00520075"/>
    <w:rsid w:val="00521D99"/>
    <w:rsid w:val="00540667"/>
    <w:rsid w:val="00542A07"/>
    <w:rsid w:val="00550142"/>
    <w:rsid w:val="00570C24"/>
    <w:rsid w:val="0057273F"/>
    <w:rsid w:val="00573592"/>
    <w:rsid w:val="00580E65"/>
    <w:rsid w:val="005A24C4"/>
    <w:rsid w:val="005B34F2"/>
    <w:rsid w:val="005D28CD"/>
    <w:rsid w:val="005F65E0"/>
    <w:rsid w:val="00607831"/>
    <w:rsid w:val="00616FF7"/>
    <w:rsid w:val="00624C48"/>
    <w:rsid w:val="00625415"/>
    <w:rsid w:val="006342F1"/>
    <w:rsid w:val="00635A7D"/>
    <w:rsid w:val="00641206"/>
    <w:rsid w:val="00642AC0"/>
    <w:rsid w:val="006454D4"/>
    <w:rsid w:val="00645C23"/>
    <w:rsid w:val="006465BC"/>
    <w:rsid w:val="006503CB"/>
    <w:rsid w:val="00655286"/>
    <w:rsid w:val="00670D91"/>
    <w:rsid w:val="00671F9A"/>
    <w:rsid w:val="00675019"/>
    <w:rsid w:val="00675224"/>
    <w:rsid w:val="006759D5"/>
    <w:rsid w:val="006868ED"/>
    <w:rsid w:val="00687E6F"/>
    <w:rsid w:val="00687F91"/>
    <w:rsid w:val="006C02DF"/>
    <w:rsid w:val="006C1A3B"/>
    <w:rsid w:val="006C543F"/>
    <w:rsid w:val="006C775D"/>
    <w:rsid w:val="006D2640"/>
    <w:rsid w:val="006D2899"/>
    <w:rsid w:val="006E32EE"/>
    <w:rsid w:val="006E53F4"/>
    <w:rsid w:val="006F41FA"/>
    <w:rsid w:val="00710ECF"/>
    <w:rsid w:val="00715403"/>
    <w:rsid w:val="00735AD7"/>
    <w:rsid w:val="00746108"/>
    <w:rsid w:val="00746EB3"/>
    <w:rsid w:val="00770E78"/>
    <w:rsid w:val="00771220"/>
    <w:rsid w:val="007767B1"/>
    <w:rsid w:val="007775F3"/>
    <w:rsid w:val="00777B4F"/>
    <w:rsid w:val="00787F6B"/>
    <w:rsid w:val="00794A81"/>
    <w:rsid w:val="007A6B9A"/>
    <w:rsid w:val="007B7B19"/>
    <w:rsid w:val="007D2637"/>
    <w:rsid w:val="007E7D57"/>
    <w:rsid w:val="007F75B6"/>
    <w:rsid w:val="00803E10"/>
    <w:rsid w:val="00806B5A"/>
    <w:rsid w:val="008132A0"/>
    <w:rsid w:val="00820D70"/>
    <w:rsid w:val="008214A6"/>
    <w:rsid w:val="00823AA5"/>
    <w:rsid w:val="008436EF"/>
    <w:rsid w:val="00855B9F"/>
    <w:rsid w:val="00865BEC"/>
    <w:rsid w:val="008B0C59"/>
    <w:rsid w:val="008C1865"/>
    <w:rsid w:val="008C76C1"/>
    <w:rsid w:val="008D227B"/>
    <w:rsid w:val="008D5ABB"/>
    <w:rsid w:val="009006CA"/>
    <w:rsid w:val="00903366"/>
    <w:rsid w:val="00915624"/>
    <w:rsid w:val="009329FF"/>
    <w:rsid w:val="00951BA0"/>
    <w:rsid w:val="009568FE"/>
    <w:rsid w:val="00964536"/>
    <w:rsid w:val="00967248"/>
    <w:rsid w:val="00970C88"/>
    <w:rsid w:val="0098401A"/>
    <w:rsid w:val="00995EBB"/>
    <w:rsid w:val="009B7B55"/>
    <w:rsid w:val="009C24ED"/>
    <w:rsid w:val="009C34DD"/>
    <w:rsid w:val="009E5EF5"/>
    <w:rsid w:val="009F7DE7"/>
    <w:rsid w:val="00A027FD"/>
    <w:rsid w:val="00A04292"/>
    <w:rsid w:val="00A1123C"/>
    <w:rsid w:val="00A14A26"/>
    <w:rsid w:val="00A15BC2"/>
    <w:rsid w:val="00A25459"/>
    <w:rsid w:val="00A31A3C"/>
    <w:rsid w:val="00A31CA4"/>
    <w:rsid w:val="00A32E4A"/>
    <w:rsid w:val="00A519AC"/>
    <w:rsid w:val="00A52C93"/>
    <w:rsid w:val="00A648E3"/>
    <w:rsid w:val="00A66F3E"/>
    <w:rsid w:val="00A7274B"/>
    <w:rsid w:val="00A75D1E"/>
    <w:rsid w:val="00A77D2E"/>
    <w:rsid w:val="00A929F5"/>
    <w:rsid w:val="00A92C1B"/>
    <w:rsid w:val="00A979ED"/>
    <w:rsid w:val="00AD5253"/>
    <w:rsid w:val="00AE0537"/>
    <w:rsid w:val="00AF23E3"/>
    <w:rsid w:val="00AF5042"/>
    <w:rsid w:val="00AF5130"/>
    <w:rsid w:val="00B0053C"/>
    <w:rsid w:val="00B109D5"/>
    <w:rsid w:val="00B119A0"/>
    <w:rsid w:val="00B16131"/>
    <w:rsid w:val="00B224B2"/>
    <w:rsid w:val="00B24EDC"/>
    <w:rsid w:val="00B3454E"/>
    <w:rsid w:val="00B369A1"/>
    <w:rsid w:val="00B369D1"/>
    <w:rsid w:val="00B37C28"/>
    <w:rsid w:val="00B5012D"/>
    <w:rsid w:val="00B64D99"/>
    <w:rsid w:val="00B76379"/>
    <w:rsid w:val="00B811C3"/>
    <w:rsid w:val="00B911E6"/>
    <w:rsid w:val="00BA7FE2"/>
    <w:rsid w:val="00BB221A"/>
    <w:rsid w:val="00BB7D35"/>
    <w:rsid w:val="00BD0A07"/>
    <w:rsid w:val="00BE5CD2"/>
    <w:rsid w:val="00BE71C1"/>
    <w:rsid w:val="00BF5035"/>
    <w:rsid w:val="00C03439"/>
    <w:rsid w:val="00C14AC4"/>
    <w:rsid w:val="00C26107"/>
    <w:rsid w:val="00C272A0"/>
    <w:rsid w:val="00C46FBB"/>
    <w:rsid w:val="00C542EE"/>
    <w:rsid w:val="00C624FF"/>
    <w:rsid w:val="00C62C50"/>
    <w:rsid w:val="00C958B4"/>
    <w:rsid w:val="00C95FF1"/>
    <w:rsid w:val="00C96719"/>
    <w:rsid w:val="00C972F9"/>
    <w:rsid w:val="00CA206D"/>
    <w:rsid w:val="00CA2623"/>
    <w:rsid w:val="00CB24F4"/>
    <w:rsid w:val="00CD3843"/>
    <w:rsid w:val="00CF3B3A"/>
    <w:rsid w:val="00D028A5"/>
    <w:rsid w:val="00D030DF"/>
    <w:rsid w:val="00D0480F"/>
    <w:rsid w:val="00D20B13"/>
    <w:rsid w:val="00D43FF8"/>
    <w:rsid w:val="00D4669A"/>
    <w:rsid w:val="00D51C7C"/>
    <w:rsid w:val="00D577DD"/>
    <w:rsid w:val="00D669C2"/>
    <w:rsid w:val="00D708CA"/>
    <w:rsid w:val="00D76631"/>
    <w:rsid w:val="00D8567E"/>
    <w:rsid w:val="00DB505F"/>
    <w:rsid w:val="00DC0199"/>
    <w:rsid w:val="00DC3ED4"/>
    <w:rsid w:val="00DD5CB5"/>
    <w:rsid w:val="00DE031F"/>
    <w:rsid w:val="00DF27B7"/>
    <w:rsid w:val="00DF599F"/>
    <w:rsid w:val="00DF7FE3"/>
    <w:rsid w:val="00E10AD1"/>
    <w:rsid w:val="00E122B9"/>
    <w:rsid w:val="00E155E6"/>
    <w:rsid w:val="00E32425"/>
    <w:rsid w:val="00E443CC"/>
    <w:rsid w:val="00E62549"/>
    <w:rsid w:val="00E64C78"/>
    <w:rsid w:val="00E74171"/>
    <w:rsid w:val="00E75D5A"/>
    <w:rsid w:val="00E87E45"/>
    <w:rsid w:val="00E911E5"/>
    <w:rsid w:val="00E92AF3"/>
    <w:rsid w:val="00E9333E"/>
    <w:rsid w:val="00EA321F"/>
    <w:rsid w:val="00EA4F87"/>
    <w:rsid w:val="00EA5B09"/>
    <w:rsid w:val="00EC4850"/>
    <w:rsid w:val="00EE1A28"/>
    <w:rsid w:val="00EE31A3"/>
    <w:rsid w:val="00EE4BD1"/>
    <w:rsid w:val="00EE505E"/>
    <w:rsid w:val="00EF5582"/>
    <w:rsid w:val="00F0235A"/>
    <w:rsid w:val="00F076F8"/>
    <w:rsid w:val="00F234C6"/>
    <w:rsid w:val="00F23837"/>
    <w:rsid w:val="00F30507"/>
    <w:rsid w:val="00F440D1"/>
    <w:rsid w:val="00F55A8E"/>
    <w:rsid w:val="00F55BB9"/>
    <w:rsid w:val="00F72471"/>
    <w:rsid w:val="00F81E37"/>
    <w:rsid w:val="00FB0920"/>
    <w:rsid w:val="00FB0D60"/>
    <w:rsid w:val="00FC78DD"/>
    <w:rsid w:val="00FC7B00"/>
    <w:rsid w:val="00FE2DFA"/>
    <w:rsid w:val="050C1BFF"/>
    <w:rsid w:val="0632426C"/>
    <w:rsid w:val="0B0501B5"/>
    <w:rsid w:val="0D362540"/>
    <w:rsid w:val="0D5657DE"/>
    <w:rsid w:val="13A815B0"/>
    <w:rsid w:val="15E14638"/>
    <w:rsid w:val="15F911F8"/>
    <w:rsid w:val="17C766A3"/>
    <w:rsid w:val="19830BB2"/>
    <w:rsid w:val="1AFF4AB1"/>
    <w:rsid w:val="1E1771C7"/>
    <w:rsid w:val="20F457D3"/>
    <w:rsid w:val="221018DD"/>
    <w:rsid w:val="24577F3D"/>
    <w:rsid w:val="260E1449"/>
    <w:rsid w:val="27357461"/>
    <w:rsid w:val="27C5E5B5"/>
    <w:rsid w:val="2A261D85"/>
    <w:rsid w:val="2BF33334"/>
    <w:rsid w:val="2CDFA879"/>
    <w:rsid w:val="2ECF14DD"/>
    <w:rsid w:val="2EF03AFE"/>
    <w:rsid w:val="417A6D67"/>
    <w:rsid w:val="48D043F9"/>
    <w:rsid w:val="4DCB4DCA"/>
    <w:rsid w:val="4F1E1A12"/>
    <w:rsid w:val="4F3A772E"/>
    <w:rsid w:val="59EC5C2D"/>
    <w:rsid w:val="5A5E4FC6"/>
    <w:rsid w:val="5E2225C8"/>
    <w:rsid w:val="60FB1664"/>
    <w:rsid w:val="64006F71"/>
    <w:rsid w:val="65BF1767"/>
    <w:rsid w:val="67DFB501"/>
    <w:rsid w:val="67E73272"/>
    <w:rsid w:val="6BEBA2FE"/>
    <w:rsid w:val="6D9B526C"/>
    <w:rsid w:val="6E7318FC"/>
    <w:rsid w:val="706F453A"/>
    <w:rsid w:val="72D90755"/>
    <w:rsid w:val="733573EA"/>
    <w:rsid w:val="77CC04AB"/>
    <w:rsid w:val="77D7819C"/>
    <w:rsid w:val="77E51F05"/>
    <w:rsid w:val="7D4A1A04"/>
    <w:rsid w:val="7DA835E3"/>
    <w:rsid w:val="7E524B84"/>
    <w:rsid w:val="7EF5D46A"/>
    <w:rsid w:val="7F62FF69"/>
    <w:rsid w:val="7FF056E7"/>
    <w:rsid w:val="9D97C6DC"/>
    <w:rsid w:val="A92FB177"/>
    <w:rsid w:val="BBFF9E51"/>
    <w:rsid w:val="BE7D23BE"/>
    <w:rsid w:val="BFBAD6CC"/>
    <w:rsid w:val="DEF78711"/>
    <w:rsid w:val="EDF52C1F"/>
    <w:rsid w:val="EFA7CBEA"/>
    <w:rsid w:val="F65F7859"/>
    <w:rsid w:val="F7A524B6"/>
    <w:rsid w:val="FB2D8A53"/>
    <w:rsid w:val="FCFF01E5"/>
    <w:rsid w:val="FDEF91E2"/>
    <w:rsid w:val="FE61CDA2"/>
    <w:rsid w:val="FECBD0BF"/>
    <w:rsid w:val="FEEF14BD"/>
    <w:rsid w:val="FEFBC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ody Text"/>
    <w:basedOn w:val="1"/>
    <w:next w:val="9"/>
    <w:qFormat/>
    <w:uiPriority w:val="0"/>
    <w:pPr>
      <w:spacing w:after="140" w:line="276" w:lineRule="auto"/>
    </w:pPr>
  </w:style>
  <w:style w:type="paragraph" w:styleId="9">
    <w:name w:val="Title"/>
    <w:basedOn w:val="1"/>
    <w:next w:val="1"/>
    <w:qFormat/>
    <w:uiPriority w:val="0"/>
    <w:pPr>
      <w:spacing w:before="240" w:after="60"/>
      <w:jc w:val="center"/>
      <w:textAlignment w:val="baseline"/>
    </w:pPr>
    <w:rPr>
      <w:rFonts w:hint="eastAsia" w:ascii="Arial" w:hAnsi="Arial"/>
      <w:b/>
      <w:sz w:val="32"/>
    </w:rPr>
  </w:style>
  <w:style w:type="paragraph" w:styleId="10">
    <w:name w:val="Balloon Text"/>
    <w:basedOn w:val="1"/>
    <w:link w:val="37"/>
    <w:qFormat/>
    <w:uiPriority w:val="0"/>
    <w:rPr>
      <w:sz w:val="18"/>
      <w:szCs w:val="18"/>
    </w:rPr>
  </w:style>
  <w:style w:type="paragraph" w:styleId="11">
    <w:name w:val="footer"/>
    <w:link w:val="38"/>
    <w:unhideWhenUsed/>
    <w:qFormat/>
    <w:uiPriority w:val="99"/>
    <w:pPr>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ind w:left="420" w:leftChars="200"/>
    </w:pPr>
  </w:style>
  <w:style w:type="paragraph" w:styleId="16">
    <w:name w:val="Normal (Web)"/>
    <w:basedOn w:val="1"/>
    <w:qFormat/>
    <w:uiPriority w:val="0"/>
    <w:pPr>
      <w:jc w:val="left"/>
    </w:pPr>
    <w:rPr>
      <w:rFonts w:ascii="微软雅黑" w:hAnsi="微软雅黑" w:eastAsia="微软雅黑"/>
      <w:kern w:val="0"/>
      <w:sz w:val="24"/>
    </w:rPr>
  </w:style>
  <w:style w:type="paragraph" w:styleId="17">
    <w:name w:val="Body Text First Indent"/>
    <w:basedOn w:val="8"/>
    <w:qFormat/>
    <w:uiPriority w:val="0"/>
    <w:pPr>
      <w:spacing w:after="120"/>
      <w:ind w:firstLine="420" w:firstLineChars="100"/>
    </w:pPr>
    <w:rPr>
      <w:rFonts w:ascii="Calibri" w:hAnsi="Calibri"/>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99"/>
    <w:rPr>
      <w:color w:val="0000FF"/>
      <w:u w:val="single"/>
    </w:rPr>
  </w:style>
  <w:style w:type="character" w:styleId="23">
    <w:name w:val="footnote reference"/>
    <w:basedOn w:val="20"/>
    <w:qFormat/>
    <w:uiPriority w:val="0"/>
    <w:rPr>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font21"/>
    <w:basedOn w:val="20"/>
    <w:qFormat/>
    <w:uiPriority w:val="0"/>
    <w:rPr>
      <w:rFonts w:hint="eastAsia" w:ascii="宋体" w:hAnsi="宋体" w:eastAsia="宋体" w:cs="宋体"/>
      <w:color w:val="FF0000"/>
      <w:sz w:val="20"/>
      <w:szCs w:val="20"/>
      <w:u w:val="none"/>
    </w:rPr>
  </w:style>
  <w:style w:type="character" w:customStyle="1" w:styleId="26">
    <w:name w:val="style1611"/>
    <w:basedOn w:val="20"/>
    <w:qFormat/>
    <w:uiPriority w:val="0"/>
    <w:rPr>
      <w:color w:val="000000"/>
    </w:rPr>
  </w:style>
  <w:style w:type="character" w:customStyle="1" w:styleId="27">
    <w:name w:val="font01"/>
    <w:basedOn w:val="20"/>
    <w:qFormat/>
    <w:uiPriority w:val="0"/>
    <w:rPr>
      <w:rFonts w:hint="eastAsia" w:ascii="宋体" w:hAnsi="宋体" w:eastAsia="宋体"/>
      <w:color w:val="000000"/>
      <w:sz w:val="22"/>
      <w:szCs w:val="22"/>
      <w:u w:val="none"/>
    </w:rPr>
  </w:style>
  <w:style w:type="character" w:customStyle="1" w:styleId="28">
    <w:name w:val="font11"/>
    <w:basedOn w:val="20"/>
    <w:qFormat/>
    <w:uiPriority w:val="0"/>
    <w:rPr>
      <w:rFonts w:hint="default" w:ascii="Times New Roman" w:hAnsi="Times New Roman" w:cs="Times New Roman"/>
      <w:color w:val="000000"/>
      <w:sz w:val="20"/>
      <w:szCs w:val="20"/>
      <w:u w:val="none"/>
    </w:rPr>
  </w:style>
  <w:style w:type="character" w:customStyle="1" w:styleId="29">
    <w:name w:val="font81"/>
    <w:basedOn w:val="20"/>
    <w:qFormat/>
    <w:uiPriority w:val="0"/>
    <w:rPr>
      <w:rFonts w:hint="eastAsia" w:ascii="宋体" w:hAnsi="宋体" w:eastAsia="宋体" w:cs="宋体"/>
      <w:color w:val="FF0000"/>
      <w:sz w:val="20"/>
      <w:szCs w:val="20"/>
      <w:u w:val="none"/>
    </w:rPr>
  </w:style>
  <w:style w:type="character" w:customStyle="1" w:styleId="30">
    <w:name w:val="font101"/>
    <w:basedOn w:val="20"/>
    <w:qFormat/>
    <w:uiPriority w:val="0"/>
    <w:rPr>
      <w:rFonts w:ascii="Arial" w:hAnsi="Arial" w:cs="Arial"/>
      <w:color w:val="000000"/>
      <w:sz w:val="20"/>
      <w:szCs w:val="20"/>
      <w:u w:val="none"/>
    </w:rPr>
  </w:style>
  <w:style w:type="character" w:customStyle="1" w:styleId="31">
    <w:name w:val="font112"/>
    <w:basedOn w:val="20"/>
    <w:qFormat/>
    <w:uiPriority w:val="0"/>
    <w:rPr>
      <w:rFonts w:ascii="仿宋_GB2312" w:eastAsia="仿宋_GB2312" w:cs="仿宋_GB2312"/>
      <w:color w:val="000000"/>
      <w:sz w:val="20"/>
      <w:szCs w:val="20"/>
      <w:u w:val="none"/>
    </w:rPr>
  </w:style>
  <w:style w:type="character" w:customStyle="1" w:styleId="32">
    <w:name w:val="font91"/>
    <w:basedOn w:val="20"/>
    <w:qFormat/>
    <w:uiPriority w:val="0"/>
    <w:rPr>
      <w:rFonts w:hint="eastAsia" w:ascii="宋体" w:hAnsi="宋体" w:eastAsia="宋体" w:cs="宋体"/>
      <w:color w:val="000000"/>
      <w:sz w:val="20"/>
      <w:szCs w:val="20"/>
      <w:u w:val="none"/>
    </w:rPr>
  </w:style>
  <w:style w:type="character" w:customStyle="1" w:styleId="33">
    <w:name w:val="font121"/>
    <w:basedOn w:val="20"/>
    <w:qFormat/>
    <w:uiPriority w:val="0"/>
    <w:rPr>
      <w:rFonts w:hint="eastAsia" w:ascii="宋体" w:hAnsi="宋体" w:eastAsia="宋体" w:cs="宋体"/>
      <w:color w:val="FF0000"/>
      <w:sz w:val="20"/>
      <w:szCs w:val="20"/>
      <w:u w:val="none"/>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报告正文格式"/>
    <w:basedOn w:val="1"/>
    <w:qFormat/>
    <w:uiPriority w:val="0"/>
    <w:rPr>
      <w:rFonts w:hint="eastAsia"/>
    </w:rPr>
  </w:style>
  <w:style w:type="character" w:customStyle="1" w:styleId="36">
    <w:name w:val="font61"/>
    <w:basedOn w:val="20"/>
    <w:qFormat/>
    <w:uiPriority w:val="0"/>
    <w:rPr>
      <w:rFonts w:hint="eastAsia" w:ascii="宋体" w:hAnsi="宋体" w:eastAsia="宋体" w:cs="宋体"/>
      <w:color w:val="auto"/>
      <w:sz w:val="22"/>
      <w:szCs w:val="22"/>
      <w:u w:val="none"/>
    </w:rPr>
  </w:style>
  <w:style w:type="character" w:customStyle="1" w:styleId="37">
    <w:name w:val="批注框文本 字符"/>
    <w:basedOn w:val="20"/>
    <w:link w:val="10"/>
    <w:qFormat/>
    <w:uiPriority w:val="0"/>
    <w:rPr>
      <w:kern w:val="2"/>
      <w:sz w:val="18"/>
      <w:szCs w:val="18"/>
    </w:rPr>
  </w:style>
  <w:style w:type="character" w:customStyle="1" w:styleId="38">
    <w:name w:val="页脚 字符"/>
    <w:basedOn w:val="20"/>
    <w:link w:val="11"/>
    <w:qFormat/>
    <w:uiPriority w:val="99"/>
    <w:rPr>
      <w:rFonts w:eastAsia="仿宋_GB2312"/>
      <w:kern w:val="2"/>
      <w:sz w:val="18"/>
      <w:szCs w:val="18"/>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13800</Words>
  <Characters>16976</Characters>
  <Lines>1886</Lines>
  <Paragraphs>2198</Paragraphs>
  <TotalTime>438</TotalTime>
  <ScaleCrop>false</ScaleCrop>
  <LinksUpToDate>false</LinksUpToDate>
  <CharactersWithSpaces>28578</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2025-06-23T21:07:00Z</dcterms:created>
  <dc:creator>yubin</dc:creator>
  <cp:lastModifiedBy>李慧萍</cp:lastModifiedBy>
  <cp:lastPrinted>2024-10-15T01:24:00Z</cp:lastPrinted>
  <dcterms:modified xsi:type="dcterms:W3CDTF">2025-10-30T11:18:42Z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B3376BC9235888D89DE299661A41CB69</vt:lpwstr>
  </property>
  <property fmtid="{D5CDD505-2E9C-101B-9397-08002B2CF9AE}" pid="3" name="KSOProductBuildVer">
    <vt:lpwstr>2052-11.8.2.11961</vt:lpwstr>
  </property>
  <property fmtid="{D5CDD505-2E9C-101B-9397-08002B2CF9AE}" pid="4" name="KSOTemplateDocerSaveRecord">
    <vt:lpwstr>eyJoZGlkIjoiMDZmMGM4YjJiZWVhOGViOGQ1ZWMwNDhjZjkxYTNmM2MiLCJ1c2VySWQiOiIyMTEzMTU2NzMifQ==</vt:lpwstr>
  </property>
</Properties>
</file>