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3341B">
      <w:pPr>
        <w:jc w:val="left"/>
        <w:rPr>
          <w:rFonts w:hint="eastAsia" w:ascii="宋体" w:hAnsi="宋体" w:eastAsia="宋体"/>
          <w:sz w:val="24"/>
        </w:rPr>
      </w:pPr>
      <w:r>
        <w:rPr>
          <w:rFonts w:hint="eastAsia" w:ascii="宋体" w:hAnsi="宋体" w:eastAsia="宋体"/>
          <w:sz w:val="24"/>
        </w:rPr>
        <w:t>附件</w:t>
      </w:r>
      <w:r>
        <w:rPr>
          <w:rFonts w:hint="eastAsia" w:ascii="宋体" w:hAnsi="宋体" w:eastAsia="宋体"/>
          <w:sz w:val="24"/>
          <w:lang w:val="en-US" w:eastAsia="zh-CN"/>
        </w:rPr>
        <w:t>2</w:t>
      </w:r>
      <w:r>
        <w:rPr>
          <w:rFonts w:hint="eastAsia" w:ascii="宋体" w:hAnsi="宋体" w:eastAsia="宋体"/>
          <w:sz w:val="24"/>
        </w:rPr>
        <w:t>：</w:t>
      </w:r>
    </w:p>
    <w:p w14:paraId="0086811D">
      <w:pPr>
        <w:spacing w:line="500" w:lineRule="exact"/>
        <w:jc w:val="center"/>
        <w:rPr>
          <w:rFonts w:hint="eastAsia" w:ascii="方正小标宋简体" w:hAnsi="华文仿宋" w:eastAsia="方正小标宋简体"/>
          <w:sz w:val="36"/>
          <w:szCs w:val="36"/>
          <w:highlight w:val="none"/>
        </w:rPr>
      </w:pPr>
      <w:r>
        <w:rPr>
          <w:rFonts w:hint="eastAsia" w:ascii="方正小标宋简体" w:hAnsi="华文仿宋" w:eastAsia="方正小标宋简体"/>
          <w:sz w:val="36"/>
          <w:szCs w:val="36"/>
          <w:highlight w:val="none"/>
          <w:lang w:val="en-US" w:eastAsia="zh-CN"/>
        </w:rPr>
        <w:t>S276线K111+000-K112+426玄山路段次差路整治工程施工单位采购</w:t>
      </w:r>
      <w:r>
        <w:rPr>
          <w:rFonts w:hint="eastAsia" w:ascii="方正小标宋简体" w:hAnsi="华文仿宋" w:eastAsia="方正小标宋简体"/>
          <w:sz w:val="36"/>
          <w:szCs w:val="36"/>
          <w:highlight w:val="none"/>
        </w:rPr>
        <w:t>评分标准</w:t>
      </w:r>
    </w:p>
    <w:p w14:paraId="00DF0794">
      <w:pPr>
        <w:spacing w:line="360" w:lineRule="auto"/>
        <w:ind w:firstLine="480" w:firstLineChars="200"/>
        <w:rPr>
          <w:rFonts w:hint="eastAsia" w:ascii="宋体" w:hAnsi="宋体" w:eastAsia="宋体" w:cs="宋体"/>
          <w:sz w:val="24"/>
          <w:highlight w:val="none"/>
        </w:rPr>
      </w:pPr>
    </w:p>
    <w:p w14:paraId="254C9FC1">
      <w:pPr>
        <w:numPr>
          <w:ilvl w:val="0"/>
          <w:numId w:val="1"/>
        </w:numPr>
        <w:spacing w:line="240" w:lineRule="auto"/>
        <w:rPr>
          <w:rFonts w:hint="eastAsia" w:ascii="宋体" w:hAnsi="宋体" w:eastAsia="宋体" w:cs="宋体"/>
          <w:b/>
          <w:bCs/>
          <w:sz w:val="24"/>
        </w:rPr>
      </w:pPr>
      <w:r>
        <w:rPr>
          <w:rFonts w:hint="eastAsia" w:ascii="宋体" w:hAnsi="宋体" w:eastAsia="宋体" w:cs="宋体"/>
          <w:b/>
          <w:bCs/>
          <w:sz w:val="24"/>
        </w:rPr>
        <w:t>评分选取方式</w:t>
      </w:r>
    </w:p>
    <w:p w14:paraId="6AAC2449">
      <w:pPr>
        <w:numPr>
          <w:numId w:val="0"/>
        </w:numPr>
        <w:spacing w:line="240" w:lineRule="auto"/>
        <w:rPr>
          <w:rFonts w:hint="eastAsia" w:ascii="宋体" w:hAnsi="宋体" w:eastAsia="宋体" w:cs="宋体"/>
          <w:sz w:val="24"/>
        </w:rPr>
      </w:pPr>
    </w:p>
    <w:p w14:paraId="62BF08E3">
      <w:pPr>
        <w:spacing w:line="360" w:lineRule="auto"/>
        <w:ind w:firstLine="480" w:firstLineChars="200"/>
        <w:rPr>
          <w:rFonts w:ascii="宋体" w:hAnsi="宋体" w:eastAsia="宋体" w:cs="宋体"/>
          <w:sz w:val="24"/>
        </w:rPr>
      </w:pPr>
      <w:r>
        <w:rPr>
          <w:rFonts w:hint="eastAsia" w:ascii="宋体" w:hAnsi="宋体" w:eastAsia="宋体" w:cs="宋体"/>
          <w:sz w:val="24"/>
        </w:rPr>
        <w:t>本次采购采用【自行采购的综合选取】的方式确定中选单位。评分小组先对报名的</w:t>
      </w:r>
      <w:r>
        <w:rPr>
          <w:rFonts w:hint="eastAsia" w:ascii="宋体" w:hAnsi="宋体" w:eastAsia="宋体" w:cs="宋体"/>
          <w:sz w:val="24"/>
          <w:lang w:eastAsia="zh-CN"/>
        </w:rPr>
        <w:t>报价单位</w:t>
      </w:r>
      <w:r>
        <w:rPr>
          <w:rFonts w:hint="eastAsia" w:ascii="宋体" w:hAnsi="宋体" w:eastAsia="宋体" w:cs="宋体"/>
          <w:sz w:val="24"/>
        </w:rPr>
        <w:t>进行初步评审；然后对满足初步评审要求的</w:t>
      </w:r>
      <w:r>
        <w:rPr>
          <w:rFonts w:hint="eastAsia" w:ascii="宋体" w:hAnsi="宋体" w:eastAsia="宋体" w:cs="宋体"/>
          <w:sz w:val="24"/>
          <w:lang w:eastAsia="zh-CN"/>
        </w:rPr>
        <w:t>报价单位</w:t>
      </w:r>
      <w:r>
        <w:rPr>
          <w:rFonts w:hint="eastAsia" w:ascii="宋体" w:hAnsi="宋体" w:eastAsia="宋体" w:cs="宋体"/>
          <w:sz w:val="24"/>
        </w:rPr>
        <w:t>，按照详细评审规定的评分标准进行打分。</w:t>
      </w:r>
    </w:p>
    <w:p w14:paraId="4B5DA618">
      <w:pPr>
        <w:spacing w:line="360" w:lineRule="auto"/>
        <w:ind w:firstLine="480" w:firstLineChars="200"/>
        <w:rPr>
          <w:rFonts w:ascii="宋体" w:hAnsi="宋体" w:eastAsia="宋体" w:cs="宋体"/>
          <w:sz w:val="24"/>
        </w:rPr>
      </w:pPr>
      <w:r>
        <w:rPr>
          <w:rFonts w:hint="eastAsia" w:ascii="宋体" w:hAnsi="宋体" w:eastAsia="宋体" w:cs="宋体"/>
          <w:sz w:val="24"/>
        </w:rPr>
        <w:t>评分小组成员对</w:t>
      </w:r>
      <w:r>
        <w:rPr>
          <w:rFonts w:hint="eastAsia" w:ascii="宋体" w:hAnsi="宋体" w:eastAsia="宋体" w:cs="宋体"/>
          <w:sz w:val="24"/>
          <w:lang w:eastAsia="zh-CN"/>
        </w:rPr>
        <w:t>报价单位</w:t>
      </w:r>
      <w:r>
        <w:rPr>
          <w:rFonts w:hint="eastAsia" w:ascii="宋体" w:hAnsi="宋体" w:eastAsia="宋体" w:cs="宋体"/>
          <w:sz w:val="24"/>
        </w:rPr>
        <w:t>的详细评审各评审因素进行评分，计算出各评审因素的算术平均值后合计总和作为该</w:t>
      </w:r>
      <w:r>
        <w:rPr>
          <w:rFonts w:hint="eastAsia" w:ascii="宋体" w:hAnsi="宋体" w:eastAsia="宋体" w:cs="宋体"/>
          <w:sz w:val="24"/>
          <w:lang w:eastAsia="zh-CN"/>
        </w:rPr>
        <w:t>报价单位</w:t>
      </w:r>
      <w:r>
        <w:rPr>
          <w:rFonts w:hint="eastAsia" w:ascii="宋体" w:hAnsi="宋体" w:eastAsia="宋体" w:cs="宋体"/>
          <w:sz w:val="24"/>
        </w:rPr>
        <w:t>的得分，并按得分由高到低顺序推荐中选机构。</w:t>
      </w:r>
    </w:p>
    <w:p w14:paraId="128905DA">
      <w:pPr>
        <w:spacing w:line="360" w:lineRule="auto"/>
        <w:ind w:firstLine="480" w:firstLineChars="200"/>
        <w:rPr>
          <w:rFonts w:hint="eastAsia" w:ascii="宋体" w:hAnsi="宋体" w:eastAsia="宋体" w:cs="宋体"/>
          <w:sz w:val="24"/>
        </w:rPr>
      </w:pPr>
      <w:r>
        <w:rPr>
          <w:rFonts w:hint="eastAsia" w:ascii="宋体" w:hAnsi="宋体" w:eastAsia="宋体"/>
          <w:sz w:val="24"/>
        </w:rPr>
        <w:t>如有两家或以上</w:t>
      </w:r>
      <w:r>
        <w:rPr>
          <w:rFonts w:hint="eastAsia" w:ascii="宋体" w:hAnsi="宋体" w:eastAsia="宋体"/>
          <w:sz w:val="24"/>
          <w:lang w:eastAsia="zh-CN"/>
        </w:rPr>
        <w:t>报价单位</w:t>
      </w:r>
      <w:r>
        <w:rPr>
          <w:rFonts w:hint="eastAsia" w:ascii="宋体" w:hAnsi="宋体" w:eastAsia="宋体"/>
          <w:sz w:val="24"/>
        </w:rPr>
        <w:t>的综合得分相同且得分均为最高，</w:t>
      </w:r>
      <w:r>
        <w:rPr>
          <w:rFonts w:hint="eastAsia" w:ascii="宋体" w:hAnsi="宋体" w:eastAsia="宋体" w:cs="宋体"/>
          <w:sz w:val="24"/>
        </w:rPr>
        <w:t>评分小组视</w:t>
      </w:r>
      <w:r>
        <w:rPr>
          <w:rFonts w:hint="eastAsia" w:ascii="宋体" w:hAnsi="宋体" w:eastAsia="宋体" w:cs="宋体"/>
          <w:sz w:val="24"/>
          <w:lang w:eastAsia="zh-CN"/>
        </w:rPr>
        <w:t>报价单位</w:t>
      </w:r>
      <w:r>
        <w:rPr>
          <w:rFonts w:hint="eastAsia" w:ascii="宋体" w:hAnsi="宋体" w:eastAsia="宋体" w:cs="宋体"/>
          <w:sz w:val="24"/>
        </w:rPr>
        <w:t>的情况综合比较，投票确定其名次。</w:t>
      </w:r>
    </w:p>
    <w:p w14:paraId="1D66C171">
      <w:pPr>
        <w:spacing w:line="360" w:lineRule="auto"/>
        <w:ind w:firstLine="480" w:firstLineChars="200"/>
        <w:rPr>
          <w:rFonts w:hint="eastAsia" w:ascii="宋体" w:hAnsi="宋体" w:eastAsia="宋体" w:cs="宋体"/>
          <w:sz w:val="24"/>
        </w:rPr>
      </w:pPr>
    </w:p>
    <w:p w14:paraId="51E21F43">
      <w:pPr>
        <w:numPr>
          <w:ilvl w:val="0"/>
          <w:numId w:val="2"/>
        </w:numPr>
        <w:spacing w:line="400" w:lineRule="exact"/>
        <w:ind w:left="-640" w:leftChars="-200" w:right="-476" w:rightChars="-149" w:firstLine="720" w:firstLineChars="300"/>
        <w:rPr>
          <w:rFonts w:hint="eastAsia" w:ascii="宋体" w:hAnsi="宋体" w:eastAsia="宋体" w:cs="宋体"/>
          <w:b/>
          <w:bCs/>
          <w:sz w:val="24"/>
        </w:rPr>
      </w:pPr>
      <w:r>
        <w:rPr>
          <w:rFonts w:hint="eastAsia" w:ascii="宋体" w:hAnsi="宋体" w:eastAsia="宋体" w:cs="宋体"/>
          <w:b/>
          <w:bCs/>
          <w:sz w:val="24"/>
        </w:rPr>
        <w:t>初步评审</w:t>
      </w:r>
    </w:p>
    <w:p w14:paraId="1C89BA21">
      <w:pPr>
        <w:numPr>
          <w:numId w:val="0"/>
        </w:numPr>
        <w:spacing w:line="400" w:lineRule="exact"/>
        <w:ind w:leftChars="100" w:right="-476" w:rightChars="-149"/>
        <w:rPr>
          <w:rFonts w:hint="eastAsia" w:ascii="宋体" w:hAnsi="宋体" w:eastAsia="宋体" w:cs="宋体"/>
          <w:sz w:val="24"/>
        </w:rPr>
      </w:pPr>
    </w:p>
    <w:tbl>
      <w:tblPr>
        <w:tblStyle w:val="4"/>
        <w:tblW w:w="95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4"/>
        <w:gridCol w:w="7227"/>
      </w:tblGrid>
      <w:tr w14:paraId="3BD1A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2324" w:type="dxa"/>
            <w:noWrap w:val="0"/>
            <w:vAlign w:val="center"/>
          </w:tcPr>
          <w:p w14:paraId="0A765BFC">
            <w:pPr>
              <w:spacing w:line="400" w:lineRule="exact"/>
              <w:jc w:val="center"/>
              <w:rPr>
                <w:rFonts w:ascii="宋体" w:hAnsi="宋体" w:eastAsia="宋体" w:cs="宋体"/>
                <w:b/>
                <w:sz w:val="24"/>
              </w:rPr>
            </w:pPr>
            <w:r>
              <w:rPr>
                <w:rFonts w:hint="eastAsia" w:ascii="宋体" w:hAnsi="宋体" w:eastAsia="宋体" w:cs="宋体"/>
                <w:b/>
                <w:sz w:val="24"/>
              </w:rPr>
              <w:t>评审因素</w:t>
            </w:r>
          </w:p>
        </w:tc>
        <w:tc>
          <w:tcPr>
            <w:tcW w:w="7227" w:type="dxa"/>
            <w:noWrap w:val="0"/>
            <w:vAlign w:val="center"/>
          </w:tcPr>
          <w:p w14:paraId="2F0CDCEF">
            <w:pPr>
              <w:spacing w:line="400" w:lineRule="exact"/>
              <w:jc w:val="center"/>
              <w:rPr>
                <w:rFonts w:ascii="宋体" w:hAnsi="宋体" w:eastAsia="宋体" w:cs="宋体"/>
                <w:sz w:val="24"/>
              </w:rPr>
            </w:pPr>
            <w:r>
              <w:rPr>
                <w:rFonts w:hint="eastAsia" w:ascii="宋体" w:hAnsi="宋体" w:eastAsia="宋体" w:cs="宋体"/>
                <w:b/>
                <w:sz w:val="24"/>
              </w:rPr>
              <w:t>评分标准</w:t>
            </w:r>
          </w:p>
        </w:tc>
      </w:tr>
      <w:tr w14:paraId="52EEF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2324" w:type="dxa"/>
            <w:noWrap w:val="0"/>
            <w:vAlign w:val="center"/>
          </w:tcPr>
          <w:p w14:paraId="008675E2">
            <w:pPr>
              <w:spacing w:line="400" w:lineRule="exact"/>
              <w:jc w:val="center"/>
              <w:rPr>
                <w:rFonts w:ascii="宋体" w:hAnsi="宋体" w:eastAsia="宋体" w:cs="宋体"/>
                <w:sz w:val="24"/>
              </w:rPr>
            </w:pPr>
            <w:r>
              <w:rPr>
                <w:rFonts w:hint="eastAsia" w:ascii="宋体" w:hAnsi="宋体" w:eastAsia="宋体" w:cs="宋体"/>
                <w:sz w:val="24"/>
              </w:rPr>
              <w:t>资质</w:t>
            </w:r>
          </w:p>
        </w:tc>
        <w:tc>
          <w:tcPr>
            <w:tcW w:w="7227" w:type="dxa"/>
            <w:noWrap w:val="0"/>
            <w:vAlign w:val="center"/>
          </w:tcPr>
          <w:p w14:paraId="6DABF44B">
            <w:pPr>
              <w:numPr>
                <w:ilvl w:val="0"/>
                <w:numId w:val="3"/>
              </w:numPr>
              <w:spacing w:line="360" w:lineRule="auto"/>
              <w:rPr>
                <w:rFonts w:hint="eastAsia" w:ascii="宋体" w:hAnsi="宋体" w:eastAsia="宋体" w:cs="宋体"/>
                <w:sz w:val="24"/>
                <w:highlight w:val="none"/>
              </w:rPr>
            </w:pPr>
            <w:r>
              <w:rPr>
                <w:rFonts w:hint="eastAsia" w:ascii="宋体" w:hAnsi="宋体" w:eastAsia="宋体" w:cs="宋体"/>
                <w:sz w:val="24"/>
                <w:highlight w:val="none"/>
              </w:rPr>
              <w:t>在中华人民共和国境内依法注册的具有合法经营资格的独立法人；</w:t>
            </w:r>
          </w:p>
          <w:p w14:paraId="1D5C0768">
            <w:pPr>
              <w:pStyle w:val="2"/>
              <w:spacing w:line="360" w:lineRule="auto"/>
              <w:rPr>
                <w:highlight w:val="none"/>
              </w:rPr>
            </w:pPr>
            <w:r>
              <w:rPr>
                <w:rFonts w:hint="eastAsia" w:hAnsi="宋体"/>
                <w:sz w:val="24"/>
                <w:szCs w:val="24"/>
                <w:highlight w:val="none"/>
              </w:rPr>
              <w:t>（2）具有独立承担民事责任及履行合同的能力</w:t>
            </w:r>
            <w:r>
              <w:rPr>
                <w:rFonts w:hint="eastAsia" w:hAnsi="宋体"/>
                <w:sz w:val="24"/>
                <w:szCs w:val="24"/>
                <w:highlight w:val="none"/>
                <w:lang w:eastAsia="zh-CN"/>
              </w:rPr>
              <w:t>；</w:t>
            </w:r>
          </w:p>
          <w:p w14:paraId="21C3C053">
            <w:pPr>
              <w:spacing w:line="360" w:lineRule="auto"/>
              <w:rPr>
                <w:rFonts w:hAnsi="宋体"/>
                <w:sz w:val="24"/>
                <w:szCs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3</w:t>
            </w:r>
            <w:r>
              <w:rPr>
                <w:rFonts w:hint="eastAsia" w:ascii="宋体" w:hAnsi="宋体" w:eastAsia="宋体" w:cs="Times New Roman"/>
                <w:kern w:val="0"/>
                <w:sz w:val="24"/>
                <w:szCs w:val="24"/>
                <w:highlight w:val="none"/>
                <w:lang w:val="en-US" w:eastAsia="zh-CN" w:bidi="ar-SA"/>
              </w:rPr>
              <w:t>）</w:t>
            </w:r>
            <w:r>
              <w:rPr>
                <w:rFonts w:hint="default" w:ascii="宋体" w:hAnsi="宋体" w:eastAsia="宋体" w:cs="Times New Roman"/>
                <w:kern w:val="0"/>
                <w:sz w:val="24"/>
                <w:szCs w:val="24"/>
                <w:highlight w:val="none"/>
                <w:lang w:val="en-US" w:eastAsia="zh-CN" w:bidi="ar-SA"/>
              </w:rPr>
              <w:t>具有</w:t>
            </w:r>
            <w:r>
              <w:rPr>
                <w:rFonts w:hint="eastAsia" w:ascii="宋体" w:hAnsi="宋体" w:eastAsia="宋体" w:cs="Times New Roman"/>
                <w:kern w:val="0"/>
                <w:sz w:val="24"/>
                <w:szCs w:val="24"/>
                <w:highlight w:val="none"/>
                <w:lang w:val="en-US" w:eastAsia="zh-CN" w:bidi="ar-SA"/>
              </w:rPr>
              <w:t>相关公路工程施工营业范围</w:t>
            </w:r>
            <w:r>
              <w:rPr>
                <w:rFonts w:hint="eastAsia" w:ascii="宋体" w:hAnsi="宋体" w:eastAsia="宋体" w:cs="宋体"/>
                <w:sz w:val="24"/>
                <w:highlight w:val="none"/>
              </w:rPr>
              <w:t>；</w:t>
            </w:r>
          </w:p>
        </w:tc>
      </w:tr>
      <w:tr w14:paraId="40F7B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2324" w:type="dxa"/>
            <w:noWrap w:val="0"/>
            <w:vAlign w:val="center"/>
          </w:tcPr>
          <w:p w14:paraId="6B059D7F">
            <w:pPr>
              <w:spacing w:line="400" w:lineRule="exact"/>
              <w:jc w:val="center"/>
              <w:rPr>
                <w:rFonts w:ascii="宋体" w:hAnsi="宋体" w:eastAsia="宋体" w:cs="宋体"/>
                <w:sz w:val="24"/>
              </w:rPr>
            </w:pPr>
            <w:r>
              <w:rPr>
                <w:rFonts w:hint="eastAsia" w:ascii="宋体" w:hAnsi="宋体" w:eastAsia="宋体" w:cs="宋体"/>
                <w:sz w:val="24"/>
              </w:rPr>
              <w:t>信用</w:t>
            </w:r>
          </w:p>
        </w:tc>
        <w:tc>
          <w:tcPr>
            <w:tcW w:w="7227" w:type="dxa"/>
            <w:noWrap w:val="0"/>
            <w:vAlign w:val="center"/>
          </w:tcPr>
          <w:p w14:paraId="3BE372ED">
            <w:pPr>
              <w:spacing w:line="400" w:lineRule="exact"/>
              <w:rPr>
                <w:rFonts w:ascii="宋体" w:hAnsi="宋体" w:eastAsia="宋体" w:cs="宋体"/>
                <w:sz w:val="24"/>
                <w:highlight w:val="none"/>
              </w:rPr>
            </w:pPr>
            <w:r>
              <w:rPr>
                <w:rFonts w:hint="eastAsia" w:ascii="宋体" w:hAnsi="宋体" w:eastAsia="宋体" w:cs="宋体"/>
                <w:sz w:val="24"/>
                <w:highlight w:val="none"/>
              </w:rPr>
              <w:t>（1）报名单位在国家企业信用信息公示系统中未被列入严重违法失信企业名单；</w:t>
            </w:r>
          </w:p>
          <w:p w14:paraId="3BCE97E9">
            <w:pPr>
              <w:spacing w:line="400" w:lineRule="exact"/>
              <w:rPr>
                <w:rFonts w:hint="eastAsia" w:ascii="宋体" w:hAnsi="宋体" w:eastAsia="宋体" w:cs="宋体"/>
                <w:sz w:val="24"/>
                <w:highlight w:val="none"/>
              </w:rPr>
            </w:pPr>
            <w:r>
              <w:rPr>
                <w:rFonts w:hint="eastAsia" w:ascii="宋体" w:hAnsi="宋体" w:eastAsia="宋体" w:cs="宋体"/>
                <w:sz w:val="24"/>
                <w:highlight w:val="none"/>
              </w:rPr>
              <w:t>（2）报名单位在“信用中国”或地方信用网站的信用信息报告中无不良记录；</w:t>
            </w:r>
          </w:p>
        </w:tc>
      </w:tr>
      <w:tr w14:paraId="393E1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2324" w:type="dxa"/>
            <w:noWrap w:val="0"/>
            <w:vAlign w:val="center"/>
          </w:tcPr>
          <w:p w14:paraId="12FD178D">
            <w:pPr>
              <w:spacing w:line="400" w:lineRule="exact"/>
              <w:jc w:val="center"/>
              <w:rPr>
                <w:rFonts w:ascii="宋体" w:hAnsi="宋体" w:eastAsia="宋体" w:cs="宋体"/>
                <w:sz w:val="24"/>
              </w:rPr>
            </w:pPr>
            <w:r>
              <w:rPr>
                <w:rFonts w:hint="eastAsia" w:ascii="宋体" w:hAnsi="宋体" w:eastAsia="宋体" w:cs="宋体"/>
                <w:sz w:val="24"/>
              </w:rPr>
              <w:t>报价</w:t>
            </w:r>
          </w:p>
        </w:tc>
        <w:tc>
          <w:tcPr>
            <w:tcW w:w="7227" w:type="dxa"/>
            <w:noWrap w:val="0"/>
            <w:vAlign w:val="center"/>
          </w:tcPr>
          <w:p w14:paraId="40EF8395">
            <w:pPr>
              <w:spacing w:line="400" w:lineRule="exact"/>
              <w:rPr>
                <w:rFonts w:ascii="宋体" w:hAnsi="宋体" w:eastAsia="宋体" w:cs="宋体"/>
                <w:sz w:val="24"/>
              </w:rPr>
            </w:pPr>
            <w:r>
              <w:rPr>
                <w:rFonts w:hint="eastAsia" w:ascii="宋体" w:hAnsi="宋体" w:eastAsia="宋体" w:cs="宋体"/>
                <w:sz w:val="24"/>
                <w:lang w:val="en-US" w:eastAsia="zh-CN"/>
              </w:rPr>
              <w:t>报价不超预算金额。</w:t>
            </w:r>
          </w:p>
        </w:tc>
      </w:tr>
    </w:tbl>
    <w:p w14:paraId="2BE651FA">
      <w:pPr>
        <w:pStyle w:val="2"/>
        <w:rPr>
          <w:rFonts w:hAnsi="宋体" w:cs="宋体"/>
          <w:sz w:val="24"/>
          <w:szCs w:val="24"/>
        </w:rPr>
      </w:pPr>
    </w:p>
    <w:p w14:paraId="505D8E91">
      <w:pPr>
        <w:pStyle w:val="2"/>
        <w:rPr>
          <w:rFonts w:hAnsi="宋体" w:cs="宋体"/>
          <w:sz w:val="24"/>
          <w:szCs w:val="24"/>
        </w:rPr>
      </w:pPr>
    </w:p>
    <w:p w14:paraId="4CF95C94">
      <w:pPr>
        <w:pStyle w:val="2"/>
        <w:rPr>
          <w:rFonts w:hAnsi="宋体" w:cs="宋体"/>
          <w:sz w:val="24"/>
          <w:szCs w:val="24"/>
        </w:rPr>
      </w:pPr>
    </w:p>
    <w:p w14:paraId="016426AF">
      <w:pPr>
        <w:pStyle w:val="2"/>
        <w:rPr>
          <w:rFonts w:hAnsi="宋体" w:cs="宋体"/>
          <w:sz w:val="24"/>
          <w:szCs w:val="24"/>
        </w:rPr>
      </w:pPr>
    </w:p>
    <w:p w14:paraId="0078CC21">
      <w:pPr>
        <w:keepNext w:val="0"/>
        <w:keepLines w:val="0"/>
        <w:pageBreakBefore w:val="0"/>
        <w:widowControl w:val="0"/>
        <w:numPr>
          <w:ilvl w:val="0"/>
          <w:numId w:val="4"/>
        </w:numPr>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b/>
          <w:bCs/>
          <w:sz w:val="24"/>
        </w:rPr>
      </w:pPr>
      <w:r>
        <w:rPr>
          <w:rFonts w:hint="eastAsia" w:ascii="宋体" w:hAnsi="宋体" w:eastAsia="宋体" w:cs="宋体"/>
          <w:b/>
          <w:bCs/>
          <w:sz w:val="24"/>
        </w:rPr>
        <w:t>详细评审</w:t>
      </w:r>
      <w:bookmarkStart w:id="0" w:name="_GoBack"/>
      <w:bookmarkEnd w:id="0"/>
    </w:p>
    <w:tbl>
      <w:tblPr>
        <w:tblStyle w:val="6"/>
        <w:tblpPr w:leftFromText="180" w:rightFromText="180" w:vertAnchor="text" w:horzAnchor="page" w:tblpX="1390" w:tblpY="379"/>
        <w:tblOverlap w:val="never"/>
        <w:tblW w:w="898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6"/>
        <w:gridCol w:w="1129"/>
        <w:gridCol w:w="7080"/>
      </w:tblGrid>
      <w:tr w14:paraId="6A65F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1905" w:type="dxa"/>
            <w:gridSpan w:val="2"/>
            <w:noWrap w:val="0"/>
            <w:vAlign w:val="center"/>
          </w:tcPr>
          <w:p w14:paraId="023E6EE1">
            <w:pPr>
              <w:spacing w:line="400" w:lineRule="exact"/>
              <w:rPr>
                <w:rFonts w:hint="default" w:ascii="宋体" w:hAnsi="宋体" w:eastAsia="宋体" w:cs="宋体"/>
                <w:sz w:val="24"/>
                <w:lang w:val="en-US" w:eastAsia="zh-CN"/>
              </w:rPr>
            </w:pPr>
            <w:r>
              <w:rPr>
                <w:rFonts w:hint="eastAsia" w:ascii="宋体" w:hAnsi="宋体" w:eastAsia="宋体" w:cs="宋体"/>
                <w:sz w:val="24"/>
              </w:rPr>
              <w:t>分值构成</w:t>
            </w:r>
            <w:r>
              <w:rPr>
                <w:rFonts w:hint="eastAsia" w:ascii="宋体" w:hAnsi="宋体" w:eastAsia="宋体" w:cs="宋体"/>
                <w:sz w:val="24"/>
                <w:lang w:eastAsia="zh-CN"/>
              </w:rPr>
              <w:t>（</w:t>
            </w:r>
            <w:r>
              <w:rPr>
                <w:rFonts w:hint="eastAsia" w:ascii="宋体" w:hAnsi="宋体" w:eastAsia="宋体" w:cs="宋体"/>
                <w:sz w:val="24"/>
                <w:lang w:val="en-US" w:eastAsia="zh-CN"/>
              </w:rPr>
              <w:t>满分100分）</w:t>
            </w:r>
          </w:p>
        </w:tc>
        <w:tc>
          <w:tcPr>
            <w:tcW w:w="7080" w:type="dxa"/>
            <w:noWrap w:val="0"/>
            <w:vAlign w:val="center"/>
          </w:tcPr>
          <w:p w14:paraId="645D1D4C">
            <w:pPr>
              <w:spacing w:line="400" w:lineRule="exact"/>
              <w:rPr>
                <w:rFonts w:hint="eastAsia" w:ascii="宋体" w:hAnsi="宋体" w:eastAsia="宋体" w:cs="宋体"/>
                <w:sz w:val="24"/>
                <w:lang w:eastAsia="zh-CN"/>
              </w:rPr>
            </w:pPr>
            <w:r>
              <w:rPr>
                <w:rFonts w:hint="eastAsia" w:ascii="宋体" w:hAnsi="宋体" w:eastAsia="宋体" w:cs="宋体"/>
                <w:sz w:val="24"/>
              </w:rPr>
              <w:t>商务部分：</w:t>
            </w:r>
            <w:r>
              <w:rPr>
                <w:rFonts w:hint="eastAsia" w:ascii="宋体" w:hAnsi="宋体" w:eastAsia="宋体" w:cs="宋体"/>
                <w:sz w:val="24"/>
                <w:lang w:val="en-US" w:eastAsia="zh-CN"/>
              </w:rPr>
              <w:t>30</w:t>
            </w:r>
            <w:r>
              <w:rPr>
                <w:rFonts w:hint="eastAsia" w:ascii="宋体" w:hAnsi="宋体" w:eastAsia="宋体" w:cs="宋体"/>
                <w:sz w:val="24"/>
              </w:rPr>
              <w:t xml:space="preserve"> 分</w:t>
            </w:r>
            <w:r>
              <w:rPr>
                <w:rFonts w:hint="eastAsia" w:ascii="宋体" w:hAnsi="宋体" w:eastAsia="宋体" w:cs="宋体"/>
                <w:sz w:val="24"/>
                <w:lang w:eastAsia="zh-CN"/>
              </w:rPr>
              <w:t>；</w:t>
            </w:r>
            <w:r>
              <w:rPr>
                <w:rFonts w:hint="eastAsia" w:ascii="宋体" w:hAnsi="宋体" w:eastAsia="宋体" w:cs="宋体"/>
                <w:sz w:val="24"/>
              </w:rPr>
              <w:t>技术部分：</w:t>
            </w:r>
            <w:r>
              <w:rPr>
                <w:rFonts w:hint="eastAsia" w:ascii="宋体" w:hAnsi="宋体" w:eastAsia="宋体" w:cs="宋体"/>
                <w:sz w:val="24"/>
                <w:lang w:val="en-US" w:eastAsia="zh-CN"/>
              </w:rPr>
              <w:t>50</w:t>
            </w:r>
            <w:r>
              <w:rPr>
                <w:rFonts w:hint="eastAsia" w:ascii="宋体" w:hAnsi="宋体" w:eastAsia="宋体" w:cs="宋体"/>
                <w:sz w:val="24"/>
              </w:rPr>
              <w:t xml:space="preserve"> 分</w:t>
            </w:r>
            <w:r>
              <w:rPr>
                <w:rFonts w:hint="eastAsia" w:ascii="宋体" w:hAnsi="宋体" w:eastAsia="宋体" w:cs="宋体"/>
                <w:sz w:val="24"/>
                <w:lang w:eastAsia="zh-CN"/>
              </w:rPr>
              <w:t>；</w:t>
            </w:r>
            <w:r>
              <w:rPr>
                <w:rFonts w:hint="eastAsia" w:ascii="宋体" w:hAnsi="宋体" w:eastAsia="宋体" w:cs="宋体"/>
                <w:sz w:val="24"/>
              </w:rPr>
              <w:t>报价部分：</w:t>
            </w:r>
            <w:r>
              <w:rPr>
                <w:rFonts w:hint="eastAsia" w:ascii="宋体" w:hAnsi="宋体" w:eastAsia="宋体" w:cs="宋体"/>
                <w:sz w:val="24"/>
                <w:lang w:val="en-US" w:eastAsia="zh-CN"/>
              </w:rPr>
              <w:t>20</w:t>
            </w:r>
            <w:r>
              <w:rPr>
                <w:rFonts w:hint="eastAsia" w:ascii="宋体" w:hAnsi="宋体" w:eastAsia="宋体" w:cs="宋体"/>
                <w:sz w:val="24"/>
              </w:rPr>
              <w:t>分</w:t>
            </w:r>
            <w:r>
              <w:rPr>
                <w:rFonts w:hint="eastAsia" w:ascii="宋体" w:hAnsi="宋体" w:eastAsia="宋体" w:cs="宋体"/>
                <w:sz w:val="24"/>
                <w:lang w:eastAsia="zh-CN"/>
              </w:rPr>
              <w:t>。</w:t>
            </w:r>
          </w:p>
        </w:tc>
      </w:tr>
      <w:tr w14:paraId="2E78D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776" w:type="dxa"/>
            <w:noWrap w:val="0"/>
            <w:vAlign w:val="center"/>
          </w:tcPr>
          <w:p w14:paraId="3441C02D">
            <w:pPr>
              <w:spacing w:line="400" w:lineRule="exact"/>
              <w:rPr>
                <w:rFonts w:hint="eastAsia" w:ascii="宋体" w:hAnsi="宋体" w:eastAsia="宋体" w:cs="宋体"/>
                <w:sz w:val="24"/>
              </w:rPr>
            </w:pPr>
            <w:r>
              <w:rPr>
                <w:rFonts w:hint="eastAsia" w:ascii="宋体" w:hAnsi="宋体" w:eastAsia="宋体" w:cs="宋体"/>
                <w:sz w:val="24"/>
              </w:rPr>
              <w:t>类别</w:t>
            </w:r>
          </w:p>
        </w:tc>
        <w:tc>
          <w:tcPr>
            <w:tcW w:w="1129" w:type="dxa"/>
            <w:noWrap w:val="0"/>
            <w:vAlign w:val="center"/>
          </w:tcPr>
          <w:p w14:paraId="582F74A3">
            <w:pPr>
              <w:spacing w:line="400" w:lineRule="exact"/>
              <w:rPr>
                <w:rFonts w:hint="eastAsia" w:ascii="宋体" w:hAnsi="宋体" w:eastAsia="宋体" w:cs="宋体"/>
                <w:sz w:val="24"/>
              </w:rPr>
            </w:pPr>
            <w:r>
              <w:rPr>
                <w:rFonts w:hint="eastAsia" w:ascii="宋体" w:hAnsi="宋体" w:eastAsia="宋体" w:cs="宋体"/>
                <w:sz w:val="24"/>
              </w:rPr>
              <w:t>评分项目</w:t>
            </w:r>
          </w:p>
        </w:tc>
        <w:tc>
          <w:tcPr>
            <w:tcW w:w="7080" w:type="dxa"/>
            <w:noWrap w:val="0"/>
            <w:vAlign w:val="center"/>
          </w:tcPr>
          <w:p w14:paraId="243DB4C2">
            <w:pPr>
              <w:spacing w:line="400" w:lineRule="exact"/>
              <w:rPr>
                <w:rFonts w:hint="eastAsia" w:ascii="宋体" w:hAnsi="宋体" w:eastAsia="宋体" w:cs="宋体"/>
                <w:sz w:val="24"/>
              </w:rPr>
            </w:pPr>
            <w:r>
              <w:rPr>
                <w:rFonts w:hint="eastAsia" w:ascii="宋体" w:hAnsi="宋体" w:eastAsia="宋体" w:cs="宋体"/>
                <w:sz w:val="24"/>
              </w:rPr>
              <w:t>详细评审</w:t>
            </w:r>
          </w:p>
        </w:tc>
      </w:tr>
      <w:tr w14:paraId="0FF63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3" w:hRule="atLeast"/>
        </w:trPr>
        <w:tc>
          <w:tcPr>
            <w:tcW w:w="776" w:type="dxa"/>
            <w:noWrap w:val="0"/>
            <w:vAlign w:val="top"/>
          </w:tcPr>
          <w:p w14:paraId="3365C3FE">
            <w:pPr>
              <w:spacing w:line="400" w:lineRule="exact"/>
              <w:rPr>
                <w:rFonts w:hint="eastAsia" w:ascii="宋体" w:hAnsi="宋体" w:eastAsia="宋体" w:cs="宋体"/>
                <w:sz w:val="24"/>
                <w:lang w:val="en-US" w:eastAsia="zh-CN"/>
              </w:rPr>
            </w:pPr>
            <w:r>
              <w:rPr>
                <w:rFonts w:hint="eastAsia" w:ascii="宋体" w:hAnsi="宋体" w:eastAsia="宋体" w:cs="宋体"/>
                <w:sz w:val="24"/>
                <w:lang w:val="en-US" w:eastAsia="zh-CN"/>
              </w:rPr>
              <w:t>商务 部分 （30</w:t>
            </w:r>
          </w:p>
          <w:p w14:paraId="398ABAD0">
            <w:pPr>
              <w:spacing w:line="400" w:lineRule="exact"/>
              <w:rPr>
                <w:rFonts w:hint="eastAsia" w:ascii="宋体" w:hAnsi="宋体" w:eastAsia="宋体" w:cs="宋体"/>
                <w:sz w:val="24"/>
                <w:lang w:val="en-US" w:eastAsia="zh-CN"/>
              </w:rPr>
            </w:pPr>
            <w:r>
              <w:rPr>
                <w:rFonts w:hint="eastAsia" w:ascii="宋体" w:hAnsi="宋体" w:eastAsia="宋体" w:cs="宋体"/>
                <w:sz w:val="24"/>
                <w:lang w:val="en-US" w:eastAsia="zh-CN"/>
              </w:rPr>
              <w:t>分）</w:t>
            </w:r>
          </w:p>
        </w:tc>
        <w:tc>
          <w:tcPr>
            <w:tcW w:w="1129" w:type="dxa"/>
            <w:noWrap w:val="0"/>
            <w:vAlign w:val="top"/>
          </w:tcPr>
          <w:p w14:paraId="5DB8E7EC">
            <w:pPr>
              <w:spacing w:line="400" w:lineRule="exact"/>
              <w:rPr>
                <w:rFonts w:hint="eastAsia" w:ascii="宋体" w:hAnsi="宋体" w:eastAsia="宋体" w:cs="宋体"/>
                <w:sz w:val="24"/>
                <w:lang w:val="en-US" w:eastAsia="zh-CN"/>
              </w:rPr>
            </w:pPr>
            <w:r>
              <w:rPr>
                <w:rFonts w:hint="eastAsia" w:ascii="宋体" w:hAnsi="宋体" w:eastAsia="宋体" w:cs="宋体"/>
                <w:sz w:val="24"/>
                <w:lang w:val="en-US" w:eastAsia="zh-CN"/>
              </w:rPr>
              <w:t>类似项目业绩（30分)</w:t>
            </w:r>
          </w:p>
        </w:tc>
        <w:tc>
          <w:tcPr>
            <w:tcW w:w="7080" w:type="dxa"/>
            <w:noWrap w:val="0"/>
            <w:vAlign w:val="center"/>
          </w:tcPr>
          <w:p w14:paraId="52A00AA7">
            <w:pPr>
              <w:spacing w:line="400" w:lineRule="exact"/>
              <w:rPr>
                <w:rFonts w:hint="eastAsia" w:ascii="宋体" w:hAnsi="宋体" w:eastAsia="宋体" w:cs="宋体"/>
                <w:sz w:val="24"/>
              </w:rPr>
            </w:pPr>
            <w:r>
              <w:rPr>
                <w:rFonts w:hint="eastAsia" w:ascii="宋体" w:hAnsi="宋体" w:eastAsia="宋体" w:cs="宋体"/>
                <w:sz w:val="24"/>
              </w:rPr>
              <w:t>根据报名单位提供的类似工程业绩，综合比较打分，优：</w:t>
            </w:r>
            <w:r>
              <w:rPr>
                <w:rFonts w:hint="eastAsia" w:ascii="宋体" w:hAnsi="宋体" w:eastAsia="宋体" w:cs="宋体"/>
                <w:sz w:val="24"/>
                <w:lang w:val="en-US" w:eastAsia="zh-CN"/>
              </w:rPr>
              <w:t>20</w:t>
            </w:r>
            <w:r>
              <w:rPr>
                <w:rFonts w:hint="eastAsia" w:ascii="宋体" w:hAnsi="宋体" w:eastAsia="宋体" w:cs="宋体"/>
                <w:sz w:val="24"/>
              </w:rPr>
              <w:t>&lt; 得分 ≤</w:t>
            </w:r>
            <w:r>
              <w:rPr>
                <w:rFonts w:hint="eastAsia" w:ascii="宋体" w:hAnsi="宋体" w:eastAsia="宋体" w:cs="宋体"/>
                <w:sz w:val="24"/>
                <w:lang w:val="en-US" w:eastAsia="zh-CN"/>
              </w:rPr>
              <w:t>3</w:t>
            </w:r>
            <w:r>
              <w:rPr>
                <w:rFonts w:hint="eastAsia" w:ascii="宋体" w:hAnsi="宋体" w:eastAsia="宋体" w:cs="宋体"/>
                <w:sz w:val="24"/>
              </w:rPr>
              <w:t xml:space="preserve">0，良: </w:t>
            </w:r>
            <w:r>
              <w:rPr>
                <w:rFonts w:hint="eastAsia" w:ascii="宋体" w:hAnsi="宋体" w:eastAsia="宋体" w:cs="宋体"/>
                <w:sz w:val="24"/>
                <w:lang w:val="en-US" w:eastAsia="zh-CN"/>
              </w:rPr>
              <w:t>10</w:t>
            </w:r>
            <w:r>
              <w:rPr>
                <w:rFonts w:hint="eastAsia" w:ascii="宋体" w:hAnsi="宋体" w:eastAsia="宋体" w:cs="宋体"/>
                <w:sz w:val="24"/>
              </w:rPr>
              <w:t xml:space="preserve"> &lt; 得分 ≤</w:t>
            </w:r>
            <w:r>
              <w:rPr>
                <w:rFonts w:hint="eastAsia" w:ascii="宋体" w:hAnsi="宋体" w:eastAsia="宋体" w:cs="宋体"/>
                <w:sz w:val="24"/>
                <w:lang w:val="en-US" w:eastAsia="zh-CN"/>
              </w:rPr>
              <w:t>20</w:t>
            </w:r>
            <w:r>
              <w:rPr>
                <w:rFonts w:hint="eastAsia" w:ascii="宋体" w:hAnsi="宋体" w:eastAsia="宋体" w:cs="宋体"/>
                <w:sz w:val="24"/>
              </w:rPr>
              <w:t xml:space="preserve">，一般: 得分 = </w:t>
            </w:r>
            <w:r>
              <w:rPr>
                <w:rFonts w:hint="eastAsia" w:ascii="宋体" w:hAnsi="宋体" w:eastAsia="宋体" w:cs="宋体"/>
                <w:sz w:val="24"/>
                <w:lang w:val="en-US" w:eastAsia="zh-CN"/>
              </w:rPr>
              <w:t>10</w:t>
            </w:r>
            <w:r>
              <w:rPr>
                <w:rFonts w:hint="eastAsia" w:ascii="宋体" w:hAnsi="宋体" w:eastAsia="宋体" w:cs="宋体"/>
                <w:sz w:val="24"/>
              </w:rPr>
              <w:t xml:space="preserve"> ，未提交：0</w:t>
            </w:r>
          </w:p>
          <w:p w14:paraId="7B7B0D92">
            <w:pPr>
              <w:spacing w:line="400" w:lineRule="exact"/>
              <w:rPr>
                <w:rFonts w:hint="eastAsia" w:ascii="宋体" w:hAnsi="宋体" w:eastAsia="宋体" w:cs="宋体"/>
                <w:sz w:val="24"/>
                <w:lang w:val="en-US" w:eastAsia="zh-CN"/>
              </w:rPr>
            </w:pPr>
            <w:r>
              <w:rPr>
                <w:rFonts w:hint="eastAsia" w:ascii="宋体" w:hAnsi="宋体" w:eastAsia="宋体" w:cs="宋体"/>
                <w:sz w:val="24"/>
              </w:rPr>
              <w:t>根据报名单位提供的近</w:t>
            </w:r>
            <w:r>
              <w:rPr>
                <w:rFonts w:hint="eastAsia" w:ascii="宋体" w:hAnsi="宋体" w:eastAsia="宋体" w:cs="宋体"/>
                <w:sz w:val="24"/>
                <w:lang w:val="en-US" w:eastAsia="zh-CN"/>
              </w:rPr>
              <w:t>3</w:t>
            </w:r>
            <w:r>
              <w:rPr>
                <w:rFonts w:hint="eastAsia" w:ascii="宋体" w:hAnsi="宋体" w:eastAsia="宋体" w:cs="宋体"/>
                <w:sz w:val="24"/>
              </w:rPr>
              <w:t>年内同等规模及以上类似工程业绩证明。业绩≥5项为优，5项＞业绩≥3为良，3项＞业绩≥1为一般。（注：业绩须提供中标通知书</w:t>
            </w:r>
            <w:r>
              <w:rPr>
                <w:rFonts w:hint="eastAsia" w:ascii="宋体" w:hAnsi="宋体" w:eastAsia="宋体" w:cs="宋体"/>
                <w:sz w:val="24"/>
                <w:lang w:eastAsia="zh-CN"/>
              </w:rPr>
              <w:t>（</w:t>
            </w:r>
            <w:r>
              <w:rPr>
                <w:rFonts w:hint="eastAsia" w:ascii="宋体" w:hAnsi="宋体" w:eastAsia="宋体" w:cs="宋体"/>
                <w:sz w:val="24"/>
                <w:lang w:val="en-US" w:eastAsia="zh-CN"/>
              </w:rPr>
              <w:t>如有</w:t>
            </w:r>
            <w:r>
              <w:rPr>
                <w:rFonts w:hint="eastAsia" w:ascii="宋体" w:hAnsi="宋体" w:eastAsia="宋体" w:cs="宋体"/>
                <w:sz w:val="24"/>
                <w:lang w:eastAsia="zh-CN"/>
              </w:rPr>
              <w:t>）</w:t>
            </w:r>
            <w:r>
              <w:rPr>
                <w:rFonts w:hint="eastAsia" w:ascii="宋体" w:hAnsi="宋体" w:eastAsia="宋体" w:cs="宋体"/>
                <w:sz w:val="24"/>
              </w:rPr>
              <w:t>、合同协议书关键页</w:t>
            </w:r>
            <w:r>
              <w:rPr>
                <w:rFonts w:hint="eastAsia" w:ascii="宋体" w:hAnsi="宋体" w:eastAsia="宋体" w:cs="宋体"/>
                <w:sz w:val="24"/>
                <w:lang w:eastAsia="zh-CN"/>
              </w:rPr>
              <w:t>、</w:t>
            </w:r>
            <w:r>
              <w:rPr>
                <w:rFonts w:hint="eastAsia" w:ascii="宋体" w:hAnsi="宋体" w:eastAsia="宋体" w:cs="宋体"/>
                <w:sz w:val="24"/>
              </w:rPr>
              <w:t>加盖公章附在</w:t>
            </w:r>
            <w:r>
              <w:rPr>
                <w:rFonts w:hint="eastAsia" w:ascii="宋体" w:hAnsi="宋体" w:eastAsia="宋体" w:cs="宋体"/>
                <w:sz w:val="24"/>
                <w:lang w:val="en-US" w:eastAsia="zh-CN"/>
              </w:rPr>
              <w:t>报价</w:t>
            </w:r>
            <w:r>
              <w:rPr>
                <w:rFonts w:hint="eastAsia" w:ascii="宋体" w:hAnsi="宋体" w:eastAsia="宋体" w:cs="宋体"/>
                <w:sz w:val="24"/>
              </w:rPr>
              <w:t>文件中，以施工合同签订日期为准，不提供不得分。)</w:t>
            </w:r>
          </w:p>
        </w:tc>
      </w:tr>
      <w:tr w14:paraId="55012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2" w:hRule="atLeast"/>
        </w:trPr>
        <w:tc>
          <w:tcPr>
            <w:tcW w:w="776" w:type="dxa"/>
            <w:vMerge w:val="restart"/>
            <w:noWrap w:val="0"/>
            <w:vAlign w:val="top"/>
          </w:tcPr>
          <w:p w14:paraId="6A13A8D6">
            <w:pPr>
              <w:spacing w:line="40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技术部分（50）</w:t>
            </w:r>
          </w:p>
        </w:tc>
        <w:tc>
          <w:tcPr>
            <w:tcW w:w="1129" w:type="dxa"/>
            <w:noWrap w:val="0"/>
            <w:vAlign w:val="top"/>
          </w:tcPr>
          <w:p w14:paraId="2D059B25">
            <w:pPr>
              <w:spacing w:line="40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施工方案及保证措施</w:t>
            </w:r>
          </w:p>
          <w:p w14:paraId="4F33F937">
            <w:pPr>
              <w:spacing w:line="40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(10分)</w:t>
            </w:r>
          </w:p>
        </w:tc>
        <w:tc>
          <w:tcPr>
            <w:tcW w:w="7080" w:type="dxa"/>
            <w:noWrap w:val="0"/>
            <w:vAlign w:val="top"/>
          </w:tcPr>
          <w:p w14:paraId="575F2DDD">
            <w:pPr>
              <w:spacing w:line="40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根据报名单位所提供的项目施工方案及保证措施进行评审: </w:t>
            </w:r>
          </w:p>
          <w:p w14:paraId="617B463D">
            <w:pPr>
              <w:spacing w:line="40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施工方案和保证措施内容详实、完整，叙述清晰且可行、合理，可操作强，得10分；</w:t>
            </w:r>
          </w:p>
          <w:p w14:paraId="291ED0BF">
            <w:pPr>
              <w:spacing w:line="40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施工方案和保证措施较完整，叙述较清晰且有一定可行性， 可操作较强得7分；</w:t>
            </w:r>
          </w:p>
          <w:p w14:paraId="37E40982">
            <w:pPr>
              <w:spacing w:line="40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施工方案和保证措施内容基本完整，叙述基本清晰 ，可操作性一般，得4分； </w:t>
            </w:r>
          </w:p>
          <w:p w14:paraId="14A7D116">
            <w:pPr>
              <w:spacing w:line="40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施工方案和保证措施内容不够完整，叙述不够清晰 ，可操作性较差，得1分； </w:t>
            </w:r>
          </w:p>
          <w:p w14:paraId="774F8C17">
            <w:pPr>
              <w:spacing w:line="40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5.无或其他不得分。</w:t>
            </w:r>
          </w:p>
        </w:tc>
      </w:tr>
      <w:tr w14:paraId="29EE5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5" w:hRule="atLeast"/>
        </w:trPr>
        <w:tc>
          <w:tcPr>
            <w:tcW w:w="776" w:type="dxa"/>
            <w:vMerge w:val="continue"/>
            <w:noWrap w:val="0"/>
            <w:vAlign w:val="top"/>
          </w:tcPr>
          <w:p w14:paraId="3E012B16">
            <w:pPr>
              <w:spacing w:line="400" w:lineRule="exact"/>
              <w:rPr>
                <w:rFonts w:hint="eastAsia" w:ascii="宋体" w:hAnsi="宋体" w:eastAsia="宋体" w:cs="宋体"/>
                <w:sz w:val="24"/>
                <w:highlight w:val="none"/>
                <w:lang w:val="en-US" w:eastAsia="zh-CN"/>
              </w:rPr>
            </w:pPr>
          </w:p>
        </w:tc>
        <w:tc>
          <w:tcPr>
            <w:tcW w:w="1129" w:type="dxa"/>
            <w:noWrap w:val="0"/>
            <w:vAlign w:val="top"/>
          </w:tcPr>
          <w:p w14:paraId="655DCF00">
            <w:pPr>
              <w:spacing w:line="40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进度计划安排及工期保证措施</w:t>
            </w:r>
          </w:p>
          <w:p w14:paraId="0267EDB0">
            <w:pPr>
              <w:spacing w:line="40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10分)</w:t>
            </w:r>
          </w:p>
        </w:tc>
        <w:tc>
          <w:tcPr>
            <w:tcW w:w="7080" w:type="dxa"/>
            <w:noWrap w:val="0"/>
            <w:vAlign w:val="top"/>
          </w:tcPr>
          <w:p w14:paraId="66F77AC2">
            <w:pPr>
              <w:spacing w:line="40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很据报名单位所提供的项目施工进度计划及保证措施进行评审: </w:t>
            </w:r>
          </w:p>
          <w:p w14:paraId="59285324">
            <w:pPr>
              <w:spacing w:line="40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进度计划及措施详细完整、可行性高，得10分；</w:t>
            </w:r>
          </w:p>
          <w:p w14:paraId="5BCCEF3B">
            <w:pPr>
              <w:spacing w:line="40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进度计划及措施较完整、可行性较高，得7分；</w:t>
            </w:r>
          </w:p>
          <w:p w14:paraId="30EC04CE">
            <w:pPr>
              <w:spacing w:line="40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进度计划及措施基本完整、可行性一般，得3分；</w:t>
            </w:r>
          </w:p>
          <w:p w14:paraId="6878C7F3">
            <w:pPr>
              <w:spacing w:line="40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进度计划及措施不完整、可行性较差，得1分；</w:t>
            </w:r>
          </w:p>
          <w:p w14:paraId="20E2E95F">
            <w:pPr>
              <w:spacing w:line="40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无或其他不得分。</w:t>
            </w:r>
          </w:p>
        </w:tc>
      </w:tr>
      <w:tr w14:paraId="0602C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776" w:type="dxa"/>
            <w:vMerge w:val="continue"/>
            <w:noWrap w:val="0"/>
            <w:vAlign w:val="top"/>
          </w:tcPr>
          <w:p w14:paraId="636E59B5">
            <w:pPr>
              <w:spacing w:line="400" w:lineRule="exact"/>
              <w:rPr>
                <w:rFonts w:hint="eastAsia" w:ascii="宋体" w:hAnsi="宋体" w:eastAsia="宋体" w:cs="宋体"/>
                <w:sz w:val="24"/>
                <w:highlight w:val="none"/>
                <w:lang w:val="en-US" w:eastAsia="zh-CN"/>
              </w:rPr>
            </w:pPr>
          </w:p>
        </w:tc>
        <w:tc>
          <w:tcPr>
            <w:tcW w:w="1129" w:type="dxa"/>
            <w:noWrap w:val="0"/>
            <w:vAlign w:val="top"/>
          </w:tcPr>
          <w:p w14:paraId="67DE2CD1">
            <w:pPr>
              <w:spacing w:line="40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安全文明施工保证措施(10分）</w:t>
            </w:r>
          </w:p>
        </w:tc>
        <w:tc>
          <w:tcPr>
            <w:tcW w:w="7080" w:type="dxa"/>
            <w:noWrap w:val="0"/>
            <w:vAlign w:val="top"/>
          </w:tcPr>
          <w:p w14:paraId="6033E69F">
            <w:pPr>
              <w:spacing w:line="40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根据报名单位所提供的项目安全文明施工保证措施进行评审: </w:t>
            </w:r>
          </w:p>
          <w:p w14:paraId="10C0618D">
            <w:pPr>
              <w:spacing w:line="40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安全文明工保证措施完整、管理体系明确，得10分: </w:t>
            </w:r>
          </w:p>
          <w:p w14:paraId="35F4643D">
            <w:pPr>
              <w:spacing w:line="40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安全文明施工保证措施较完在、管理体系较明确，得7分:</w:t>
            </w:r>
          </w:p>
          <w:p w14:paraId="4DC78783">
            <w:pPr>
              <w:spacing w:line="40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安全文明施工保证措施不够完整，得3分:</w:t>
            </w:r>
          </w:p>
          <w:p w14:paraId="171BABA6">
            <w:pPr>
              <w:spacing w:line="40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4.无或其他不得分</w:t>
            </w:r>
          </w:p>
        </w:tc>
      </w:tr>
      <w:tr w14:paraId="0B155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776" w:type="dxa"/>
            <w:vMerge w:val="continue"/>
            <w:noWrap w:val="0"/>
            <w:vAlign w:val="top"/>
          </w:tcPr>
          <w:p w14:paraId="24B29D4A">
            <w:pPr>
              <w:spacing w:line="400" w:lineRule="exact"/>
              <w:rPr>
                <w:rFonts w:hint="eastAsia" w:ascii="宋体" w:hAnsi="宋体" w:eastAsia="宋体" w:cs="宋体"/>
                <w:sz w:val="24"/>
                <w:highlight w:val="none"/>
                <w:lang w:val="en-US" w:eastAsia="zh-CN"/>
              </w:rPr>
            </w:pPr>
          </w:p>
        </w:tc>
        <w:tc>
          <w:tcPr>
            <w:tcW w:w="1129" w:type="dxa"/>
            <w:noWrap w:val="0"/>
            <w:vAlign w:val="top"/>
          </w:tcPr>
          <w:p w14:paraId="4555883D">
            <w:pPr>
              <w:spacing w:line="40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质量保证措施 (10分)</w:t>
            </w:r>
          </w:p>
        </w:tc>
        <w:tc>
          <w:tcPr>
            <w:tcW w:w="7080" w:type="dxa"/>
            <w:noWrap w:val="0"/>
            <w:vAlign w:val="top"/>
          </w:tcPr>
          <w:p w14:paraId="1AA2EA4B">
            <w:pPr>
              <w:spacing w:line="40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根据报名单位所提供的项目施工质量保证措施进行评审: </w:t>
            </w:r>
          </w:p>
          <w:p w14:paraId="5E36A105">
            <w:pPr>
              <w:spacing w:line="40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质量管理措施完整、目标体系明确、措施有力，得10分: </w:t>
            </w:r>
          </w:p>
          <w:p w14:paraId="417CFFE2">
            <w:pPr>
              <w:spacing w:line="40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质量管理措施较完整、目标体系较明确，得7分:</w:t>
            </w:r>
          </w:p>
          <w:p w14:paraId="49C08952">
            <w:pPr>
              <w:spacing w:line="40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质量管理措施不够完整，目标体系、措施表述不具体，得3分:</w:t>
            </w:r>
          </w:p>
          <w:p w14:paraId="514BFF63">
            <w:pPr>
              <w:spacing w:line="40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4.无或其他不得分。</w:t>
            </w:r>
          </w:p>
        </w:tc>
      </w:tr>
      <w:tr w14:paraId="6B72C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776" w:type="dxa"/>
            <w:noWrap w:val="0"/>
            <w:vAlign w:val="top"/>
          </w:tcPr>
          <w:p w14:paraId="5A71D787">
            <w:pPr>
              <w:spacing w:line="400" w:lineRule="exact"/>
              <w:rPr>
                <w:rFonts w:hint="eastAsia" w:ascii="宋体" w:hAnsi="宋体" w:eastAsia="宋体" w:cs="宋体"/>
                <w:sz w:val="24"/>
                <w:highlight w:val="none"/>
                <w:lang w:val="en-US" w:eastAsia="zh-CN"/>
              </w:rPr>
            </w:pPr>
          </w:p>
        </w:tc>
        <w:tc>
          <w:tcPr>
            <w:tcW w:w="1129" w:type="dxa"/>
            <w:noWrap w:val="0"/>
            <w:vAlign w:val="top"/>
          </w:tcPr>
          <w:p w14:paraId="474E01C7">
            <w:pPr>
              <w:spacing w:line="40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rPr>
              <w:t>应急方案 (</w:t>
            </w:r>
            <w:r>
              <w:rPr>
                <w:rFonts w:hint="eastAsia" w:ascii="宋体" w:hAnsi="宋体" w:eastAsia="宋体" w:cs="宋体"/>
                <w:sz w:val="24"/>
                <w:highlight w:val="none"/>
                <w:lang w:val="en-US" w:eastAsia="zh-CN"/>
              </w:rPr>
              <w:t>10</w:t>
            </w:r>
            <w:r>
              <w:rPr>
                <w:rFonts w:hint="eastAsia" w:ascii="宋体" w:hAnsi="宋体" w:eastAsia="宋体" w:cs="宋体"/>
                <w:sz w:val="24"/>
                <w:highlight w:val="none"/>
              </w:rPr>
              <w:t>分)</w:t>
            </w:r>
          </w:p>
        </w:tc>
        <w:tc>
          <w:tcPr>
            <w:tcW w:w="7080" w:type="dxa"/>
            <w:noWrap w:val="0"/>
            <w:vAlign w:val="top"/>
          </w:tcPr>
          <w:p w14:paraId="781F3CD3">
            <w:pPr>
              <w:spacing w:line="400" w:lineRule="exact"/>
              <w:rPr>
                <w:rFonts w:hint="eastAsia" w:ascii="宋体" w:hAnsi="宋体" w:eastAsia="宋体" w:cs="宋体"/>
                <w:sz w:val="24"/>
                <w:highlight w:val="none"/>
              </w:rPr>
            </w:pPr>
            <w:r>
              <w:rPr>
                <w:rFonts w:hint="eastAsia" w:ascii="宋体" w:hAnsi="宋体" w:eastAsia="宋体" w:cs="宋体"/>
                <w:sz w:val="24"/>
                <w:highlight w:val="none"/>
              </w:rPr>
              <w:t>优：针对本项目的管理方案，提出合理、可行的方案，突发事件的处理措施和应急预案最详细，得</w:t>
            </w:r>
            <w:r>
              <w:rPr>
                <w:rFonts w:hint="eastAsia" w:ascii="宋体" w:hAnsi="宋体" w:eastAsia="宋体" w:cs="宋体"/>
                <w:sz w:val="24"/>
                <w:highlight w:val="none"/>
                <w:lang w:val="en-US" w:eastAsia="zh-CN"/>
              </w:rPr>
              <w:t>10</w:t>
            </w:r>
            <w:r>
              <w:rPr>
                <w:rFonts w:hint="eastAsia" w:ascii="宋体" w:hAnsi="宋体" w:eastAsia="宋体" w:cs="宋体"/>
                <w:sz w:val="24"/>
                <w:highlight w:val="none"/>
              </w:rPr>
              <w:t xml:space="preserve">分。  </w:t>
            </w:r>
          </w:p>
          <w:p w14:paraId="1866841F">
            <w:pPr>
              <w:spacing w:line="400" w:lineRule="exact"/>
              <w:rPr>
                <w:rFonts w:hint="eastAsia" w:ascii="宋体" w:hAnsi="宋体" w:eastAsia="宋体" w:cs="宋体"/>
                <w:sz w:val="24"/>
                <w:highlight w:val="none"/>
              </w:rPr>
            </w:pPr>
            <w:r>
              <w:rPr>
                <w:rFonts w:hint="eastAsia" w:ascii="宋体" w:hAnsi="宋体" w:eastAsia="宋体" w:cs="宋体"/>
                <w:sz w:val="24"/>
                <w:highlight w:val="none"/>
              </w:rPr>
              <w:t>良：针对本项目的管理方案，突发事件的处理措施和应急预案一般，得</w:t>
            </w:r>
            <w:r>
              <w:rPr>
                <w:rFonts w:hint="eastAsia" w:ascii="宋体" w:hAnsi="宋体" w:eastAsia="宋体" w:cs="宋体"/>
                <w:sz w:val="24"/>
                <w:highlight w:val="none"/>
                <w:lang w:val="en-US" w:eastAsia="zh-CN"/>
              </w:rPr>
              <w:t>7</w:t>
            </w:r>
            <w:r>
              <w:rPr>
                <w:rFonts w:hint="eastAsia" w:ascii="宋体" w:hAnsi="宋体" w:eastAsia="宋体" w:cs="宋体"/>
                <w:sz w:val="24"/>
                <w:highlight w:val="none"/>
              </w:rPr>
              <w:t>分。  中：针对本项目的管理方案，突发事件的处理措施和应急预案基本满足要求，得</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 xml:space="preserve">分。  </w:t>
            </w:r>
          </w:p>
          <w:p w14:paraId="2F56FAFF">
            <w:pPr>
              <w:spacing w:line="40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rPr>
              <w:t>差：不提供不得分。</w:t>
            </w:r>
          </w:p>
        </w:tc>
      </w:tr>
      <w:tr w14:paraId="6A4A7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1" w:hRule="atLeast"/>
        </w:trPr>
        <w:tc>
          <w:tcPr>
            <w:tcW w:w="776" w:type="dxa"/>
            <w:noWrap w:val="0"/>
            <w:vAlign w:val="top"/>
          </w:tcPr>
          <w:p w14:paraId="79C29433">
            <w:pPr>
              <w:spacing w:line="40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价格部分（20分）</w:t>
            </w:r>
          </w:p>
        </w:tc>
        <w:tc>
          <w:tcPr>
            <w:tcW w:w="1129" w:type="dxa"/>
            <w:noWrap w:val="0"/>
            <w:vAlign w:val="top"/>
          </w:tcPr>
          <w:p w14:paraId="046E92D9">
            <w:pPr>
              <w:spacing w:line="400" w:lineRule="exact"/>
              <w:rPr>
                <w:rFonts w:hint="eastAsia" w:ascii="宋体" w:hAnsi="宋体" w:eastAsia="宋体" w:cs="宋体"/>
                <w:sz w:val="24"/>
                <w:highlight w:val="none"/>
                <w:lang w:val="en-US" w:eastAsia="zh-CN"/>
              </w:rPr>
            </w:pPr>
          </w:p>
        </w:tc>
        <w:tc>
          <w:tcPr>
            <w:tcW w:w="7080" w:type="dxa"/>
            <w:noWrap w:val="0"/>
            <w:vAlign w:val="top"/>
          </w:tcPr>
          <w:p w14:paraId="3567A4B8">
            <w:pPr>
              <w:spacing w:line="40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投标报价得分＝（评标基准价/投标报价）×价格分值【注：满足招标文件 </w:t>
            </w:r>
          </w:p>
          <w:p w14:paraId="4EECAB63">
            <w:pPr>
              <w:spacing w:line="40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要求且投标价格最低的投标报价为评标基准价。】</w:t>
            </w:r>
          </w:p>
        </w:tc>
      </w:tr>
    </w:tbl>
    <w:p w14:paraId="473A1C29">
      <w:pPr>
        <w:bidi w:val="0"/>
        <w:jc w:val="left"/>
        <w:rPr>
          <w:rFonts w:hint="eastAsia" w:ascii="宋体" w:hAnsi="宋体" w:eastAsia="宋体" w:cs="宋体"/>
          <w:kern w:val="2"/>
          <w:sz w:val="21"/>
          <w:szCs w:val="21"/>
          <w:highlight w:val="none"/>
          <w:lang w:val="en-US" w:eastAsia="zh-CN" w:bidi="ar-SA"/>
        </w:rPr>
      </w:pPr>
    </w:p>
    <w:p w14:paraId="2E3E9A5A"/>
    <w:sectPr>
      <w:footerReference r:id="rId5" w:type="default"/>
      <w:footerReference r:id="rId6" w:type="even"/>
      <w:pgSz w:w="11906" w:h="16838"/>
      <w:pgMar w:top="1418" w:right="1418" w:bottom="1134" w:left="1418" w:header="851" w:footer="992" w:gutter="0"/>
      <w:pgNumType w:fmt="numberInDash"/>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EEF7F">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C7B7A">
    <w:pPr>
      <w:pStyle w:val="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22852F"/>
    <w:multiLevelType w:val="singleLevel"/>
    <w:tmpl w:val="8A22852F"/>
    <w:lvl w:ilvl="0" w:tentative="0">
      <w:start w:val="1"/>
      <w:numFmt w:val="decimal"/>
      <w:suff w:val="nothing"/>
      <w:lvlText w:val="（%1）"/>
      <w:lvlJc w:val="left"/>
    </w:lvl>
  </w:abstractNum>
  <w:abstractNum w:abstractNumId="1">
    <w:nsid w:val="AC30F3A9"/>
    <w:multiLevelType w:val="singleLevel"/>
    <w:tmpl w:val="AC30F3A9"/>
    <w:lvl w:ilvl="0" w:tentative="0">
      <w:start w:val="2"/>
      <w:numFmt w:val="chineseCounting"/>
      <w:suff w:val="nothing"/>
      <w:lvlText w:val="%1、"/>
      <w:lvlJc w:val="left"/>
      <w:rPr>
        <w:rFonts w:hint="eastAsia"/>
      </w:rPr>
    </w:lvl>
  </w:abstractNum>
  <w:abstractNum w:abstractNumId="2">
    <w:nsid w:val="FE225B70"/>
    <w:multiLevelType w:val="singleLevel"/>
    <w:tmpl w:val="FE225B70"/>
    <w:lvl w:ilvl="0" w:tentative="0">
      <w:start w:val="3"/>
      <w:numFmt w:val="chineseCounting"/>
      <w:suff w:val="nothing"/>
      <w:lvlText w:val="%1、"/>
      <w:lvlJc w:val="left"/>
      <w:rPr>
        <w:rFonts w:hint="eastAsia"/>
      </w:rPr>
    </w:lvl>
  </w:abstractNum>
  <w:abstractNum w:abstractNumId="3">
    <w:nsid w:val="194AF9C6"/>
    <w:multiLevelType w:val="singleLevel"/>
    <w:tmpl w:val="194AF9C6"/>
    <w:lvl w:ilvl="0" w:tentative="0">
      <w:start w:val="1"/>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yOTcxOTU3NzhjNmU3ZDk0OTBkMzYzZTFmMTYxNTQifQ=="/>
    <w:docVar w:name="KSO_WPS_MARK_KEY" w:val="32af455e-9ae5-4926-9346-ad7ba14bbece"/>
  </w:docVars>
  <w:rsids>
    <w:rsidRoot w:val="005962B5"/>
    <w:rsid w:val="00045C57"/>
    <w:rsid w:val="005962B5"/>
    <w:rsid w:val="04AE38E6"/>
    <w:rsid w:val="11B4479E"/>
    <w:rsid w:val="1F371647"/>
    <w:rsid w:val="1F482889"/>
    <w:rsid w:val="3941478A"/>
    <w:rsid w:val="3C832DC3"/>
    <w:rsid w:val="40AC40A5"/>
    <w:rsid w:val="41990C7E"/>
    <w:rsid w:val="490F42DD"/>
    <w:rsid w:val="51E62B61"/>
    <w:rsid w:val="5B1F6E80"/>
    <w:rsid w:val="608A2720"/>
    <w:rsid w:val="62E95123"/>
    <w:rsid w:val="6A042751"/>
    <w:rsid w:val="6A7F636D"/>
    <w:rsid w:val="7C743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adjustRightInd w:val="0"/>
      <w:spacing w:line="360" w:lineRule="atLeast"/>
      <w:jc w:val="left"/>
      <w:textAlignment w:val="baseline"/>
    </w:pPr>
    <w:rPr>
      <w:rFonts w:ascii="宋体" w:hAnsi="Courier New" w:eastAsia="宋体"/>
      <w:kern w:val="0"/>
      <w:sz w:val="20"/>
      <w:szCs w:val="20"/>
    </w:rPr>
  </w:style>
  <w:style w:type="paragraph" w:styleId="3">
    <w:name w:val="footer"/>
    <w:basedOn w:val="1"/>
    <w:uiPriority w:val="0"/>
    <w:pPr>
      <w:tabs>
        <w:tab w:val="center" w:pos="4153"/>
        <w:tab w:val="right" w:pos="8306"/>
      </w:tabs>
      <w:snapToGrid w:val="0"/>
      <w:spacing w:line="240" w:lineRule="atLeast"/>
      <w:jc w:val="left"/>
    </w:pPr>
    <w:rPr>
      <w:sz w:val="18"/>
      <w:szCs w:val="18"/>
    </w:rPr>
  </w:style>
  <w:style w:type="table" w:customStyle="1" w:styleId="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1410</Words>
  <Characters>1461</Characters>
  <Lines>0</Lines>
  <Paragraphs>0</Paragraphs>
  <TotalTime>1</TotalTime>
  <ScaleCrop>false</ScaleCrop>
  <LinksUpToDate>false</LinksUpToDate>
  <CharactersWithSpaces>1496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2024-11-05T14:39:00Z</dcterms:created>
  <dc:creator>Twixters</dc:creator>
  <cp:lastModifiedBy>黄晓杰</cp:lastModifiedBy>
  <dcterms:modified xsi:type="dcterms:W3CDTF">2025-11-11T08:58:52Z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27571480EF3C46F78202382E3DCF065E</vt:lpwstr>
  </property>
  <property fmtid="{D5CDD505-2E9C-101B-9397-08002B2CF9AE}" pid="4" name="KSOTemplateDocerSaveRecord">
    <vt:lpwstr>eyJoZGlkIjoiZDVhNzgxNmFmZDAzNDAwNTUwNjQzNmQyNTUyOWEzYjUiLCJ1c2VySWQiOiIxNjY4Nzg5Mjg3In0=</vt:lpwstr>
  </property>
</Properties>
</file>