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center"/>
        <w:rPr>
          <w:rFonts w:hint="eastAsia" w:ascii="宋体" w:hAnsi="宋体" w:eastAsia="宋体" w:cs="宋体"/>
          <w:b/>
          <w:bCs/>
          <w:sz w:val="36"/>
          <w:szCs w:val="36"/>
        </w:rPr>
      </w:pPr>
      <w:r>
        <w:rPr>
          <w:rFonts w:hint="eastAsia" w:ascii="宋体" w:hAnsi="宋体" w:eastAsia="宋体" w:cs="宋体"/>
          <w:b/>
          <w:bCs/>
          <w:sz w:val="36"/>
          <w:szCs w:val="36"/>
        </w:rPr>
        <w:t>江门市市区公路事务中心职工食堂食材配送服务</w:t>
      </w:r>
    </w:p>
    <w:p>
      <w:pPr>
        <w:ind w:left="34" w:leftChars="16"/>
        <w:jc w:val="center"/>
        <w:rPr>
          <w:rFonts w:ascii="宋体" w:hAnsi="宋体" w:eastAsia="宋体" w:cs="宋体"/>
          <w:b/>
          <w:bCs/>
          <w:sz w:val="36"/>
          <w:szCs w:val="36"/>
        </w:rPr>
      </w:pPr>
      <w:r>
        <w:rPr>
          <w:rFonts w:hint="eastAsia" w:ascii="宋体" w:hAnsi="宋体" w:eastAsia="宋体" w:cs="宋体"/>
          <w:b/>
          <w:bCs/>
          <w:sz w:val="36"/>
          <w:szCs w:val="36"/>
        </w:rPr>
        <w:t>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w:t>
      </w:r>
      <w:bookmarkStart w:id="0" w:name="_GoBack"/>
      <w:bookmarkEnd w:id="0"/>
      <w:r>
        <w:rPr>
          <w:rFonts w:hint="eastAsia" w:ascii="宋体" w:hAnsi="宋体" w:cs="宋体"/>
          <w:sz w:val="28"/>
          <w:szCs w:val="28"/>
        </w:rPr>
        <w:t>的情况综合比较，投票确定其名次。</w:t>
      </w:r>
    </w:p>
    <w:p>
      <w:pPr>
        <w:pStyle w:val="2"/>
      </w:pP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6"/>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3817"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8"/>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11" w:firstLineChars="196"/>
            </w:pPr>
            <w:r>
              <w:rPr>
                <w:rFonts w:hint="eastAsia"/>
              </w:rPr>
              <w:t>1.符合《中华人民共和国政府采购法》第二十二条和《中华人民共和国政府采购法实施条例》第十七条的规定；</w:t>
            </w:r>
          </w:p>
          <w:p>
            <w:pPr>
              <w:widowControl/>
              <w:spacing w:line="360" w:lineRule="exact"/>
              <w:ind w:right="108" w:firstLine="411" w:firstLineChars="196"/>
            </w:pPr>
            <w:r>
              <w:rPr>
                <w:rFonts w:hint="eastAsia"/>
              </w:rPr>
              <w:t>2.有经年检合格的营业执照和有效的食品经营许可；</w:t>
            </w:r>
          </w:p>
          <w:p>
            <w:pPr>
              <w:widowControl/>
              <w:spacing w:line="360" w:lineRule="exact"/>
              <w:ind w:right="108" w:firstLine="411" w:firstLineChars="196"/>
            </w:pPr>
            <w:r>
              <w:rPr>
                <w:rFonts w:hint="eastAsia"/>
              </w:rPr>
              <w:t>3.具有独立承担民事责任能力的在中华人民共和国境内注册的法人；</w:t>
            </w:r>
          </w:p>
          <w:p>
            <w:pPr>
              <w:widowControl/>
              <w:spacing w:line="360" w:lineRule="exact"/>
              <w:ind w:right="108" w:firstLine="411" w:firstLineChars="196"/>
            </w:pPr>
            <w:r>
              <w:rPr>
                <w:rFonts w:hint="eastAsia"/>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411" w:firstLineChars="196"/>
            </w:pPr>
            <w:r>
              <w:rPr>
                <w:rFonts w:hint="eastAsia"/>
              </w:rPr>
              <w:t>5.本项目不接受联合体供应商</w:t>
            </w:r>
            <w:r>
              <w:rPr>
                <w:rFonts w:hint="eastAsia"/>
                <w:lang w:val="en-US" w:eastAsia="zh-CN"/>
              </w:rPr>
              <w:t>报名</w:t>
            </w:r>
            <w:r>
              <w:rPr>
                <w:rFonts w:hint="eastAsia"/>
              </w:rPr>
              <w:t>；不允许转包、分包。</w:t>
            </w:r>
          </w:p>
          <w:p>
            <w:pPr>
              <w:pStyle w:val="2"/>
              <w:ind w:firstLine="420" w:firstLineChars="200"/>
            </w:pPr>
            <w:r>
              <w:rPr>
                <w:rFonts w:hint="eastAsia" w:asciiTheme="minorHAnsi" w:hAnsiTheme="minorHAnsi"/>
                <w:kern w:val="2"/>
                <w:sz w:val="21"/>
                <w:szCs w:val="22"/>
              </w:rPr>
              <w:t>6.近三年未发生食品配送服务安全生产质量事故。</w:t>
            </w:r>
          </w:p>
        </w:tc>
      </w:tr>
    </w:tbl>
    <w:p>
      <w:pPr>
        <w:spacing w:line="400" w:lineRule="exact"/>
        <w:ind w:left="-420" w:leftChars="-200" w:right="-313" w:rightChars="-149" w:firstLine="421" w:firstLineChars="200"/>
        <w:rPr>
          <w:rFonts w:ascii="宋体" w:hAnsi="宋体" w:eastAsia="宋体" w:cs="宋体"/>
          <w:b/>
          <w:bCs/>
          <w:szCs w:val="21"/>
        </w:rPr>
      </w:pPr>
    </w:p>
    <w:p>
      <w:pPr>
        <w:pStyle w:val="2"/>
      </w:pPr>
    </w:p>
    <w:p>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6"/>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Times New Roman"/>
                <w:b/>
                <w:color w:val="000000"/>
                <w:sz w:val="24"/>
                <w:szCs w:val="24"/>
              </w:rPr>
            </w:pPr>
            <w:r>
              <w:rPr>
                <w:rFonts w:ascii="仿宋" w:hAnsi="仿宋" w:eastAsia="仿宋" w:cs="Times New Roman"/>
                <w:b/>
                <w:color w:val="000000"/>
                <w:sz w:val="24"/>
                <w:szCs w:val="24"/>
              </w:rPr>
              <w:t>单项分数（分）</w:t>
            </w:r>
          </w:p>
        </w:tc>
      </w:tr>
      <w:tr>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Times New Roman" w:hAnsi="Times New Roman" w:cs="Times New Roman"/>
                <w:szCs w:val="30"/>
              </w:rPr>
            </w:pPr>
            <w:r>
              <w:rPr>
                <w:rStyle w:val="8"/>
                <w:rFonts w:ascii="仿宋" w:hAnsi="仿宋" w:eastAsia="仿宋" w:cs="Times New Roman"/>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11" w:firstLineChars="196"/>
            </w:pPr>
            <w:r>
              <w:rPr>
                <w:rFonts w:hint="eastAsia"/>
              </w:rPr>
              <w:t>总体评价：</w:t>
            </w:r>
          </w:p>
          <w:p>
            <w:pPr>
              <w:widowControl/>
              <w:spacing w:line="360" w:lineRule="exact"/>
              <w:ind w:right="108" w:firstLine="411" w:firstLineChars="196"/>
            </w:pPr>
            <w:r>
              <w:rPr>
                <w:rFonts w:hint="eastAsia"/>
              </w:rPr>
              <w:t>（1）优：实施方案全面、完善、合理，可行性和可操作性强，贴合实际需求的，具有完备的安全追溯制度，</w:t>
            </w:r>
            <w:r>
              <w:rPr>
                <w:rFonts w:hint="eastAsia"/>
                <w:lang w:val="en-US" w:eastAsia="zh-CN"/>
              </w:rPr>
              <w:t>20</w:t>
            </w:r>
            <w:r>
              <w:rPr>
                <w:rFonts w:hint="eastAsia"/>
              </w:rPr>
              <w:t>&lt;得分≤</w:t>
            </w:r>
            <w:r>
              <w:rPr>
                <w:rFonts w:hint="eastAsia"/>
                <w:lang w:val="en-US" w:eastAsia="zh-CN"/>
              </w:rPr>
              <w:t>25</w:t>
            </w:r>
            <w:r>
              <w:rPr>
                <w:rFonts w:hint="eastAsia"/>
              </w:rPr>
              <w:t>；</w:t>
            </w:r>
          </w:p>
          <w:p>
            <w:pPr>
              <w:widowControl/>
              <w:spacing w:line="360" w:lineRule="exact"/>
              <w:ind w:right="108" w:firstLine="411" w:firstLineChars="196"/>
            </w:pPr>
            <w:r>
              <w:rPr>
                <w:rFonts w:hint="eastAsia"/>
              </w:rPr>
              <w:t>（2）良：实施方案较全面、完善，可行性和可操作性较强，具有可行的安全追溯制度，</w:t>
            </w:r>
            <w:r>
              <w:rPr>
                <w:rFonts w:hint="eastAsia"/>
                <w:lang w:val="en-US" w:eastAsia="zh-CN"/>
              </w:rPr>
              <w:t>15</w:t>
            </w:r>
            <w:r>
              <w:rPr>
                <w:rFonts w:hint="eastAsia"/>
              </w:rPr>
              <w:t>&lt;得分≤</w:t>
            </w:r>
            <w:r>
              <w:rPr>
                <w:rFonts w:hint="eastAsia"/>
                <w:lang w:val="en-US" w:eastAsia="zh-CN"/>
              </w:rPr>
              <w:t>20</w:t>
            </w:r>
            <w:r>
              <w:rPr>
                <w:rFonts w:hint="eastAsia"/>
              </w:rPr>
              <w:t>；</w:t>
            </w:r>
          </w:p>
          <w:p>
            <w:pPr>
              <w:widowControl/>
              <w:spacing w:line="360" w:lineRule="exact"/>
              <w:ind w:right="108" w:firstLine="411" w:firstLineChars="196"/>
            </w:pPr>
            <w:r>
              <w:rPr>
                <w:rFonts w:hint="eastAsia"/>
              </w:rPr>
              <w:t>（3）中：实施方案较全面不够合理，可行性和可操作性一般，</w:t>
            </w:r>
            <w:r>
              <w:rPr>
                <w:rFonts w:hint="eastAsia"/>
                <w:lang w:val="en-US" w:eastAsia="zh-CN"/>
              </w:rPr>
              <w:t>10</w:t>
            </w:r>
            <w:r>
              <w:rPr>
                <w:rFonts w:hint="eastAsia"/>
              </w:rPr>
              <w:t>&lt;得分≤</w:t>
            </w:r>
            <w:r>
              <w:rPr>
                <w:rFonts w:hint="eastAsia"/>
                <w:lang w:val="en-US" w:eastAsia="zh-CN"/>
              </w:rPr>
              <w:t>15</w:t>
            </w:r>
            <w:r>
              <w:rPr>
                <w:rFonts w:hint="eastAsia"/>
              </w:rPr>
              <w:t>；</w:t>
            </w:r>
          </w:p>
          <w:p>
            <w:pPr>
              <w:widowControl/>
              <w:spacing w:line="360" w:lineRule="exact"/>
              <w:ind w:right="108" w:firstLine="411" w:firstLineChars="196"/>
            </w:pPr>
            <w:r>
              <w:rPr>
                <w:rFonts w:hint="eastAsia"/>
              </w:rPr>
              <w:t>（4）差：实施方案不全，可行性和可操作性较差，得分为</w:t>
            </w:r>
            <w:r>
              <w:rPr>
                <w:rFonts w:hint="eastAsia"/>
                <w:lang w:val="en-US" w:eastAsia="zh-CN"/>
              </w:rPr>
              <w:t>5</w:t>
            </w:r>
            <w:r>
              <w:rPr>
                <w:rFonts w:hint="eastAsia"/>
              </w:rPr>
              <w:t>。</w:t>
            </w:r>
          </w:p>
          <w:p>
            <w:pPr>
              <w:widowControl/>
              <w:spacing w:line="360" w:lineRule="exact"/>
              <w:ind w:right="108" w:firstLine="411" w:firstLineChars="196"/>
              <w:rPr>
                <w:rFonts w:ascii="仿宋" w:hAnsi="仿宋" w:eastAsia="仿宋" w:cs="Times New Roman"/>
                <w:color w:val="000000"/>
                <w:kern w:val="0"/>
                <w:sz w:val="24"/>
                <w:szCs w:val="24"/>
              </w:rPr>
            </w:pPr>
            <w:r>
              <w:rPr>
                <w:rFonts w:hint="eastAsia"/>
              </w:rPr>
              <w:t>注：供应商需针对本项目提供含服务体系、拟投入人员、应急预案、</w:t>
            </w:r>
            <w:r>
              <w:rPr>
                <w:rFonts w:hint="eastAsia"/>
                <w:lang w:eastAsia="zh-CN"/>
              </w:rPr>
              <w:t>退换货方案、</w:t>
            </w:r>
            <w:r>
              <w:rPr>
                <w:rFonts w:hint="eastAsia"/>
              </w:rPr>
              <w:t>质量控制措施的实施方案，不提供相关资料不得分。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kern w:val="0"/>
                <w:sz w:val="24"/>
                <w:szCs w:val="24"/>
                <w:lang w:val="en-US" w:eastAsia="zh-CN"/>
              </w:rPr>
              <w:t>25</w:t>
            </w:r>
          </w:p>
        </w:tc>
      </w:tr>
      <w:tr>
        <w:tblPrEx>
          <w:tblCellMar>
            <w:top w:w="0" w:type="dxa"/>
            <w:left w:w="108" w:type="dxa"/>
            <w:bottom w:w="67" w:type="dxa"/>
            <w:right w:w="0" w:type="dxa"/>
          </w:tblCellMar>
        </w:tblPrEx>
        <w:trPr>
          <w:trHeight w:val="2682"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2</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hint="default" w:ascii="仿宋" w:hAnsi="仿宋" w:eastAsia="仿宋" w:cs="Times New Roman"/>
                <w:sz w:val="24"/>
                <w:szCs w:val="24"/>
                <w:lang w:val="en-US" w:eastAsia="zh-CN"/>
              </w:rPr>
            </w:pPr>
            <w:r>
              <w:rPr>
                <w:rStyle w:val="8"/>
                <w:rFonts w:hint="eastAsia" w:ascii="仿宋" w:hAnsi="仿宋" w:eastAsia="仿宋" w:cs="Times New Roman"/>
                <w:sz w:val="24"/>
                <w:szCs w:val="24"/>
                <w:lang w:val="en-US" w:eastAsia="zh-CN"/>
              </w:rPr>
              <w:t>管理体系认证</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napToGrid/>
              <w:spacing w:line="360" w:lineRule="exact"/>
              <w:ind w:right="108" w:firstLine="420" w:firstLineChars="200"/>
              <w:textAlignment w:val="auto"/>
              <w:rPr>
                <w:rFonts w:hint="eastAsia"/>
                <w:highlight w:val="none"/>
                <w:lang w:val="en-US" w:eastAsia="zh-CN"/>
              </w:rPr>
            </w:pPr>
            <w:r>
              <w:rPr>
                <w:rFonts w:hint="eastAsia"/>
                <w:highlight w:val="none"/>
                <w:lang w:val="en-US" w:eastAsia="zh-CN"/>
              </w:rPr>
              <w:t>具有在有效期内的以下证书：1.ISO9001质量管理体系认证；2.ISO14001环境管理体系认证； 3、ISO45001职业健康安全管理体系认证；全部满足得5分，任意一项不满足扣2分，扣完为止。</w:t>
            </w:r>
          </w:p>
          <w:p>
            <w:pPr>
              <w:keepNext w:val="0"/>
              <w:keepLines w:val="0"/>
              <w:pageBreakBefore w:val="0"/>
              <w:kinsoku/>
              <w:wordWrap w:val="0"/>
              <w:overflowPunct/>
              <w:topLinePunct w:val="0"/>
              <w:autoSpaceDE/>
              <w:autoSpaceDN/>
              <w:bidi w:val="0"/>
              <w:adjustRightInd/>
              <w:snapToGrid/>
              <w:spacing w:line="360" w:lineRule="exact"/>
              <w:jc w:val="left"/>
              <w:textAlignment w:val="auto"/>
              <w:rPr>
                <w:rFonts w:hint="eastAsia" w:ascii="仿宋" w:hAnsi="仿宋" w:eastAsia="仿宋" w:cs="Times New Roman"/>
                <w:color w:val="000000"/>
                <w:kern w:val="0"/>
                <w:sz w:val="24"/>
                <w:szCs w:val="24"/>
              </w:rPr>
            </w:pPr>
            <w:r>
              <w:rPr>
                <w:rFonts w:hint="eastAsia"/>
                <w:highlight w:val="none"/>
                <w:lang w:val="en-US" w:eastAsia="zh-CN"/>
              </w:rPr>
              <w:t>注：需在报名文件中提供在有效期内的相关证书扫描件（或复印件），并加盖单位公章，否则不得分。并须同时提供在“全国认证认可信息公共服务平台”对体系证书的信息查询截图作为评审依据，已失效或撤销的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w:t>
            </w:r>
          </w:p>
        </w:tc>
      </w:tr>
      <w:tr>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lang w:val="en-US" w:eastAsia="zh-CN"/>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rPr>
            </w:pPr>
            <w:r>
              <w:rPr>
                <w:rStyle w:val="8"/>
                <w:rFonts w:ascii="仿宋" w:hAnsi="仿宋" w:eastAsia="仿宋" w:cs="Times New Roman"/>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hint="eastAsia"/>
              </w:rPr>
              <w:t>近三年承接过同类食材配送项目业绩，每提供一项业绩，得1分，本项累计最高得5分。</w:t>
            </w:r>
            <w:r>
              <w:rPr>
                <w:rFonts w:hint="eastAsia"/>
                <w:lang w:eastAsia="zh-CN"/>
              </w:rPr>
              <w:t>供应商</w:t>
            </w:r>
            <w:r>
              <w:rPr>
                <w:rFonts w:hint="eastAsia"/>
              </w:rPr>
              <w:t>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r>
      <w:tr>
        <w:tblPrEx>
          <w:tblCellMar>
            <w:top w:w="0" w:type="dxa"/>
            <w:left w:w="108" w:type="dxa"/>
            <w:bottom w:w="67" w:type="dxa"/>
            <w:right w:w="0" w:type="dxa"/>
          </w:tblCellMar>
        </w:tblPrEx>
        <w:trPr>
          <w:trHeight w:val="236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lang w:val="en-US" w:eastAsia="zh-CN"/>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Style w:val="8"/>
                <w:rFonts w:ascii="仿宋" w:hAnsi="仿宋" w:eastAsia="仿宋" w:cs="Times New Roman"/>
                <w:sz w:val="24"/>
                <w:szCs w:val="24"/>
              </w:rPr>
            </w:pPr>
            <w:r>
              <w:rPr>
                <w:rStyle w:val="8"/>
                <w:rFonts w:hint="eastAsia" w:ascii="仿宋" w:hAnsi="仿宋" w:eastAsia="仿宋" w:cs="Times New Roman"/>
                <w:sz w:val="24"/>
                <w:szCs w:val="24"/>
                <w:highlight w:val="none"/>
                <w:lang w:eastAsia="zh-CN"/>
              </w:rPr>
              <w:t>储存</w:t>
            </w:r>
            <w:r>
              <w:rPr>
                <w:rStyle w:val="8"/>
                <w:rFonts w:ascii="仿宋" w:hAnsi="仿宋" w:eastAsia="仿宋" w:cs="Times New Roman"/>
                <w:sz w:val="24"/>
                <w:szCs w:val="24"/>
                <w:highlight w:val="none"/>
              </w:rPr>
              <w:t>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rPr>
                <w:rFonts w:hint="eastAsia"/>
                <w:highlight w:val="none"/>
                <w:lang w:eastAsia="zh-CN"/>
              </w:rPr>
            </w:pPr>
            <w:r>
              <w:rPr>
                <w:rFonts w:hint="eastAsia"/>
                <w:highlight w:val="none"/>
              </w:rPr>
              <w:t>1.</w:t>
            </w:r>
            <w:r>
              <w:rPr>
                <w:rFonts w:hint="eastAsia"/>
                <w:highlight w:val="none"/>
                <w:lang w:eastAsia="zh-CN"/>
              </w:rPr>
              <w:t>供应商</w:t>
            </w:r>
            <w:r>
              <w:rPr>
                <w:rFonts w:hint="eastAsia"/>
                <w:highlight w:val="none"/>
              </w:rPr>
              <w:t>投入配送车辆，每1辆车得</w:t>
            </w:r>
            <w:r>
              <w:rPr>
                <w:rFonts w:hint="eastAsia"/>
                <w:highlight w:val="none"/>
                <w:lang w:val="en-US" w:eastAsia="zh-CN"/>
              </w:rPr>
              <w:t>2</w:t>
            </w:r>
            <w:r>
              <w:rPr>
                <w:rFonts w:hint="eastAsia"/>
                <w:highlight w:val="none"/>
              </w:rPr>
              <w:t>分，最高得</w:t>
            </w:r>
            <w:r>
              <w:rPr>
                <w:rFonts w:hint="eastAsia"/>
                <w:highlight w:val="none"/>
                <w:lang w:val="en-US" w:eastAsia="zh-CN"/>
              </w:rPr>
              <w:t>6</w:t>
            </w:r>
            <w:r>
              <w:rPr>
                <w:rFonts w:hint="eastAsia"/>
                <w:highlight w:val="none"/>
              </w:rPr>
              <w:t>分；配送车辆中含有冷藏车的，每1辆</w:t>
            </w:r>
            <w:r>
              <w:rPr>
                <w:rFonts w:hint="eastAsia"/>
                <w:highlight w:val="none"/>
                <w:lang w:eastAsia="zh-CN"/>
              </w:rPr>
              <w:t>加</w:t>
            </w:r>
            <w:r>
              <w:rPr>
                <w:rFonts w:hint="eastAsia"/>
                <w:highlight w:val="none"/>
                <w:lang w:val="en-US" w:eastAsia="zh-CN"/>
              </w:rPr>
              <w:t>1</w:t>
            </w:r>
            <w:r>
              <w:rPr>
                <w:rFonts w:hint="eastAsia"/>
                <w:highlight w:val="none"/>
              </w:rPr>
              <w:t>分，最高</w:t>
            </w:r>
            <w:r>
              <w:rPr>
                <w:rFonts w:hint="eastAsia"/>
                <w:highlight w:val="none"/>
                <w:lang w:eastAsia="zh-CN"/>
              </w:rPr>
              <w:t>加</w:t>
            </w:r>
            <w:r>
              <w:rPr>
                <w:rFonts w:hint="eastAsia"/>
                <w:highlight w:val="none"/>
                <w:lang w:val="en-US" w:eastAsia="zh-CN"/>
              </w:rPr>
              <w:t>2</w:t>
            </w:r>
            <w:r>
              <w:rPr>
                <w:rFonts w:hint="eastAsia"/>
                <w:highlight w:val="none"/>
              </w:rPr>
              <w:t>分。</w:t>
            </w:r>
            <w:r>
              <w:rPr>
                <w:rFonts w:hint="eastAsia"/>
                <w:highlight w:val="none"/>
                <w:lang w:eastAsia="zh-CN"/>
              </w:rPr>
              <w:t>配送车辆最高得分为</w:t>
            </w:r>
            <w:r>
              <w:rPr>
                <w:rFonts w:hint="eastAsia"/>
                <w:highlight w:val="none"/>
                <w:lang w:val="en-US" w:eastAsia="zh-CN"/>
              </w:rPr>
              <w:t>8</w:t>
            </w:r>
            <w:r>
              <w:rPr>
                <w:rFonts w:hint="eastAsia"/>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rPr>
                <w:rFonts w:hint="default"/>
                <w:highlight w:val="none"/>
                <w:lang w:val="en-US" w:eastAsia="zh-CN"/>
              </w:rPr>
            </w:pPr>
            <w:r>
              <w:rPr>
                <w:rFonts w:hint="eastAsia"/>
                <w:highlight w:val="none"/>
                <w:lang w:val="en-US" w:eastAsia="zh-CN"/>
              </w:rPr>
              <w:t>2.供应商自有或租赁固定仓储场所的，得2分，仓储场所具有专门冷藏冰冻库的，加1分；本项最高得3分。</w:t>
            </w:r>
          </w:p>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rPr>
                <w:highlight w:val="none"/>
              </w:rPr>
            </w:pPr>
            <w:r>
              <w:rPr>
                <w:rFonts w:hint="eastAsia"/>
                <w:highlight w:val="none"/>
                <w:lang w:val="en-US" w:eastAsia="zh-CN"/>
              </w:rPr>
              <w:t>3</w:t>
            </w:r>
            <w:r>
              <w:rPr>
                <w:rFonts w:hint="eastAsia"/>
                <w:highlight w:val="none"/>
              </w:rPr>
              <w:t>.</w:t>
            </w:r>
            <w:r>
              <w:rPr>
                <w:rFonts w:hint="eastAsia"/>
                <w:highlight w:val="none"/>
                <w:lang w:eastAsia="zh-CN"/>
              </w:rPr>
              <w:t>储存仓库及</w:t>
            </w:r>
            <w:r>
              <w:rPr>
                <w:rFonts w:hint="eastAsia"/>
                <w:highlight w:val="none"/>
              </w:rPr>
              <w:t>配送车辆定期消毒清洗的，提供相关佐证材料的，</w:t>
            </w:r>
            <w:r>
              <w:rPr>
                <w:rFonts w:hint="eastAsia"/>
                <w:highlight w:val="none"/>
                <w:lang w:eastAsia="zh-CN"/>
              </w:rPr>
              <w:t>得</w:t>
            </w:r>
            <w:r>
              <w:rPr>
                <w:rFonts w:hint="eastAsia"/>
                <w:highlight w:val="none"/>
                <w:lang w:val="en-US" w:eastAsia="zh-CN"/>
              </w:rPr>
              <w:t>2</w:t>
            </w:r>
            <w:r>
              <w:rPr>
                <w:rFonts w:hint="eastAsia"/>
                <w:highlight w:val="none"/>
              </w:rPr>
              <w:t>分。不提供相关证明不</w:t>
            </w:r>
            <w:r>
              <w:rPr>
                <w:rFonts w:hint="eastAsia"/>
                <w:highlight w:val="none"/>
                <w:lang w:eastAsia="zh-CN"/>
              </w:rPr>
              <w:t>加</w:t>
            </w:r>
            <w:r>
              <w:rPr>
                <w:rFonts w:hint="eastAsia"/>
                <w:highlight w:val="none"/>
              </w:rPr>
              <w:t>分。</w:t>
            </w:r>
          </w:p>
          <w:p>
            <w:pPr>
              <w:keepNext w:val="0"/>
              <w:keepLines w:val="0"/>
              <w:pageBreakBefore w:val="0"/>
              <w:widowControl/>
              <w:kinsoku/>
              <w:wordWrap/>
              <w:overflowPunct/>
              <w:topLinePunct w:val="0"/>
              <w:autoSpaceDE/>
              <w:autoSpaceDN/>
              <w:bidi w:val="0"/>
              <w:adjustRightInd/>
              <w:snapToGrid/>
              <w:spacing w:line="360" w:lineRule="exact"/>
              <w:ind w:right="108" w:rightChars="0" w:firstLine="411" w:firstLineChars="196"/>
              <w:textAlignment w:val="auto"/>
              <w:rPr>
                <w:rFonts w:ascii="仿宋" w:hAnsi="仿宋" w:eastAsia="仿宋" w:cs="Times New Roman"/>
                <w:color w:val="000000"/>
                <w:kern w:val="0"/>
                <w:sz w:val="24"/>
                <w:szCs w:val="24"/>
              </w:rPr>
            </w:pPr>
            <w:r>
              <w:rPr>
                <w:rFonts w:hint="eastAsia"/>
                <w:highlight w:val="none"/>
              </w:rPr>
              <w:t>注：</w:t>
            </w:r>
            <w:r>
              <w:rPr>
                <w:rFonts w:hint="eastAsia"/>
                <w:highlight w:val="none"/>
                <w:lang w:eastAsia="zh-CN"/>
              </w:rPr>
              <w:t>供应商</w:t>
            </w:r>
            <w:r>
              <w:rPr>
                <w:rFonts w:hint="eastAsia"/>
                <w:highlight w:val="none"/>
              </w:rPr>
              <w:t>需提供配送车辆的车辆行驶证复印件及车辆照片（如为租赁车辆须提供租赁合同关键页复印件，租赁合同签订日期需早于公告发布日期，且合同期限不少于半年），不提供相关材料不得分。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13</w:t>
            </w:r>
          </w:p>
        </w:tc>
      </w:tr>
      <w:tr>
        <w:tblPrEx>
          <w:tblCellMar>
            <w:top w:w="0" w:type="dxa"/>
            <w:left w:w="108" w:type="dxa"/>
            <w:bottom w:w="67" w:type="dxa"/>
            <w:right w:w="0" w:type="dxa"/>
          </w:tblCellMar>
        </w:tblPrEx>
        <w:trPr>
          <w:trHeight w:val="3562"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lang w:eastAsia="zh-CN"/>
              </w:rPr>
            </w:pPr>
            <w:r>
              <w:rPr>
                <w:rFonts w:hint="eastAsia" w:ascii="仿宋" w:hAnsi="仿宋" w:eastAsia="仿宋" w:cs="Times New Roman"/>
                <w:color w:val="000000"/>
                <w:kern w:val="0"/>
                <w:sz w:val="24"/>
                <w:szCs w:val="24"/>
                <w:lang w:val="en-US" w:eastAsia="zh-CN"/>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rPr>
            </w:pPr>
            <w:r>
              <w:rPr>
                <w:rStyle w:val="8"/>
                <w:rFonts w:ascii="仿宋" w:hAnsi="仿宋" w:eastAsia="仿宋" w:cs="Times New Roman"/>
                <w:sz w:val="24"/>
                <w:szCs w:val="24"/>
              </w:rPr>
              <w:t>食材</w:t>
            </w:r>
            <w:r>
              <w:rPr>
                <w:rStyle w:val="8"/>
                <w:rFonts w:hint="eastAsia" w:ascii="仿宋" w:hAnsi="仿宋" w:eastAsia="仿宋" w:cs="Times New Roman"/>
                <w:sz w:val="24"/>
                <w:szCs w:val="24"/>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pPr>
            <w:r>
              <w:rPr>
                <w:rFonts w:hint="eastAsia"/>
              </w:rPr>
              <w:t>1.</w:t>
            </w:r>
            <w:r>
              <w:rPr>
                <w:rFonts w:hint="eastAsia"/>
                <w:lang w:eastAsia="zh-CN"/>
              </w:rPr>
              <w:t>供应商</w:t>
            </w:r>
            <w:r>
              <w:rPr>
                <w:rFonts w:hint="eastAsia"/>
              </w:rPr>
              <w:t xml:space="preserve">承诺建立配送采购人食材的追踪溯源体系及专门台账档案，得 </w:t>
            </w:r>
            <w:r>
              <w:rPr>
                <w:rFonts w:hint="eastAsia"/>
                <w:lang w:val="en-US" w:eastAsia="zh-CN"/>
              </w:rPr>
              <w:t>4</w:t>
            </w:r>
            <w:r>
              <w:rPr>
                <w:rFonts w:hint="eastAsia"/>
              </w:rPr>
              <w:t>分。（供应商提供承诺函加盖公章，不提供承诺函不得分）</w:t>
            </w:r>
          </w:p>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pPr>
            <w:r>
              <w:rPr>
                <w:rFonts w:hint="eastAsia"/>
              </w:rPr>
              <w:t>2.</w:t>
            </w:r>
            <w:r>
              <w:rPr>
                <w:rFonts w:hint="eastAsia"/>
                <w:lang w:eastAsia="zh-CN"/>
              </w:rPr>
              <w:t>供应商</w:t>
            </w:r>
            <w:r>
              <w:rPr>
                <w:rFonts w:hint="eastAsia"/>
              </w:rPr>
              <w:t>经营农贸市场或与农贸市场有稳定合作关系，每提供一项得</w:t>
            </w:r>
            <w:r>
              <w:rPr>
                <w:rFonts w:hint="eastAsia"/>
                <w:lang w:val="en-US" w:eastAsia="zh-CN"/>
              </w:rPr>
              <w:t>2</w:t>
            </w:r>
            <w:r>
              <w:rPr>
                <w:rFonts w:hint="eastAsia"/>
              </w:rPr>
              <w:t>分，本项累计最高得</w:t>
            </w:r>
            <w:r>
              <w:rPr>
                <w:rFonts w:hint="eastAsia"/>
                <w:lang w:val="en-US" w:eastAsia="zh-CN"/>
              </w:rPr>
              <w:t>4</w:t>
            </w:r>
            <w:r>
              <w:rPr>
                <w:rFonts w:hint="eastAsia"/>
              </w:rPr>
              <w:t>分。</w:t>
            </w:r>
            <w:r>
              <w:rPr>
                <w:rFonts w:hint="eastAsia"/>
                <w:lang w:eastAsia="zh-CN"/>
              </w:rPr>
              <w:t>（供应商</w:t>
            </w:r>
            <w:r>
              <w:rPr>
                <w:rFonts w:hint="eastAsia"/>
              </w:rPr>
              <w:t>提供经营农贸市场</w:t>
            </w:r>
            <w:r>
              <w:rPr>
                <w:rFonts w:hint="eastAsia"/>
                <w:lang w:val="en-US" w:eastAsia="zh-CN"/>
              </w:rPr>
              <w:t>的执照</w:t>
            </w:r>
            <w:r>
              <w:rPr>
                <w:rFonts w:hint="eastAsia"/>
              </w:rPr>
              <w:t>或与农贸市场的合作协议</w:t>
            </w:r>
            <w:r>
              <w:rPr>
                <w:rFonts w:hint="eastAsia"/>
                <w:lang w:eastAsia="zh-CN"/>
              </w:rPr>
              <w:t>、</w:t>
            </w:r>
            <w:r>
              <w:rPr>
                <w:rFonts w:hint="eastAsia"/>
              </w:rPr>
              <w:t>合同复印件加盖公章，不提供不得分)</w:t>
            </w:r>
          </w:p>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rPr>
                <w:rFonts w:ascii="仿宋" w:hAnsi="仿宋" w:eastAsia="仿宋" w:cs="Times New Roman"/>
                <w:color w:val="000000"/>
                <w:kern w:val="0"/>
                <w:sz w:val="24"/>
                <w:szCs w:val="24"/>
              </w:rPr>
            </w:pPr>
            <w:r>
              <w:rPr>
                <w:rFonts w:hint="eastAsia"/>
                <w:lang w:val="en-US" w:eastAsia="zh-CN"/>
              </w:rPr>
              <w:t>3</w:t>
            </w:r>
            <w:r>
              <w:rPr>
                <w:rFonts w:hint="eastAsia"/>
              </w:rPr>
              <w:t>.</w:t>
            </w:r>
            <w:r>
              <w:rPr>
                <w:rFonts w:hint="eastAsia"/>
                <w:lang w:eastAsia="zh-CN"/>
              </w:rPr>
              <w:t>供应商</w:t>
            </w:r>
            <w:r>
              <w:rPr>
                <w:rFonts w:hint="eastAsia"/>
              </w:rPr>
              <w:t>自有或</w:t>
            </w:r>
            <w:r>
              <w:rPr>
                <w:rFonts w:hint="eastAsia"/>
                <w:lang w:val="en-US" w:eastAsia="zh-CN"/>
              </w:rPr>
              <w:t>与</w:t>
            </w:r>
            <w:r>
              <w:rPr>
                <w:rFonts w:hint="eastAsia"/>
              </w:rPr>
              <w:t>相关资质企业合作原材料生产基地的，如蔬菜、肉类、粮食、水果、水产品、副食品等，每提供 1项得</w:t>
            </w:r>
            <w:r>
              <w:rPr>
                <w:rFonts w:hint="eastAsia"/>
                <w:lang w:val="en-US" w:eastAsia="zh-CN"/>
              </w:rPr>
              <w:t>2</w:t>
            </w:r>
            <w:r>
              <w:rPr>
                <w:rFonts w:hint="eastAsia"/>
              </w:rPr>
              <w:t>分，本项累计最高得</w:t>
            </w:r>
            <w:r>
              <w:rPr>
                <w:rFonts w:hint="eastAsia"/>
                <w:lang w:val="en-US" w:eastAsia="zh-CN"/>
              </w:rPr>
              <w:t>4</w:t>
            </w:r>
            <w:r>
              <w:rPr>
                <w:rFonts w:hint="eastAsia"/>
              </w:rPr>
              <w:t>分。</w:t>
            </w:r>
            <w:r>
              <w:rPr>
                <w:rFonts w:hint="eastAsia"/>
                <w:lang w:eastAsia="zh-CN"/>
              </w:rPr>
              <w:t>（</w:t>
            </w:r>
            <w:r>
              <w:rPr>
                <w:rFonts w:hint="eastAsia"/>
              </w:rPr>
              <w:t>提供自有基地相关的产权证明</w:t>
            </w:r>
            <w:r>
              <w:rPr>
                <w:rFonts w:hint="eastAsia"/>
                <w:lang w:val="en-US" w:eastAsia="zh-CN"/>
              </w:rPr>
              <w:t>或者租赁证明</w:t>
            </w:r>
            <w:r>
              <w:rPr>
                <w:rFonts w:hint="eastAsia"/>
              </w:rPr>
              <w:t>复印件加盖公章，如合作原材料基地的提供合作合同复印件、合作企业的有效的营业执照或生产许可证复印件加盖公章，否则不得分</w:t>
            </w:r>
            <w:r>
              <w:rPr>
                <w:rFonts w:hint="eastAsia"/>
                <w:lang w:eastAsia="zh-CN"/>
              </w:rPr>
              <w:t>）</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lang w:val="en-US" w:eastAsia="zh-CN"/>
              </w:rPr>
            </w:pPr>
            <w:r>
              <w:rPr>
                <w:rFonts w:hint="eastAsia" w:ascii="仿宋" w:hAnsi="仿宋" w:eastAsia="仿宋" w:cs="Times New Roman"/>
                <w:color w:val="000000"/>
                <w:kern w:val="0"/>
                <w:sz w:val="24"/>
                <w:szCs w:val="24"/>
                <w:lang w:val="en-US" w:eastAsia="zh-CN"/>
              </w:rPr>
              <w:t>12</w:t>
            </w:r>
          </w:p>
        </w:tc>
      </w:tr>
      <w:tr>
        <w:tblPrEx>
          <w:tblCellMar>
            <w:top w:w="0" w:type="dxa"/>
            <w:left w:w="108" w:type="dxa"/>
            <w:bottom w:w="67" w:type="dxa"/>
            <w:right w:w="0" w:type="dxa"/>
          </w:tblCellMar>
        </w:tblPrEx>
        <w:trPr>
          <w:trHeight w:val="4962"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6</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ascii="仿宋" w:hAnsi="仿宋" w:eastAsia="仿宋" w:cs="Times New Roman"/>
                <w:b/>
                <w:bCs/>
                <w:kern w:val="2"/>
                <w:sz w:val="24"/>
                <w:szCs w:val="24"/>
                <w:lang w:val="en-US" w:eastAsia="zh-CN" w:bidi="ar-SA"/>
              </w:rPr>
            </w:pPr>
            <w:r>
              <w:rPr>
                <w:rStyle w:val="8"/>
                <w:rFonts w:ascii="仿宋" w:hAnsi="仿宋" w:eastAsia="仿宋" w:cs="Times New Roman"/>
                <w:sz w:val="24"/>
                <w:szCs w:val="24"/>
              </w:rPr>
              <w:t>食材</w:t>
            </w:r>
            <w:r>
              <w:rPr>
                <w:rStyle w:val="8"/>
                <w:rFonts w:hint="eastAsia" w:ascii="仿宋" w:hAnsi="仿宋" w:eastAsia="仿宋" w:cs="Times New Roman"/>
                <w:sz w:val="24"/>
                <w:szCs w:val="24"/>
              </w:rPr>
              <w:t>安全</w:t>
            </w:r>
            <w:r>
              <w:rPr>
                <w:rStyle w:val="8"/>
                <w:rFonts w:ascii="仿宋" w:hAnsi="仿宋" w:eastAsia="仿宋" w:cs="Times New Roman"/>
                <w:sz w:val="24"/>
                <w:szCs w:val="24"/>
              </w:rPr>
              <w:t>保障</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right="108" w:firstLine="420" w:firstLineChars="200"/>
              <w:textAlignment w:val="auto"/>
            </w:pPr>
            <w:r>
              <w:rPr>
                <w:rFonts w:hint="eastAsia"/>
              </w:rPr>
              <w:t>1.</w:t>
            </w:r>
            <w:r>
              <w:rPr>
                <w:rFonts w:hint="eastAsia"/>
                <w:lang w:eastAsia="zh-CN"/>
              </w:rPr>
              <w:t>供应商</w:t>
            </w:r>
            <w:r>
              <w:rPr>
                <w:rFonts w:hint="eastAsia"/>
              </w:rPr>
              <w:t>提供获得政府行政管理部门或有资质的第三方检测机构出具的对主要食材米、粉、面、蔬菜、禽畜生肉、禽蛋、水产品、副食品等的检验合格质检报告，每提供一项原材料报告得</w:t>
            </w:r>
            <w:r>
              <w:rPr>
                <w:rFonts w:hint="eastAsia"/>
                <w:lang w:val="en-US" w:eastAsia="zh-CN"/>
              </w:rPr>
              <w:t>1</w:t>
            </w:r>
            <w:r>
              <w:rPr>
                <w:rFonts w:hint="eastAsia"/>
              </w:rPr>
              <w:t>分，最高得分为</w:t>
            </w:r>
            <w:r>
              <w:rPr>
                <w:rFonts w:hint="eastAsia"/>
                <w:lang w:val="en-US" w:eastAsia="zh-CN"/>
              </w:rPr>
              <w:t>5</w:t>
            </w:r>
            <w:r>
              <w:rPr>
                <w:rFonts w:hint="eastAsia"/>
              </w:rPr>
              <w:t>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rPr>
            </w:pPr>
            <w:r>
              <w:rPr>
                <w:rFonts w:hint="eastAsia"/>
              </w:rPr>
              <w:t>2.</w:t>
            </w:r>
            <w:r>
              <w:rPr>
                <w:rFonts w:hint="eastAsia"/>
                <w:lang w:eastAsia="zh-CN"/>
              </w:rPr>
              <w:t>供应商</w:t>
            </w:r>
            <w:r>
              <w:rPr>
                <w:rFonts w:hint="eastAsia"/>
              </w:rPr>
              <w:t>对食品安全进行安全责任投保，投保金额不少于3000万元的，或单次赔保金额不少于300万元的，得10分；投保金额不少于1000万元的，或单次赔保金额不少于200万元的，得5分；投保金额不少于500万元的，或单次赔保金额不少于100万元的，得3分；投保金额不少于100万元的，或单次赔保金额不少于50万元的，得1分。</w:t>
            </w:r>
            <w:r>
              <w:rPr>
                <w:rFonts w:hint="eastAsia"/>
                <w:lang w:eastAsia="zh-CN"/>
              </w:rPr>
              <w:t>供应商</w:t>
            </w:r>
            <w:r>
              <w:rPr>
                <w:rFonts w:hint="eastAsia"/>
              </w:rPr>
              <w:t>需提供有效的食品安全责任保险合同，不提供相关证明不得分。</w:t>
            </w:r>
          </w:p>
          <w:p>
            <w:pPr>
              <w:pStyle w:val="2"/>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Courier New" w:eastAsiaTheme="minorEastAsia" w:cstheme="minorBidi"/>
                <w:kern w:val="0"/>
                <w:sz w:val="20"/>
                <w:szCs w:val="20"/>
                <w:lang w:val="en-US" w:eastAsia="zh-CN" w:bidi="ar-SA"/>
              </w:rPr>
            </w:pPr>
            <w:r>
              <w:rPr>
                <w:rFonts w:hint="eastAsia" w:asciiTheme="minorHAnsi" w:hAnsiTheme="minorHAnsi" w:eastAsiaTheme="minorEastAsia" w:cstheme="minorBidi"/>
                <w:kern w:val="2"/>
                <w:sz w:val="21"/>
                <w:szCs w:val="22"/>
                <w:highlight w:val="none"/>
                <w:lang w:val="en-US" w:eastAsia="zh-CN" w:bidi="ar-SA"/>
              </w:rPr>
              <w:t>3.</w:t>
            </w:r>
            <w:r>
              <w:rPr>
                <w:rFonts w:hint="eastAsia" w:asciiTheme="minorHAnsi" w:hAnsiTheme="minorHAnsi" w:cstheme="minorBidi"/>
                <w:kern w:val="2"/>
                <w:sz w:val="21"/>
                <w:szCs w:val="22"/>
                <w:highlight w:val="none"/>
                <w:lang w:val="en-US" w:eastAsia="zh-CN" w:bidi="ar-SA"/>
              </w:rPr>
              <w:t>供应商从业人员是否具备食品安全管理人员证（或考试合格证明）、食品检验证书，每提供一名持证人员得1分，最高得5分；需提供持证人员近半年在本单位的社保流水。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10"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kern w:val="0"/>
                <w:sz w:val="24"/>
                <w:szCs w:val="24"/>
              </w:rPr>
              <w:t>20</w:t>
            </w:r>
          </w:p>
        </w:tc>
      </w:tr>
      <w:tr>
        <w:tblPrEx>
          <w:tblCellMar>
            <w:top w:w="0" w:type="dxa"/>
            <w:left w:w="108" w:type="dxa"/>
            <w:bottom w:w="67" w:type="dxa"/>
            <w:right w:w="0" w:type="dxa"/>
          </w:tblCellMar>
        </w:tblPrEx>
        <w:trPr>
          <w:trHeight w:val="104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7</w:t>
            </w:r>
            <w:r>
              <w:rPr>
                <w:rFonts w:hint="eastAsia" w:ascii="仿宋" w:hAnsi="仿宋" w:eastAsia="仿宋" w:cs="Times New Roman"/>
                <w:color w:val="000000"/>
                <w:kern w:val="0"/>
                <w:sz w:val="24"/>
                <w:szCs w:val="24"/>
              </w:rPr>
              <w:t xml:space="preserve"> </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ascii="仿宋" w:hAnsi="仿宋" w:eastAsia="仿宋" w:cs="Times New Roman"/>
                <w:b/>
                <w:bCs/>
                <w:kern w:val="2"/>
                <w:sz w:val="24"/>
                <w:szCs w:val="24"/>
                <w:lang w:val="en-US" w:eastAsia="zh-CN" w:bidi="ar-SA"/>
              </w:rPr>
            </w:pPr>
            <w:r>
              <w:rPr>
                <w:rStyle w:val="8"/>
                <w:rFonts w:hint="eastAsia" w:ascii="仿宋" w:hAnsi="仿宋" w:eastAsia="仿宋" w:cs="Times New Roman"/>
                <w:sz w:val="24"/>
                <w:szCs w:val="24"/>
              </w:rPr>
              <w:t>食材</w:t>
            </w:r>
            <w:r>
              <w:rPr>
                <w:rStyle w:val="8"/>
                <w:rFonts w:ascii="仿宋" w:hAnsi="仿宋" w:eastAsia="仿宋" w:cs="Times New Roman"/>
                <w:sz w:val="24"/>
                <w:szCs w:val="24"/>
              </w:rPr>
              <w:t>价格</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0"/>
              <w:jc w:val="left"/>
              <w:textAlignment w:val="auto"/>
              <w:rPr>
                <w:rFonts w:hint="eastAsia" w:asciiTheme="minorHAnsi" w:hAnsiTheme="minorHAnsi" w:eastAsiaTheme="minorEastAsia" w:cstheme="minorBidi"/>
                <w:kern w:val="2"/>
                <w:sz w:val="21"/>
                <w:szCs w:val="22"/>
                <w:lang w:val="en-US" w:eastAsia="zh-CN" w:bidi="ar-SA"/>
              </w:rPr>
            </w:pPr>
            <w:r>
              <w:rPr>
                <w:rFonts w:hint="eastAsia"/>
              </w:rPr>
              <w:t>以江门市发改局公布的江门市菜篮子价格为基准价格，供应商提供折扣率报价，折扣率为0不得分，折扣率每增加1%得1分，最高得分10分。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10"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10</w:t>
            </w:r>
          </w:p>
        </w:tc>
      </w:tr>
      <w:tr>
        <w:tblPrEx>
          <w:tblCellMar>
            <w:top w:w="0" w:type="dxa"/>
            <w:left w:w="108" w:type="dxa"/>
            <w:bottom w:w="67" w:type="dxa"/>
            <w:right w:w="0" w:type="dxa"/>
          </w:tblCellMar>
        </w:tblPrEx>
        <w:trPr>
          <w:trHeight w:val="189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8</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ascii="仿宋" w:hAnsi="仿宋" w:eastAsia="仿宋" w:cs="Times New Roman"/>
                <w:b/>
                <w:bCs/>
                <w:kern w:val="2"/>
                <w:sz w:val="24"/>
                <w:szCs w:val="24"/>
                <w:lang w:val="en-US" w:eastAsia="zh-CN" w:bidi="ar-SA"/>
              </w:rPr>
            </w:pPr>
            <w:r>
              <w:rPr>
                <w:rStyle w:val="8"/>
                <w:rFonts w:hint="eastAsia" w:ascii="仿宋" w:hAnsi="仿宋" w:eastAsia="仿宋" w:cs="Times New Roman"/>
                <w:sz w:val="24"/>
                <w:szCs w:val="24"/>
              </w:rPr>
              <w:t>现场调查</w:t>
            </w:r>
          </w:p>
        </w:tc>
        <w:tc>
          <w:tcPr>
            <w:tcW w:w="6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Theme="minorHAnsi" w:hAnsiTheme="minorHAnsi" w:eastAsiaTheme="minorEastAsia"/>
                <w:color w:val="auto"/>
                <w:kern w:val="2"/>
                <w:sz w:val="21"/>
                <w:szCs w:val="22"/>
                <w:lang w:val="en-US" w:eastAsia="zh-CN"/>
              </w:rPr>
            </w:pPr>
            <w:r>
              <w:rPr>
                <w:rFonts w:hint="eastAsia" w:asciiTheme="minorHAnsi" w:hAnsiTheme="minorHAnsi"/>
                <w:color w:val="auto"/>
                <w:kern w:val="2"/>
                <w:sz w:val="21"/>
                <w:szCs w:val="22"/>
                <w:lang w:eastAsia="zh-CN"/>
              </w:rPr>
              <w:t>对供应商的经营场所和仓储场所进行实地考察，综合评定等级，按照优、良、中、差等级分别得</w:t>
            </w:r>
            <w:r>
              <w:rPr>
                <w:rFonts w:hint="eastAsia" w:asciiTheme="minorHAnsi" w:hAnsiTheme="minorHAnsi"/>
                <w:color w:val="auto"/>
                <w:kern w:val="2"/>
                <w:sz w:val="21"/>
                <w:szCs w:val="22"/>
                <w:lang w:val="en-US" w:eastAsia="zh-CN"/>
              </w:rPr>
              <w:t>10、8、5、2分。发现涉及重大食品安全隐患的，经评分小组研究，直接取消资格。</w:t>
            </w:r>
          </w:p>
          <w:p>
            <w:pPr>
              <w:pStyle w:val="2"/>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 w:hAnsi="仿宋" w:cs="Times New Roman" w:eastAsiaTheme="minorEastAsia"/>
                <w:color w:val="000000"/>
                <w:kern w:val="0"/>
                <w:sz w:val="24"/>
                <w:szCs w:val="24"/>
                <w:lang w:val="en-US" w:eastAsia="zh-CN" w:bidi="ar-SA"/>
              </w:rPr>
            </w:pPr>
            <w:r>
              <w:rPr>
                <w:rFonts w:hint="eastAsia" w:asciiTheme="minorHAnsi" w:hAnsiTheme="minorHAnsi"/>
                <w:color w:val="auto"/>
                <w:kern w:val="2"/>
                <w:sz w:val="21"/>
                <w:szCs w:val="22"/>
              </w:rPr>
              <w:t>对供应商提供的方案以及现合作方（含甲方、乙方）进行</w:t>
            </w:r>
            <w:r>
              <w:rPr>
                <w:rFonts w:hint="eastAsia" w:asciiTheme="minorHAnsi" w:hAnsiTheme="minorHAnsi"/>
                <w:color w:val="auto"/>
                <w:kern w:val="2"/>
                <w:sz w:val="21"/>
                <w:szCs w:val="22"/>
                <w:lang w:eastAsia="zh-CN"/>
              </w:rPr>
              <w:t>现场</w:t>
            </w:r>
            <w:r>
              <w:rPr>
                <w:rFonts w:hint="eastAsia" w:asciiTheme="minorHAnsi" w:hAnsiTheme="minorHAnsi"/>
                <w:color w:val="auto"/>
                <w:kern w:val="2"/>
                <w:sz w:val="21"/>
                <w:szCs w:val="22"/>
              </w:rPr>
              <w:t>抽查，发现1起隐瞒、虚构、造假，扣2分，</w:t>
            </w:r>
            <w:r>
              <w:rPr>
                <w:rFonts w:hint="eastAsia" w:asciiTheme="minorHAnsi" w:hAnsiTheme="minorHAnsi"/>
                <w:color w:val="auto"/>
                <w:kern w:val="2"/>
                <w:sz w:val="21"/>
                <w:szCs w:val="22"/>
                <w:lang w:eastAsia="zh-CN"/>
              </w:rPr>
              <w:t>扣完本项应得分为止。</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10"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rPr>
              <w:t>10</w:t>
            </w:r>
          </w:p>
        </w:tc>
      </w:tr>
    </w:tbl>
    <w:p>
      <w:pPr>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1040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YTBlOTcxMDhmNzVlMjQ2ODYyY2NlMDMyNmRlMWMifQ=="/>
  </w:docVars>
  <w:rsids>
    <w:rsidRoot w:val="192F1C53"/>
    <w:rsid w:val="00027A97"/>
    <w:rsid w:val="0003446D"/>
    <w:rsid w:val="000A39DD"/>
    <w:rsid w:val="000E2E33"/>
    <w:rsid w:val="000E4B69"/>
    <w:rsid w:val="000F72EC"/>
    <w:rsid w:val="0011333C"/>
    <w:rsid w:val="00114905"/>
    <w:rsid w:val="001C00E7"/>
    <w:rsid w:val="001D7913"/>
    <w:rsid w:val="002159E3"/>
    <w:rsid w:val="00253497"/>
    <w:rsid w:val="002F2FAE"/>
    <w:rsid w:val="003C2D17"/>
    <w:rsid w:val="00444802"/>
    <w:rsid w:val="00516F57"/>
    <w:rsid w:val="00531394"/>
    <w:rsid w:val="005C24A7"/>
    <w:rsid w:val="005F6C58"/>
    <w:rsid w:val="006011E3"/>
    <w:rsid w:val="006B210B"/>
    <w:rsid w:val="00715E72"/>
    <w:rsid w:val="007448B4"/>
    <w:rsid w:val="00760CDA"/>
    <w:rsid w:val="00777AAB"/>
    <w:rsid w:val="0078481B"/>
    <w:rsid w:val="007F142F"/>
    <w:rsid w:val="00863270"/>
    <w:rsid w:val="008B7D05"/>
    <w:rsid w:val="008C75BA"/>
    <w:rsid w:val="008F49A7"/>
    <w:rsid w:val="009307A7"/>
    <w:rsid w:val="00955CC6"/>
    <w:rsid w:val="00983B5C"/>
    <w:rsid w:val="00A93BDA"/>
    <w:rsid w:val="00AD3527"/>
    <w:rsid w:val="00BA1A5A"/>
    <w:rsid w:val="00BF2CDA"/>
    <w:rsid w:val="00D91FAF"/>
    <w:rsid w:val="00F32136"/>
    <w:rsid w:val="09C4763F"/>
    <w:rsid w:val="15D02AAB"/>
    <w:rsid w:val="192F1C53"/>
    <w:rsid w:val="19970CE7"/>
    <w:rsid w:val="1A0F236F"/>
    <w:rsid w:val="1C1924C8"/>
    <w:rsid w:val="204913B0"/>
    <w:rsid w:val="276B739B"/>
    <w:rsid w:val="299736CD"/>
    <w:rsid w:val="31A830A5"/>
    <w:rsid w:val="32E40C59"/>
    <w:rsid w:val="3B8900CD"/>
    <w:rsid w:val="457B4A44"/>
    <w:rsid w:val="485339CE"/>
    <w:rsid w:val="4CC073E1"/>
    <w:rsid w:val="57E984DE"/>
    <w:rsid w:val="63BA198E"/>
    <w:rsid w:val="6DA8604A"/>
    <w:rsid w:val="731C41B1"/>
    <w:rsid w:val="749B21CD"/>
    <w:rsid w:val="76F870A1"/>
    <w:rsid w:val="77FE69B3"/>
    <w:rsid w:val="7B7A6232"/>
    <w:rsid w:val="7CE9860A"/>
    <w:rsid w:val="7DFEC971"/>
    <w:rsid w:val="BB93DDBA"/>
    <w:rsid w:val="DAEB4CB2"/>
    <w:rsid w:val="E9FD3F82"/>
    <w:rsid w:val="EBCB8C98"/>
    <w:rsid w:val="EF6A32E7"/>
    <w:rsid w:val="F5FFDF52"/>
    <w:rsid w:val="FD4FFABE"/>
    <w:rsid w:val="FD699213"/>
    <w:rsid w:val="FEB5B2D2"/>
    <w:rsid w:val="FFFF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2069</Words>
  <Characters>2144</Characters>
  <Lines>13</Lines>
  <Paragraphs>3</Paragraphs>
  <TotalTime>27</TotalTime>
  <ScaleCrop>false</ScaleCrop>
  <LinksUpToDate>false</LinksUpToDate>
  <CharactersWithSpaces>2152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2023-09-15T16:30:00Z</dcterms:created>
  <dc:creator>李耀明</dc:creator>
  <cp:lastModifiedBy>liweiyao</cp:lastModifiedBy>
  <cp:lastPrinted>2023-11-28T09:21:00Z</cp:lastPrinted>
  <dcterms:modified xsi:type="dcterms:W3CDTF">2025-10-11T10:36:15Z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ribbonExt">
    <vt:lpwstr>{"WPSExtOfficeTab":{"OnGetEnabled":false,"OnGetVisible":false}}</vt:lpwstr>
  </property>
  <property fmtid="{D5CDD505-2E9C-101B-9397-08002B2CF9AE}" pid="4" name="ICV">
    <vt:lpwstr>9646911ED2A23A2A9FC2E9684F00DF51_43</vt:lpwstr>
  </property>
  <property fmtid="{D5CDD505-2E9C-101B-9397-08002B2CF9AE}" pid="5" name="KSOTemplateDocerSaveRecord">
    <vt:lpwstr>eyJoZGlkIjoiNGZmYTBlOTcxMDhmNzVlMjQ2ODYyY2NlMDMyNmRlMWMiLCJ1c2VySWQiOiIzNTMxNDY2NTIifQ==</vt:lpwstr>
  </property>
</Properties>
</file>