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color w:val="auto"/>
          <w:kern w:val="0"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auto"/>
          <w:kern w:val="0"/>
          <w:sz w:val="30"/>
          <w:szCs w:val="30"/>
          <w:highlight w:val="none"/>
        </w:rPr>
        <w:t>附件</w:t>
      </w:r>
    </w:p>
    <w:p>
      <w:pPr>
        <w:spacing w:line="400" w:lineRule="exact"/>
        <w:jc w:val="center"/>
        <w:rPr>
          <w:rFonts w:hint="eastAsia" w:ascii="方正黑体_GBK" w:hAnsi="方正黑体_GBK" w:eastAsia="方正黑体_GBK" w:cs="方正黑体_GBK"/>
          <w:color w:val="auto"/>
          <w:spacing w:val="-20"/>
          <w:sz w:val="30"/>
          <w:szCs w:val="30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pacing w:val="-20"/>
          <w:sz w:val="30"/>
          <w:szCs w:val="30"/>
          <w:highlight w:val="none"/>
        </w:rPr>
        <w:t>江门市“百千万工程”</w:t>
      </w:r>
      <w:r>
        <w:rPr>
          <w:rFonts w:hint="eastAsia" w:ascii="方正黑体_GBK" w:hAnsi="方正黑体_GBK" w:eastAsia="方正黑体_GBK" w:cs="方正黑体_GBK"/>
          <w:color w:val="auto"/>
          <w:spacing w:val="-20"/>
          <w:sz w:val="30"/>
          <w:szCs w:val="30"/>
          <w:highlight w:val="none"/>
          <w:lang w:eastAsia="zh-CN"/>
        </w:rPr>
        <w:t>村镇建设</w:t>
      </w:r>
      <w:r>
        <w:rPr>
          <w:rFonts w:hint="eastAsia" w:ascii="方正黑体_GBK" w:hAnsi="方正黑体_GBK" w:eastAsia="方正黑体_GBK" w:cs="方正黑体_GBK"/>
          <w:color w:val="auto"/>
          <w:spacing w:val="-20"/>
          <w:sz w:val="30"/>
          <w:szCs w:val="30"/>
          <w:highlight w:val="none"/>
        </w:rPr>
        <w:t>管理人员专题培训采购</w:t>
      </w:r>
      <w:r>
        <w:rPr>
          <w:rFonts w:hint="eastAsia" w:ascii="方正黑体_GBK" w:hAnsi="方正黑体_GBK" w:eastAsia="方正黑体_GBK" w:cs="方正黑体_GBK"/>
          <w:color w:val="auto"/>
          <w:spacing w:val="-20"/>
          <w:sz w:val="30"/>
          <w:szCs w:val="30"/>
          <w:highlight w:val="none"/>
          <w:lang w:eastAsia="zh-CN"/>
        </w:rPr>
        <w:t>方案</w:t>
      </w:r>
      <w:r>
        <w:rPr>
          <w:rFonts w:hint="eastAsia" w:ascii="方正黑体_GBK" w:hAnsi="方正黑体_GBK" w:eastAsia="方正黑体_GBK" w:cs="方正黑体_GBK"/>
          <w:color w:val="auto"/>
          <w:spacing w:val="-20"/>
          <w:sz w:val="30"/>
          <w:szCs w:val="30"/>
          <w:highlight w:val="none"/>
        </w:rPr>
        <w:t>评审表</w:t>
      </w:r>
    </w:p>
    <w:p>
      <w:pPr>
        <w:spacing w:line="400" w:lineRule="exact"/>
        <w:jc w:val="center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</w:pPr>
    </w:p>
    <w:tbl>
      <w:tblPr>
        <w:tblStyle w:val="4"/>
        <w:tblpPr w:leftFromText="180" w:rightFromText="180" w:vertAnchor="text" w:horzAnchor="page" w:tblpX="1851" w:tblpY="-237"/>
        <w:tblOverlap w:val="never"/>
        <w:tblW w:w="8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"/>
        <w:gridCol w:w="433"/>
        <w:gridCol w:w="635"/>
        <w:gridCol w:w="4354"/>
        <w:gridCol w:w="809"/>
        <w:gridCol w:w="770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4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highlight w:val="none"/>
              </w:rPr>
              <w:t>评审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highlight w:val="none"/>
              </w:rPr>
              <w:t>项目</w:t>
            </w:r>
          </w:p>
        </w:tc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highlight w:val="none"/>
              </w:rPr>
              <w:t>分值</w:t>
            </w:r>
          </w:p>
        </w:tc>
        <w:tc>
          <w:tcPr>
            <w:tcW w:w="4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highlight w:val="none"/>
              </w:rPr>
              <w:t>评审内容</w:t>
            </w:r>
          </w:p>
        </w:tc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highlight w:val="none"/>
              </w:rPr>
              <w:t>评审得分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</w:pPr>
          </w:p>
        </w:tc>
        <w:tc>
          <w:tcPr>
            <w:tcW w:w="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</w:pPr>
          </w:p>
        </w:tc>
        <w:tc>
          <w:tcPr>
            <w:tcW w:w="4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  <w:t>1</w:t>
            </w:r>
          </w:p>
        </w:tc>
        <w:tc>
          <w:tcPr>
            <w:tcW w:w="4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  <w:t>商务评分</w:t>
            </w:r>
          </w:p>
        </w:tc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  <w:t>40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 w:line="280" w:lineRule="exact"/>
              <w:rPr>
                <w:rFonts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（1）师资力量：师资库成员中包含有规划师、建筑师、工程师全部三种类别成员的，得10分；不足三个类别的，每有一个类别得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分，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最高得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。</w:t>
            </w:r>
          </w:p>
          <w:p>
            <w:pPr>
              <w:pStyle w:val="3"/>
              <w:spacing w:before="0" w:beforeAutospacing="0" w:after="0" w:afterAutospacing="0" w:line="280" w:lineRule="exact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（2）师资库成员中有正高级技术职称专业人员的，每个得5分，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最高得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。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2"/>
                <w:highlight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2"/>
                <w:highlight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highlight w:val="none"/>
              </w:rPr>
              <w:t>（3）服务经历：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提供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近五年相关项目经验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，每项得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分，最高得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分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注：须提供相关合同，并加盖供应商公章。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2"/>
                <w:highlight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2"/>
                <w:highlight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1" w:hRule="atLeast"/>
        </w:trPr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  <w:t>2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  <w:t>技术评分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  <w:t>40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line="280" w:lineRule="exact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供应商根据采购方案制定培训课程方案，列出课程安排、师资力量、培训场地环境等各项工作。横向对比所有响应人，最高得40分。其中：</w:t>
            </w:r>
          </w:p>
          <w:p>
            <w:pPr>
              <w:pStyle w:val="2"/>
              <w:widowControl/>
              <w:spacing w:line="280" w:lineRule="exact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（1）方案详尽合理且有特色、各类师资力量充足、培训场地配套设施齐全，切实满足采购要求，确保按时完成并验收合格，得40分；</w:t>
            </w:r>
          </w:p>
          <w:p>
            <w:pPr>
              <w:pStyle w:val="2"/>
              <w:widowControl/>
              <w:spacing w:line="280" w:lineRule="exact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（2）方案包含大部分关键要素、满足采购要求，确保按时完成并验收合格，师资力量满足项目需求，得30分；</w:t>
            </w:r>
          </w:p>
          <w:p>
            <w:pPr>
              <w:pStyle w:val="2"/>
              <w:widowControl/>
              <w:spacing w:line="280" w:lineRule="exact"/>
              <w:ind w:firstLine="0" w:firstLineChars="0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（3）方案基本包含关键要素，部分内容简略或未体现，整体方案完整性欠缺，得20分；</w:t>
            </w:r>
          </w:p>
          <w:p>
            <w:pPr>
              <w:pStyle w:val="2"/>
              <w:widowControl/>
              <w:spacing w:line="280" w:lineRule="exact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（4）服务方案内容不完整，缺失较多关键要素，如未提及各类师资力量充足、培训场地配套设施等，得10分；。</w:t>
            </w:r>
          </w:p>
          <w:p>
            <w:pPr>
              <w:pStyle w:val="2"/>
              <w:widowControl/>
              <w:spacing w:line="280" w:lineRule="exact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（5）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lang w:val="en-US" w:eastAsia="zh-CN"/>
              </w:rPr>
              <w:t>没有提供实施方案不得分。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  <w:t>3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  <w:t>报价评分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  <w:t>20</w:t>
            </w:r>
          </w:p>
        </w:tc>
        <w:tc>
          <w:tcPr>
            <w:tcW w:w="4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highlight w:val="none"/>
              </w:rPr>
              <w:t>根据供应商报价由低到高排名得分，第一名得20分，第二名得15分；第三名得10分；第四名得5分，第五名及后续排名不得分，报价相同者得分一致。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  <w:t>总得分（总分100分）</w:t>
            </w: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highlight w:val="none"/>
              </w:rPr>
            </w:pPr>
          </w:p>
        </w:tc>
      </w:tr>
    </w:tbl>
    <w:p>
      <w:pPr>
        <w:rPr>
          <w:rFonts w:hint="eastAsia" w:ascii="方正黑体_GBK" w:hAnsi="方正黑体_GBK" w:eastAsia="方正黑体_GBK" w:cs="方正黑体_GBK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0"/>
          <w:szCs w:val="30"/>
          <w:highlight w:val="none"/>
          <w:lang w:eastAsia="zh-CN"/>
        </w:rPr>
        <w:t>评委签字：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FE6F1"/>
    <w:rsid w:val="3DFFDC2B"/>
    <w:rsid w:val="5FBFE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cs="Calibri"/>
      <w:szCs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2025-10-11T19:24:00Z</dcterms:created>
  <dc:creator>张淑清</dc:creator>
  <cp:lastModifiedBy>LXC</cp:lastModifiedBy>
  <dcterms:modified xsi:type="dcterms:W3CDTF">2025-10-14T10:40:50Z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FD3B9BD53F6DDCF832B8ED68C89D8F72_43</vt:lpwstr>
  </property>
</Properties>
</file>