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bookmarkStart w:id="0" w:name="_GoBack"/>
      <w:bookmarkEnd w:id="0"/>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标杆示范企业建设项目合同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甲、乙双方根据“江门市市场监督管理局商业秘密保护标杆示范企业建设项目”</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2025050</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甲方委托乙方就2025年江门市市场监督管理局商业秘密保护标杆示范企业建设项目提供</w:t>
      </w:r>
      <w:r>
        <w:rPr>
          <w:rFonts w:ascii="仿宋" w:hAnsi="仿宋" w:eastAsia="仿宋" w:cs="仿宋"/>
          <w:sz w:val="28"/>
          <w:szCs w:val="28"/>
        </w:rPr>
        <w:t>审查</w:t>
      </w:r>
      <w:r>
        <w:rPr>
          <w:rFonts w:hint="eastAsia" w:ascii="仿宋" w:hAnsi="仿宋" w:eastAsia="仿宋" w:cs="仿宋"/>
          <w:sz w:val="28"/>
          <w:szCs w:val="28"/>
        </w:rPr>
        <w:t>建设指导与存证服务工作，按甲方要求及标准在约定期限内，向甲方提供服务，并提交相关工作成果。具体服务内容及要求如下：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指导我市100家企业开展商业秘密保护“五个一”建设。</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协助市市场监管局培育商业秘密保护标杆示范企业不少于34家。</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为开展商业秘密保护“五个一”建设的100家企业提供在线存证服务，为每家企业免费提供20MB线上存证空间和10次区块链上链次数，出具具有法律效力的意见书。</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rPr>
        <w:t>5</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人民币拾</w:t>
      </w:r>
      <w:r>
        <w:rPr>
          <w:rFonts w:hint="eastAsia" w:ascii="仿宋" w:hAnsi="仿宋" w:eastAsia="仿宋" w:cs="仿宋"/>
          <w:bCs/>
          <w:sz w:val="28"/>
          <w:szCs w:val="28"/>
          <w:highlight w:val="yellow"/>
          <w:u w:val="single"/>
        </w:rPr>
        <w:t>万元整（¥ 10</w:t>
      </w:r>
      <w:r>
        <w:rPr>
          <w:rFonts w:ascii="仿宋" w:hAnsi="仿宋" w:eastAsia="仿宋" w:cs="仿宋"/>
          <w:bCs/>
          <w:sz w:val="28"/>
          <w:szCs w:val="28"/>
          <w:highlight w:val="yellow"/>
          <w:u w:val="single"/>
        </w:rPr>
        <w:t>0，0</w:t>
      </w:r>
      <w:r>
        <w:rPr>
          <w:rFonts w:hint="eastAsia" w:ascii="仿宋" w:hAnsi="仿宋" w:eastAsia="仿宋" w:cs="仿宋"/>
          <w:bCs/>
          <w:sz w:val="28"/>
          <w:szCs w:val="28"/>
          <w:highlight w:val="yellow"/>
          <w:u w:val="single"/>
        </w:rPr>
        <w:t>00.00元）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100家企业清单、每家企业的“五个一”建设验收报告、法律意见书、存证服务使用情况报告（应体现每家企业20MB空间和10次上链的使用记录）等]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江门市市场监督管理局商业秘密保护标杆示范企业建设项目采购公告；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7F11AE"/>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F5F4F93"/>
    <w:rsid w:val="6F66A238"/>
    <w:rsid w:val="6FFBEB74"/>
    <w:rsid w:val="6FFF869D"/>
    <w:rsid w:val="72AF67A9"/>
    <w:rsid w:val="76A81E4D"/>
    <w:rsid w:val="79276609"/>
    <w:rsid w:val="7EFEE140"/>
    <w:rsid w:val="BBE5F170"/>
    <w:rsid w:val="BF260C02"/>
    <w:rsid w:val="E7BD811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614</Words>
  <Characters>3506</Characters>
  <Lines>29</Lines>
  <Paragraphs>8</Paragraphs>
  <TotalTime>34</TotalTime>
  <ScaleCrop>false</ScaleCrop>
  <LinksUpToDate>false</LinksUpToDate>
  <CharactersWithSpaces>4112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2021-05-29T10:58:00Z</dcterms:created>
  <dc:creator>Administrator</dc:creator>
  <cp:lastModifiedBy>greatwall</cp:lastModifiedBy>
  <cp:lastPrinted>2025-09-17T10:03:00Z</cp:lastPrinted>
  <dcterms:modified xsi:type="dcterms:W3CDTF">2025-09-30T09:09:53Z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ies>
</file>