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33"/>
          <w:rFonts w:hint="default" w:ascii="Times New Roman" w:hAnsi="Times New Roman" w:cs="Times New Roman"/>
        </w:rPr>
      </w:pPr>
      <w:bookmarkStart w:id="87" w:name="_GoBack"/>
      <w:bookmarkEnd w:id="87"/>
    </w:p>
    <w:p>
      <w:pPr>
        <w:jc w:val="center"/>
        <w:rPr>
          <w:rFonts w:eastAsia="仿宋"/>
          <w:b/>
          <w:color w:val="000000" w:themeColor="text1"/>
          <w:spacing w:val="-14"/>
          <w:sz w:val="44"/>
          <w:szCs w:val="44"/>
          <w14:textFill>
            <w14:solidFill>
              <w14:schemeClr w14:val="tx1"/>
            </w14:solidFill>
          </w14:textFill>
        </w:rPr>
      </w:pPr>
    </w:p>
    <w:p>
      <w:pPr>
        <w:jc w:val="center"/>
        <w:rPr>
          <w:rFonts w:eastAsia="仿宋"/>
          <w:b/>
          <w:color w:val="000000" w:themeColor="text1"/>
          <w:spacing w:val="-14"/>
          <w:sz w:val="44"/>
          <w:szCs w:val="44"/>
          <w14:textFill>
            <w14:solidFill>
              <w14:schemeClr w14:val="tx1"/>
            </w14:solidFill>
          </w14:textFill>
        </w:rPr>
      </w:pPr>
    </w:p>
    <w:p>
      <w:pPr>
        <w:jc w:val="center"/>
        <w:rPr>
          <w:rFonts w:eastAsia="仿宋"/>
          <w:b/>
          <w:color w:val="000000" w:themeColor="text1"/>
          <w:spacing w:val="-14"/>
          <w:sz w:val="44"/>
          <w:szCs w:val="44"/>
          <w14:textFill>
            <w14:solidFill>
              <w14:schemeClr w14:val="tx1"/>
            </w14:solidFill>
          </w14:textFill>
        </w:rPr>
      </w:pPr>
    </w:p>
    <w:p>
      <w:pPr>
        <w:widowControl/>
        <w:jc w:val="center"/>
        <w:rPr>
          <w:rFonts w:eastAsia="方正小标宋简体"/>
          <w:bCs/>
          <w:color w:val="000000" w:themeColor="text1"/>
          <w:sz w:val="44"/>
          <w:szCs w:val="44"/>
          <w14:textFill>
            <w14:solidFill>
              <w14:schemeClr w14:val="tx1"/>
            </w14:solidFill>
          </w14:textFill>
        </w:rPr>
      </w:pPr>
      <w:r>
        <w:rPr>
          <w:rFonts w:eastAsia="方正小标宋简体"/>
          <w:bCs/>
          <w:color w:val="000000" w:themeColor="text1"/>
          <w:sz w:val="44"/>
          <w:szCs w:val="44"/>
          <w14:textFill>
            <w14:solidFill>
              <w14:schemeClr w14:val="tx1"/>
            </w14:solidFill>
          </w14:textFill>
        </w:rPr>
        <w:t>中国共产党江门市委员会政策研究室2024年度部门整体支出绩效评价报告</w:t>
      </w:r>
    </w:p>
    <w:p>
      <w:pPr>
        <w:widowControl/>
        <w:jc w:val="center"/>
        <w:rPr>
          <w:rFonts w:eastAsiaTheme="majorEastAsia"/>
          <w:b/>
          <w:color w:val="000000" w:themeColor="text1"/>
          <w:sz w:val="44"/>
          <w:szCs w:val="44"/>
          <w14:textFill>
            <w14:solidFill>
              <w14:schemeClr w14:val="tx1"/>
            </w14:solidFill>
          </w14:textFill>
        </w:rPr>
      </w:pPr>
    </w:p>
    <w:p>
      <w:pPr>
        <w:widowControl/>
        <w:jc w:val="center"/>
        <w:rPr>
          <w:rFonts w:eastAsiaTheme="majorEastAsia"/>
          <w:b/>
          <w:bCs/>
          <w:color w:val="000000" w:themeColor="text1"/>
          <w:sz w:val="44"/>
          <w:szCs w:val="44"/>
          <w14:textFill>
            <w14:solidFill>
              <w14:schemeClr w14:val="tx1"/>
            </w14:solidFill>
          </w14:textFill>
        </w:rPr>
      </w:pPr>
    </w:p>
    <w:p>
      <w:pPr>
        <w:widowControl/>
        <w:jc w:val="center"/>
        <w:rPr>
          <w:rFonts w:eastAsiaTheme="majorEastAsia"/>
          <w:b/>
          <w:bCs/>
          <w:color w:val="000000" w:themeColor="text1"/>
          <w:sz w:val="44"/>
          <w:szCs w:val="44"/>
          <w14:textFill>
            <w14:solidFill>
              <w14:schemeClr w14:val="tx1"/>
            </w14:solidFill>
          </w14:textFill>
        </w:rPr>
      </w:pPr>
    </w:p>
    <w:p>
      <w:pPr>
        <w:widowControl/>
        <w:jc w:val="center"/>
        <w:rPr>
          <w:rFonts w:eastAsiaTheme="majorEastAsia"/>
          <w:b/>
          <w:bCs/>
          <w:color w:val="000000" w:themeColor="text1"/>
          <w:sz w:val="44"/>
          <w:szCs w:val="44"/>
          <w14:textFill>
            <w14:solidFill>
              <w14:schemeClr w14:val="tx1"/>
            </w14:solidFill>
          </w14:textFill>
        </w:rPr>
      </w:pPr>
    </w:p>
    <w:p>
      <w:pPr>
        <w:widowControl/>
        <w:jc w:val="center"/>
        <w:rPr>
          <w:rFonts w:eastAsiaTheme="majorEastAsia"/>
          <w:b/>
          <w:bCs/>
          <w:color w:val="000000" w:themeColor="text1"/>
          <w:sz w:val="44"/>
          <w:szCs w:val="44"/>
          <w14:textFill>
            <w14:solidFill>
              <w14:schemeClr w14:val="tx1"/>
            </w14:solidFill>
          </w14:textFill>
        </w:rPr>
      </w:pPr>
    </w:p>
    <w:p>
      <w:pPr>
        <w:widowControl/>
        <w:jc w:val="center"/>
        <w:rPr>
          <w:rFonts w:eastAsiaTheme="majorEastAsia"/>
          <w:b/>
          <w:bCs/>
          <w:color w:val="000000" w:themeColor="text1"/>
          <w:sz w:val="44"/>
          <w:szCs w:val="44"/>
          <w14:textFill>
            <w14:solidFill>
              <w14:schemeClr w14:val="tx1"/>
            </w14:solidFill>
          </w14:textFill>
        </w:rPr>
      </w:pPr>
    </w:p>
    <w:p>
      <w:pPr>
        <w:widowControl/>
        <w:jc w:val="center"/>
        <w:rPr>
          <w:rFonts w:eastAsiaTheme="majorEastAsia"/>
          <w:b/>
          <w:bCs/>
          <w:color w:val="000000" w:themeColor="text1"/>
          <w:sz w:val="44"/>
          <w:szCs w:val="44"/>
          <w14:textFill>
            <w14:solidFill>
              <w14:schemeClr w14:val="tx1"/>
            </w14:solidFill>
          </w14:textFill>
        </w:rPr>
      </w:pPr>
    </w:p>
    <w:p>
      <w:pPr>
        <w:widowControl/>
        <w:jc w:val="center"/>
        <w:rPr>
          <w:rFonts w:eastAsiaTheme="majorEastAsia"/>
          <w:b/>
          <w:bCs/>
          <w:color w:val="000000" w:themeColor="text1"/>
          <w:sz w:val="44"/>
          <w:szCs w:val="44"/>
          <w14:textFill>
            <w14:solidFill>
              <w14:schemeClr w14:val="tx1"/>
            </w14:solidFill>
          </w14:textFill>
        </w:rPr>
      </w:pPr>
    </w:p>
    <w:p>
      <w:pPr>
        <w:widowControl/>
        <w:jc w:val="center"/>
        <w:rPr>
          <w:rFonts w:eastAsiaTheme="majorEastAsia"/>
          <w:b/>
          <w:bCs/>
          <w:color w:val="000000" w:themeColor="text1"/>
          <w:sz w:val="44"/>
          <w:szCs w:val="44"/>
          <w14:textFill>
            <w14:solidFill>
              <w14:schemeClr w14:val="tx1"/>
            </w14:solidFill>
          </w14:textFill>
        </w:rPr>
      </w:pPr>
    </w:p>
    <w:p>
      <w:pPr>
        <w:widowControl/>
        <w:jc w:val="center"/>
        <w:rPr>
          <w:rFonts w:eastAsiaTheme="majorEastAsia"/>
          <w:b/>
          <w:bCs/>
          <w:color w:val="000000" w:themeColor="text1"/>
          <w:sz w:val="44"/>
          <w:szCs w:val="44"/>
          <w14:textFill>
            <w14:solidFill>
              <w14:schemeClr w14:val="tx1"/>
            </w14:solidFill>
          </w14:textFill>
        </w:rPr>
      </w:pPr>
    </w:p>
    <w:p>
      <w:pPr>
        <w:widowControl/>
        <w:jc w:val="center"/>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广东政典新动能研究院有限公司</w:t>
      </w:r>
    </w:p>
    <w:p>
      <w:pPr>
        <w:widowControl/>
        <w:jc w:val="center"/>
        <w:rPr>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2025年</w:t>
      </w:r>
      <w:r>
        <w:rPr>
          <w:rFonts w:hint="eastAsia" w:eastAsia="仿宋"/>
          <w:bCs/>
          <w:color w:val="000000" w:themeColor="text1"/>
          <w:sz w:val="32"/>
          <w:szCs w:val="32"/>
          <w14:textFill>
            <w14:solidFill>
              <w14:schemeClr w14:val="tx1"/>
            </w14:solidFill>
          </w14:textFill>
        </w:rPr>
        <w:t>7</w:t>
      </w:r>
      <w:r>
        <w:rPr>
          <w:rFonts w:eastAsia="仿宋"/>
          <w:bCs/>
          <w:color w:val="000000" w:themeColor="text1"/>
          <w:sz w:val="32"/>
          <w:szCs w:val="32"/>
          <w14:textFill>
            <w14:solidFill>
              <w14:schemeClr w14:val="tx1"/>
            </w14:solidFill>
          </w14:textFill>
        </w:rPr>
        <w:t>月</w:t>
      </w:r>
    </w:p>
    <w:p>
      <w:pPr>
        <w:jc w:val="center"/>
        <w:rPr>
          <w:rFonts w:eastAsia="方正小标宋_GBK"/>
          <w:color w:val="000000" w:themeColor="text1"/>
          <w:sz w:val="44"/>
          <w:szCs w:val="44"/>
          <w14:textFill>
            <w14:solidFill>
              <w14:schemeClr w14:val="tx1"/>
            </w14:solidFill>
          </w14:textFill>
        </w:rPr>
        <w:sectPr>
          <w:pgSz w:w="11906" w:h="16838"/>
          <w:pgMar w:top="2098" w:right="1474" w:bottom="1985" w:left="1588" w:header="851" w:footer="992" w:gutter="0"/>
          <w:pgNumType w:start="1"/>
          <w:cols w:space="425" w:num="1"/>
          <w:docGrid w:type="lines" w:linePitch="312" w:charSpace="0"/>
        </w:sectPr>
      </w:pPr>
    </w:p>
    <w:sdt>
      <w:sdtPr>
        <w:rPr>
          <w:rFonts w:eastAsia="方正小标宋_GBK"/>
          <w:color w:val="000000" w:themeColor="text1"/>
          <w:sz w:val="44"/>
          <w:szCs w:val="44"/>
          <w14:textFill>
            <w14:solidFill>
              <w14:schemeClr w14:val="tx1"/>
            </w14:solidFill>
          </w14:textFill>
        </w:rPr>
        <w:id w:val="852541981"/>
        <w15:color w:val="DBDBDB"/>
        <w:docPartObj>
          <w:docPartGallery w:val="Table of Contents"/>
          <w:docPartUnique/>
        </w:docPartObj>
      </w:sdtPr>
      <w:sdtEndPr>
        <w:rPr>
          <w:rFonts w:eastAsia="方正小标宋_GBK"/>
          <w:color w:val="000000" w:themeColor="text1"/>
          <w:sz w:val="44"/>
          <w:szCs w:val="44"/>
          <w14:textFill>
            <w14:solidFill>
              <w14:schemeClr w14:val="tx1"/>
            </w14:solidFill>
          </w14:textFill>
        </w:rPr>
      </w:sdtEndPr>
      <w:sdtContent>
        <w:p>
          <w:pPr>
            <w:jc w:val="center"/>
            <w:rPr>
              <w:rFonts w:eastAsia="方正小标宋_GBK"/>
              <w:color w:val="000000" w:themeColor="text1"/>
              <w:sz w:val="44"/>
              <w:szCs w:val="44"/>
              <w14:textFill>
                <w14:solidFill>
                  <w14:schemeClr w14:val="tx1"/>
                </w14:solidFill>
              </w14:textFill>
            </w:rPr>
          </w:pPr>
          <w:r>
            <w:rPr>
              <w:rFonts w:eastAsia="方正小标宋_GBK"/>
              <w:color w:val="000000" w:themeColor="text1"/>
              <w:sz w:val="44"/>
              <w:szCs w:val="44"/>
              <w14:textFill>
                <w14:solidFill>
                  <w14:schemeClr w14:val="tx1"/>
                </w14:solidFill>
              </w14:textFill>
            </w:rPr>
            <w:t>目  录</w:t>
          </w:r>
        </w:p>
        <w:p>
          <w:pPr>
            <w:pStyle w:val="13"/>
            <w:tabs>
              <w:tab w:val="right" w:leader="dot" w:pos="8834"/>
            </w:tabs>
            <w:rPr>
              <w:rFonts w:hint="eastAsia" w:asciiTheme="minorHAnsi" w:hAnsiTheme="minorHAnsi" w:eastAsiaTheme="minorEastAsia" w:cstheme="minorBidi"/>
              <w:sz w:val="30"/>
              <w:szCs w:val="30"/>
              <w14:ligatures w14:val="standardContextual"/>
            </w:rPr>
          </w:pPr>
          <w:r>
            <w:rPr>
              <w:color w:val="000000" w:themeColor="text1"/>
              <w:sz w:val="30"/>
              <w:szCs w:val="30"/>
              <w14:textFill>
                <w14:solidFill>
                  <w14:schemeClr w14:val="tx1"/>
                </w14:solidFill>
              </w14:textFill>
            </w:rPr>
            <w:fldChar w:fldCharType="begin"/>
          </w:r>
          <w:r>
            <w:rPr>
              <w:color w:val="000000" w:themeColor="text1"/>
              <w:sz w:val="30"/>
              <w:szCs w:val="30"/>
              <w14:textFill>
                <w14:solidFill>
                  <w14:schemeClr w14:val="tx1"/>
                </w14:solidFill>
              </w14:textFill>
            </w:rPr>
            <w:instrText xml:space="preserve">TOC \o "1-2" \h \u </w:instrText>
          </w:r>
          <w:r>
            <w:rPr>
              <w:color w:val="000000" w:themeColor="text1"/>
              <w:sz w:val="30"/>
              <w:szCs w:val="30"/>
              <w14:textFill>
                <w14:solidFill>
                  <w14:schemeClr w14:val="tx1"/>
                </w14:solidFill>
              </w14:textFill>
            </w:rPr>
            <w:fldChar w:fldCharType="separate"/>
          </w:r>
          <w:r>
            <w:fldChar w:fldCharType="begin"/>
          </w:r>
          <w:r>
            <w:instrText xml:space="preserve"> HYPERLINK \l "_Toc203669475" </w:instrText>
          </w:r>
          <w:r>
            <w:fldChar w:fldCharType="separate"/>
          </w:r>
          <w:r>
            <w:rPr>
              <w:rStyle w:val="22"/>
              <w:rFonts w:hint="eastAsia" w:eastAsia="方正小标宋_GBK"/>
              <w:bCs/>
              <w:sz w:val="30"/>
              <w:szCs w:val="30"/>
            </w:rPr>
            <w:t>第一部分：</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_Toc203669475 \h</w:instrText>
          </w:r>
          <w:r>
            <w:rPr>
              <w:rFonts w:hint="eastAsia"/>
              <w:sz w:val="30"/>
              <w:szCs w:val="30"/>
            </w:rPr>
            <w:instrText xml:space="preserve"> </w:instrText>
          </w:r>
          <w:r>
            <w:rPr>
              <w:rFonts w:hint="eastAsia"/>
              <w:sz w:val="30"/>
              <w:szCs w:val="30"/>
            </w:rPr>
            <w:fldChar w:fldCharType="separate"/>
          </w:r>
          <w:r>
            <w:rPr>
              <w:sz w:val="30"/>
              <w:szCs w:val="30"/>
            </w:rPr>
            <w:t>1</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"_Toc203669476" </w:instrText>
          </w:r>
          <w:r>
            <w:fldChar w:fldCharType="separate"/>
          </w:r>
          <w:r>
            <w:rPr>
              <w:rStyle w:val="22"/>
              <w:rFonts w:hint="eastAsia" w:eastAsia="黑体"/>
              <w:sz w:val="30"/>
              <w:szCs w:val="30"/>
            </w:rPr>
            <w:t>一、评价部门概要</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_Toc203669476 \h</w:instrText>
          </w:r>
          <w:r>
            <w:rPr>
              <w:rFonts w:hint="eastAsia"/>
              <w:sz w:val="30"/>
              <w:szCs w:val="30"/>
            </w:rPr>
            <w:instrText xml:space="preserve"> </w:instrText>
          </w:r>
          <w:r>
            <w:rPr>
              <w:rFonts w:hint="eastAsia"/>
              <w:sz w:val="30"/>
              <w:szCs w:val="30"/>
            </w:rPr>
            <w:fldChar w:fldCharType="separate"/>
          </w:r>
          <w:r>
            <w:rPr>
              <w:sz w:val="30"/>
              <w:szCs w:val="30"/>
            </w:rPr>
            <w:t>1</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"_Toc203669477" </w:instrText>
          </w:r>
          <w:r>
            <w:fldChar w:fldCharType="separate"/>
          </w:r>
          <w:r>
            <w:rPr>
              <w:rStyle w:val="22"/>
              <w:rFonts w:hint="eastAsia" w:eastAsia="黑体"/>
              <w:sz w:val="30"/>
              <w:szCs w:val="30"/>
            </w:rPr>
            <w:t>二、绩效评价分析</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_Toc203669477 \h</w:instrText>
          </w:r>
          <w:r>
            <w:rPr>
              <w:rFonts w:hint="eastAsia"/>
              <w:sz w:val="30"/>
              <w:szCs w:val="30"/>
            </w:rPr>
            <w:instrText xml:space="preserve"> </w:instrText>
          </w:r>
          <w:r>
            <w:rPr>
              <w:rFonts w:hint="eastAsia"/>
              <w:sz w:val="30"/>
              <w:szCs w:val="30"/>
            </w:rPr>
            <w:fldChar w:fldCharType="separate"/>
          </w:r>
          <w:r>
            <w:rPr>
              <w:sz w:val="30"/>
              <w:szCs w:val="30"/>
            </w:rPr>
            <w:t>3</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"_Toc203669478" </w:instrText>
          </w:r>
          <w:r>
            <w:fldChar w:fldCharType="separate"/>
          </w:r>
          <w:r>
            <w:rPr>
              <w:rStyle w:val="22"/>
              <w:rFonts w:hint="eastAsia" w:eastAsia="楷体_GB2312"/>
              <w:sz w:val="30"/>
              <w:szCs w:val="30"/>
            </w:rPr>
            <w:t>（一）履职效能分析</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_Toc203669478 \h</w:instrText>
          </w:r>
          <w:r>
            <w:rPr>
              <w:rFonts w:hint="eastAsia"/>
              <w:sz w:val="30"/>
              <w:szCs w:val="30"/>
            </w:rPr>
            <w:instrText xml:space="preserve"> </w:instrText>
          </w:r>
          <w:r>
            <w:rPr>
              <w:rFonts w:hint="eastAsia"/>
              <w:sz w:val="30"/>
              <w:szCs w:val="30"/>
            </w:rPr>
            <w:fldChar w:fldCharType="separate"/>
          </w:r>
          <w:r>
            <w:rPr>
              <w:sz w:val="30"/>
              <w:szCs w:val="30"/>
            </w:rPr>
            <w:t>3</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"_Toc203669479" </w:instrText>
          </w:r>
          <w:r>
            <w:fldChar w:fldCharType="separate"/>
          </w:r>
          <w:r>
            <w:rPr>
              <w:rStyle w:val="22"/>
              <w:rFonts w:hint="eastAsia" w:eastAsia="楷体_GB2312"/>
              <w:sz w:val="30"/>
              <w:szCs w:val="30"/>
            </w:rPr>
            <w:t>（二）管理效率分析</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_Toc203669479 \h</w:instrText>
          </w:r>
          <w:r>
            <w:rPr>
              <w:rFonts w:hint="eastAsia"/>
              <w:sz w:val="30"/>
              <w:szCs w:val="30"/>
            </w:rPr>
            <w:instrText xml:space="preserve"> </w:instrText>
          </w:r>
          <w:r>
            <w:rPr>
              <w:rFonts w:hint="eastAsia"/>
              <w:sz w:val="30"/>
              <w:szCs w:val="30"/>
            </w:rPr>
            <w:fldChar w:fldCharType="separate"/>
          </w:r>
          <w:r>
            <w:rPr>
              <w:sz w:val="30"/>
              <w:szCs w:val="30"/>
            </w:rPr>
            <w:t>4</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"_Toc203669480" </w:instrText>
          </w:r>
          <w:r>
            <w:fldChar w:fldCharType="separate"/>
          </w:r>
          <w:r>
            <w:rPr>
              <w:rStyle w:val="22"/>
              <w:rFonts w:hint="eastAsia" w:eastAsia="黑体"/>
              <w:sz w:val="30"/>
              <w:szCs w:val="30"/>
            </w:rPr>
            <w:t>三、绩效评价结论</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_Toc203669480 \h</w:instrText>
          </w:r>
          <w:r>
            <w:rPr>
              <w:rFonts w:hint="eastAsia"/>
              <w:sz w:val="30"/>
              <w:szCs w:val="30"/>
            </w:rPr>
            <w:instrText xml:space="preserve"> </w:instrText>
          </w:r>
          <w:r>
            <w:rPr>
              <w:rFonts w:hint="eastAsia"/>
              <w:sz w:val="30"/>
              <w:szCs w:val="30"/>
            </w:rPr>
            <w:fldChar w:fldCharType="separate"/>
          </w:r>
          <w:r>
            <w:rPr>
              <w:sz w:val="30"/>
              <w:szCs w:val="30"/>
            </w:rPr>
            <w:t>4</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"_Toc203669481" </w:instrText>
          </w:r>
          <w:r>
            <w:fldChar w:fldCharType="separate"/>
          </w:r>
          <w:r>
            <w:rPr>
              <w:rStyle w:val="22"/>
              <w:rFonts w:hint="eastAsia" w:eastAsia="黑体"/>
              <w:sz w:val="30"/>
              <w:szCs w:val="30"/>
            </w:rPr>
            <w:t>四、主要绩效</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_Toc203669481 \h</w:instrText>
          </w:r>
          <w:r>
            <w:rPr>
              <w:rFonts w:hint="eastAsia"/>
              <w:sz w:val="30"/>
              <w:szCs w:val="30"/>
            </w:rPr>
            <w:instrText xml:space="preserve"> </w:instrText>
          </w:r>
          <w:r>
            <w:rPr>
              <w:rFonts w:hint="eastAsia"/>
              <w:sz w:val="30"/>
              <w:szCs w:val="30"/>
            </w:rPr>
            <w:fldChar w:fldCharType="separate"/>
          </w:r>
          <w:r>
            <w:rPr>
              <w:sz w:val="30"/>
              <w:szCs w:val="30"/>
            </w:rPr>
            <w:t>5</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"_Toc203669482" </w:instrText>
          </w:r>
          <w:r>
            <w:fldChar w:fldCharType="separate"/>
          </w:r>
          <w:r>
            <w:rPr>
              <w:rStyle w:val="22"/>
              <w:rFonts w:hint="eastAsia" w:eastAsia="楷体_GB2312"/>
              <w:sz w:val="30"/>
              <w:szCs w:val="30"/>
            </w:rPr>
            <w:t>（一）高效履行以文辅政职能</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_Toc203669482 \h</w:instrText>
          </w:r>
          <w:r>
            <w:rPr>
              <w:rFonts w:hint="eastAsia"/>
              <w:sz w:val="30"/>
              <w:szCs w:val="30"/>
            </w:rPr>
            <w:instrText xml:space="preserve"> </w:instrText>
          </w:r>
          <w:r>
            <w:rPr>
              <w:rFonts w:hint="eastAsia"/>
              <w:sz w:val="30"/>
              <w:szCs w:val="30"/>
            </w:rPr>
            <w:fldChar w:fldCharType="separate"/>
          </w:r>
          <w:r>
            <w:rPr>
              <w:sz w:val="30"/>
              <w:szCs w:val="30"/>
            </w:rPr>
            <w:t>5</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"_Toc203669483" </w:instrText>
          </w:r>
          <w:r>
            <w:fldChar w:fldCharType="separate"/>
          </w:r>
          <w:r>
            <w:rPr>
              <w:rStyle w:val="22"/>
              <w:rFonts w:hint="eastAsia" w:eastAsia="楷体_GB2312"/>
              <w:sz w:val="30"/>
              <w:szCs w:val="30"/>
            </w:rPr>
            <w:t>（二）推动改革见行见效</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_Toc203669483 \h</w:instrText>
          </w:r>
          <w:r>
            <w:rPr>
              <w:rFonts w:hint="eastAsia"/>
              <w:sz w:val="30"/>
              <w:szCs w:val="30"/>
            </w:rPr>
            <w:instrText xml:space="preserve"> </w:instrText>
          </w:r>
          <w:r>
            <w:rPr>
              <w:rFonts w:hint="eastAsia"/>
              <w:sz w:val="30"/>
              <w:szCs w:val="30"/>
            </w:rPr>
            <w:fldChar w:fldCharType="separate"/>
          </w:r>
          <w:r>
            <w:rPr>
              <w:sz w:val="30"/>
              <w:szCs w:val="30"/>
            </w:rPr>
            <w:t>5</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"_Toc203669484" </w:instrText>
          </w:r>
          <w:r>
            <w:fldChar w:fldCharType="separate"/>
          </w:r>
          <w:r>
            <w:rPr>
              <w:rStyle w:val="22"/>
              <w:rFonts w:hint="eastAsia" w:eastAsia="楷体_GB2312"/>
              <w:sz w:val="30"/>
              <w:szCs w:val="30"/>
            </w:rPr>
            <w:t>（三）助力“百千万工程”加力提速</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_Toc203669484 \h</w:instrText>
          </w:r>
          <w:r>
            <w:rPr>
              <w:rFonts w:hint="eastAsia"/>
              <w:sz w:val="30"/>
              <w:szCs w:val="30"/>
            </w:rPr>
            <w:instrText xml:space="preserve"> </w:instrText>
          </w:r>
          <w:r>
            <w:rPr>
              <w:rFonts w:hint="eastAsia"/>
              <w:sz w:val="30"/>
              <w:szCs w:val="30"/>
            </w:rPr>
            <w:fldChar w:fldCharType="separate"/>
          </w:r>
          <w:r>
            <w:rPr>
              <w:sz w:val="30"/>
              <w:szCs w:val="30"/>
            </w:rPr>
            <w:t>6</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"_Toc203669485" </w:instrText>
          </w:r>
          <w:r>
            <w:fldChar w:fldCharType="separate"/>
          </w:r>
          <w:r>
            <w:rPr>
              <w:rStyle w:val="22"/>
              <w:rFonts w:hint="eastAsia" w:eastAsia="黑体"/>
              <w:sz w:val="30"/>
              <w:szCs w:val="30"/>
            </w:rPr>
            <w:t>五、存在问题</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_Toc203669485 \h</w:instrText>
          </w:r>
          <w:r>
            <w:rPr>
              <w:rFonts w:hint="eastAsia"/>
              <w:sz w:val="30"/>
              <w:szCs w:val="30"/>
            </w:rPr>
            <w:instrText xml:space="preserve"> </w:instrText>
          </w:r>
          <w:r>
            <w:rPr>
              <w:rFonts w:hint="eastAsia"/>
              <w:sz w:val="30"/>
              <w:szCs w:val="30"/>
            </w:rPr>
            <w:fldChar w:fldCharType="separate"/>
          </w:r>
          <w:r>
            <w:rPr>
              <w:sz w:val="30"/>
              <w:szCs w:val="30"/>
            </w:rPr>
            <w:t>6</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"_Toc203669486" </w:instrText>
          </w:r>
          <w:r>
            <w:fldChar w:fldCharType="separate"/>
          </w:r>
          <w:r>
            <w:rPr>
              <w:rStyle w:val="22"/>
              <w:rFonts w:hint="eastAsia" w:eastAsia="楷体_GB2312"/>
              <w:sz w:val="30"/>
              <w:szCs w:val="30"/>
            </w:rPr>
            <w:t>（一）产出指标设置较保守，效益指标欠缺契合度</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_Toc203669486 \h</w:instrText>
          </w:r>
          <w:r>
            <w:rPr>
              <w:rFonts w:hint="eastAsia"/>
              <w:sz w:val="30"/>
              <w:szCs w:val="30"/>
            </w:rPr>
            <w:instrText xml:space="preserve"> </w:instrText>
          </w:r>
          <w:r>
            <w:rPr>
              <w:rFonts w:hint="eastAsia"/>
              <w:sz w:val="30"/>
              <w:szCs w:val="30"/>
            </w:rPr>
            <w:fldChar w:fldCharType="separate"/>
          </w:r>
          <w:r>
            <w:rPr>
              <w:sz w:val="30"/>
              <w:szCs w:val="30"/>
            </w:rPr>
            <w:t>6</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"_Toc203669487" </w:instrText>
          </w:r>
          <w:r>
            <w:fldChar w:fldCharType="separate"/>
          </w:r>
          <w:r>
            <w:rPr>
              <w:rStyle w:val="22"/>
              <w:rFonts w:hint="eastAsia" w:eastAsia="楷体_GB2312"/>
              <w:sz w:val="30"/>
              <w:szCs w:val="30"/>
            </w:rPr>
            <w:t>（二）预算编制不精细，同类资金分配模糊</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_Toc203669487 \h</w:instrText>
          </w:r>
          <w:r>
            <w:rPr>
              <w:rFonts w:hint="eastAsia"/>
              <w:sz w:val="30"/>
              <w:szCs w:val="30"/>
            </w:rPr>
            <w:instrText xml:space="preserve"> </w:instrText>
          </w:r>
          <w:r>
            <w:rPr>
              <w:rFonts w:hint="eastAsia"/>
              <w:sz w:val="30"/>
              <w:szCs w:val="30"/>
            </w:rPr>
            <w:fldChar w:fldCharType="separate"/>
          </w:r>
          <w:r>
            <w:rPr>
              <w:sz w:val="30"/>
              <w:szCs w:val="30"/>
            </w:rPr>
            <w:t>7</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"_Toc203669488" </w:instrText>
          </w:r>
          <w:r>
            <w:fldChar w:fldCharType="separate"/>
          </w:r>
          <w:r>
            <w:rPr>
              <w:rStyle w:val="22"/>
              <w:rFonts w:hint="eastAsia" w:eastAsia="楷体_GB2312"/>
              <w:sz w:val="30"/>
              <w:szCs w:val="30"/>
            </w:rPr>
            <w:t>（三）成本管控有缺失，测算科学性待提高</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_Toc203669488 \h</w:instrText>
          </w:r>
          <w:r>
            <w:rPr>
              <w:rFonts w:hint="eastAsia"/>
              <w:sz w:val="30"/>
              <w:szCs w:val="30"/>
            </w:rPr>
            <w:instrText xml:space="preserve"> </w:instrText>
          </w:r>
          <w:r>
            <w:rPr>
              <w:rFonts w:hint="eastAsia"/>
              <w:sz w:val="30"/>
              <w:szCs w:val="30"/>
            </w:rPr>
            <w:fldChar w:fldCharType="separate"/>
          </w:r>
          <w:r>
            <w:rPr>
              <w:sz w:val="30"/>
              <w:szCs w:val="30"/>
            </w:rPr>
            <w:t>7</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"_Toc203669489" </w:instrText>
          </w:r>
          <w:r>
            <w:fldChar w:fldCharType="separate"/>
          </w:r>
          <w:r>
            <w:rPr>
              <w:rStyle w:val="22"/>
              <w:rFonts w:hint="eastAsia" w:eastAsia="楷体_GB2312"/>
              <w:sz w:val="30"/>
              <w:szCs w:val="30"/>
            </w:rPr>
            <w:t>（四）刊物编发不达标，成果应用衡量标准待补充</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_Toc203669489 \h</w:instrText>
          </w:r>
          <w:r>
            <w:rPr>
              <w:rFonts w:hint="eastAsia"/>
              <w:sz w:val="30"/>
              <w:szCs w:val="30"/>
            </w:rPr>
            <w:instrText xml:space="preserve"> </w:instrText>
          </w:r>
          <w:r>
            <w:rPr>
              <w:rFonts w:hint="eastAsia"/>
              <w:sz w:val="30"/>
              <w:szCs w:val="30"/>
            </w:rPr>
            <w:fldChar w:fldCharType="separate"/>
          </w:r>
          <w:r>
            <w:rPr>
              <w:sz w:val="30"/>
              <w:szCs w:val="30"/>
            </w:rPr>
            <w:t>8</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"_Toc203669490" </w:instrText>
          </w:r>
          <w:r>
            <w:fldChar w:fldCharType="separate"/>
          </w:r>
          <w:r>
            <w:rPr>
              <w:rStyle w:val="22"/>
              <w:rFonts w:hint="eastAsia" w:eastAsia="楷体_GB2312"/>
              <w:sz w:val="30"/>
              <w:szCs w:val="30"/>
            </w:rPr>
            <w:t>（五）任务完成率尚有不足，资金落实工作待完善</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_Toc203669490 \h</w:instrText>
          </w:r>
          <w:r>
            <w:rPr>
              <w:rFonts w:hint="eastAsia"/>
              <w:sz w:val="30"/>
              <w:szCs w:val="30"/>
            </w:rPr>
            <w:instrText xml:space="preserve"> </w:instrText>
          </w:r>
          <w:r>
            <w:rPr>
              <w:rFonts w:hint="eastAsia"/>
              <w:sz w:val="30"/>
              <w:szCs w:val="30"/>
            </w:rPr>
            <w:fldChar w:fldCharType="separate"/>
          </w:r>
          <w:r>
            <w:rPr>
              <w:sz w:val="30"/>
              <w:szCs w:val="30"/>
            </w:rPr>
            <w:t>9</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"_Toc203669491" </w:instrText>
          </w:r>
          <w:r>
            <w:fldChar w:fldCharType="separate"/>
          </w:r>
          <w:r>
            <w:rPr>
              <w:rStyle w:val="22"/>
              <w:rFonts w:hint="eastAsia" w:eastAsia="黑体"/>
              <w:sz w:val="30"/>
              <w:szCs w:val="30"/>
            </w:rPr>
            <w:t>六、相关建议</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_Toc203669491 \h</w:instrText>
          </w:r>
          <w:r>
            <w:rPr>
              <w:rFonts w:hint="eastAsia"/>
              <w:sz w:val="30"/>
              <w:szCs w:val="30"/>
            </w:rPr>
            <w:instrText xml:space="preserve"> </w:instrText>
          </w:r>
          <w:r>
            <w:rPr>
              <w:rFonts w:hint="eastAsia"/>
              <w:sz w:val="30"/>
              <w:szCs w:val="30"/>
            </w:rPr>
            <w:fldChar w:fldCharType="separate"/>
          </w:r>
          <w:r>
            <w:rPr>
              <w:sz w:val="30"/>
              <w:szCs w:val="30"/>
            </w:rPr>
            <w:t>9</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"_Toc203669492" </w:instrText>
          </w:r>
          <w:r>
            <w:fldChar w:fldCharType="separate"/>
          </w:r>
          <w:r>
            <w:rPr>
              <w:rStyle w:val="22"/>
              <w:rFonts w:hint="eastAsia" w:eastAsia="楷体_GB2312"/>
              <w:sz w:val="30"/>
              <w:szCs w:val="30"/>
            </w:rPr>
            <w:t>（一）优化指标体系，提升评估科学性</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_Toc203669492 \h</w:instrText>
          </w:r>
          <w:r>
            <w:rPr>
              <w:rFonts w:hint="eastAsia"/>
              <w:sz w:val="30"/>
              <w:szCs w:val="30"/>
            </w:rPr>
            <w:instrText xml:space="preserve"> </w:instrText>
          </w:r>
          <w:r>
            <w:rPr>
              <w:rFonts w:hint="eastAsia"/>
              <w:sz w:val="30"/>
              <w:szCs w:val="30"/>
            </w:rPr>
            <w:fldChar w:fldCharType="separate"/>
          </w:r>
          <w:r>
            <w:rPr>
              <w:sz w:val="30"/>
              <w:szCs w:val="30"/>
            </w:rPr>
            <w:t>9</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"_Toc203669493" </w:instrText>
          </w:r>
          <w:r>
            <w:fldChar w:fldCharType="separate"/>
          </w:r>
          <w:r>
            <w:rPr>
              <w:rStyle w:val="22"/>
              <w:rFonts w:hint="eastAsia" w:eastAsia="楷体_GB2312"/>
              <w:sz w:val="30"/>
              <w:szCs w:val="30"/>
            </w:rPr>
            <w:t>（二）规范预算管理，增强资金效能</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_Toc203669493 \h</w:instrText>
          </w:r>
          <w:r>
            <w:rPr>
              <w:rFonts w:hint="eastAsia"/>
              <w:sz w:val="30"/>
              <w:szCs w:val="30"/>
            </w:rPr>
            <w:instrText xml:space="preserve"> </w:instrText>
          </w:r>
          <w:r>
            <w:rPr>
              <w:rFonts w:hint="eastAsia"/>
              <w:sz w:val="30"/>
              <w:szCs w:val="30"/>
            </w:rPr>
            <w:fldChar w:fldCharType="separate"/>
          </w:r>
          <w:r>
            <w:rPr>
              <w:sz w:val="30"/>
              <w:szCs w:val="30"/>
            </w:rPr>
            <w:t>10</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"_Toc203669494" </w:instrText>
          </w:r>
          <w:r>
            <w:fldChar w:fldCharType="separate"/>
          </w:r>
          <w:r>
            <w:rPr>
              <w:rStyle w:val="22"/>
              <w:rFonts w:hint="eastAsia" w:eastAsia="楷体_GB2312"/>
              <w:sz w:val="30"/>
              <w:szCs w:val="30"/>
            </w:rPr>
            <w:t>（三）严格成本管控，规范支出标准</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_Toc203669494 \h</w:instrText>
          </w:r>
          <w:r>
            <w:rPr>
              <w:rFonts w:hint="eastAsia"/>
              <w:sz w:val="30"/>
              <w:szCs w:val="30"/>
            </w:rPr>
            <w:instrText xml:space="preserve"> </w:instrText>
          </w:r>
          <w:r>
            <w:rPr>
              <w:rFonts w:hint="eastAsia"/>
              <w:sz w:val="30"/>
              <w:szCs w:val="30"/>
            </w:rPr>
            <w:fldChar w:fldCharType="separate"/>
          </w:r>
          <w:r>
            <w:rPr>
              <w:sz w:val="30"/>
              <w:szCs w:val="30"/>
            </w:rPr>
            <w:t>11</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"_Toc203669495" </w:instrText>
          </w:r>
          <w:r>
            <w:fldChar w:fldCharType="separate"/>
          </w:r>
          <w:r>
            <w:rPr>
              <w:rStyle w:val="22"/>
              <w:rFonts w:hint="eastAsia" w:eastAsia="楷体_GB2312"/>
              <w:sz w:val="30"/>
              <w:szCs w:val="30"/>
            </w:rPr>
            <w:t>（四）保障刊物编发，明晰成果应用</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_Toc203669495 \h</w:instrText>
          </w:r>
          <w:r>
            <w:rPr>
              <w:rFonts w:hint="eastAsia"/>
              <w:sz w:val="30"/>
              <w:szCs w:val="30"/>
            </w:rPr>
            <w:instrText xml:space="preserve"> </w:instrText>
          </w:r>
          <w:r>
            <w:rPr>
              <w:rFonts w:hint="eastAsia"/>
              <w:sz w:val="30"/>
              <w:szCs w:val="30"/>
            </w:rPr>
            <w:fldChar w:fldCharType="separate"/>
          </w:r>
          <w:r>
            <w:rPr>
              <w:sz w:val="30"/>
              <w:szCs w:val="30"/>
            </w:rPr>
            <w:t>12</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"_Toc203669496" </w:instrText>
          </w:r>
          <w:r>
            <w:fldChar w:fldCharType="separate"/>
          </w:r>
          <w:r>
            <w:rPr>
              <w:rStyle w:val="22"/>
              <w:rFonts w:hint="eastAsia" w:eastAsia="楷体_GB2312"/>
              <w:sz w:val="30"/>
              <w:szCs w:val="30"/>
            </w:rPr>
            <w:t>（五）强化任务执行，提升统筹督查效能</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_Toc203669496 \h</w:instrText>
          </w:r>
          <w:r>
            <w:rPr>
              <w:rFonts w:hint="eastAsia"/>
              <w:sz w:val="30"/>
              <w:szCs w:val="30"/>
            </w:rPr>
            <w:instrText xml:space="preserve"> </w:instrText>
          </w:r>
          <w:r>
            <w:rPr>
              <w:rFonts w:hint="eastAsia"/>
              <w:sz w:val="30"/>
              <w:szCs w:val="30"/>
            </w:rPr>
            <w:fldChar w:fldCharType="separate"/>
          </w:r>
          <w:r>
            <w:rPr>
              <w:sz w:val="30"/>
              <w:szCs w:val="30"/>
            </w:rPr>
            <w:t>12</w:t>
          </w:r>
          <w:r>
            <w:rPr>
              <w:rFonts w:hint="eastAsia"/>
              <w:sz w:val="30"/>
              <w:szCs w:val="30"/>
            </w:rPr>
            <w:fldChar w:fldCharType="end"/>
          </w:r>
          <w:r>
            <w:rPr>
              <w:rFonts w:hint="eastAsia"/>
              <w:sz w:val="30"/>
              <w:szCs w:val="30"/>
            </w:rPr>
            <w:fldChar w:fldCharType="end"/>
          </w:r>
        </w:p>
        <w:p>
          <w:pPr>
            <w:pStyle w:val="13"/>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"_Toc203669497" </w:instrText>
          </w:r>
          <w:r>
            <w:fldChar w:fldCharType="separate"/>
          </w:r>
          <w:r>
            <w:rPr>
              <w:rStyle w:val="22"/>
              <w:rFonts w:hint="eastAsia" w:eastAsia="方正小标宋_GBK"/>
              <w:b/>
              <w:bCs/>
              <w:sz w:val="30"/>
              <w:szCs w:val="30"/>
            </w:rPr>
            <w:t>第二部分：</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_Toc203669497 \h</w:instrText>
          </w:r>
          <w:r>
            <w:rPr>
              <w:rFonts w:hint="eastAsia"/>
              <w:sz w:val="30"/>
              <w:szCs w:val="30"/>
            </w:rPr>
            <w:instrText xml:space="preserve"> </w:instrText>
          </w:r>
          <w:r>
            <w:rPr>
              <w:rFonts w:hint="eastAsia"/>
              <w:sz w:val="30"/>
              <w:szCs w:val="30"/>
            </w:rPr>
            <w:fldChar w:fldCharType="separate"/>
          </w:r>
          <w:r>
            <w:rPr>
              <w:sz w:val="30"/>
              <w:szCs w:val="30"/>
            </w:rPr>
            <w:t>14</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"_Toc203669498" </w:instrText>
          </w:r>
          <w:r>
            <w:fldChar w:fldCharType="separate"/>
          </w:r>
          <w:r>
            <w:rPr>
              <w:rStyle w:val="22"/>
              <w:rFonts w:hint="eastAsia" w:eastAsia="黑体"/>
              <w:sz w:val="30"/>
              <w:szCs w:val="30"/>
            </w:rPr>
            <w:t>一、基本情况</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_Toc203669498 \h</w:instrText>
          </w:r>
          <w:r>
            <w:rPr>
              <w:rFonts w:hint="eastAsia"/>
              <w:sz w:val="30"/>
              <w:szCs w:val="30"/>
            </w:rPr>
            <w:instrText xml:space="preserve"> </w:instrText>
          </w:r>
          <w:r>
            <w:rPr>
              <w:rFonts w:hint="eastAsia"/>
              <w:sz w:val="30"/>
              <w:szCs w:val="30"/>
            </w:rPr>
            <w:fldChar w:fldCharType="separate"/>
          </w:r>
          <w:r>
            <w:rPr>
              <w:sz w:val="30"/>
              <w:szCs w:val="30"/>
            </w:rPr>
            <w:t>14</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"_Toc203669499" </w:instrText>
          </w:r>
          <w:r>
            <w:fldChar w:fldCharType="separate"/>
          </w:r>
          <w:r>
            <w:rPr>
              <w:rStyle w:val="22"/>
              <w:rFonts w:hint="eastAsia" w:eastAsia="楷体_GB2312"/>
              <w:sz w:val="30"/>
              <w:szCs w:val="30"/>
            </w:rPr>
            <w:t>（一）部门整体概要</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_Toc203669499 \h</w:instrText>
          </w:r>
          <w:r>
            <w:rPr>
              <w:rFonts w:hint="eastAsia"/>
              <w:sz w:val="30"/>
              <w:szCs w:val="30"/>
            </w:rPr>
            <w:instrText xml:space="preserve"> </w:instrText>
          </w:r>
          <w:r>
            <w:rPr>
              <w:rFonts w:hint="eastAsia"/>
              <w:sz w:val="30"/>
              <w:szCs w:val="30"/>
            </w:rPr>
            <w:fldChar w:fldCharType="separate"/>
          </w:r>
          <w:r>
            <w:rPr>
              <w:sz w:val="30"/>
              <w:szCs w:val="30"/>
            </w:rPr>
            <w:t>14</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"_Toc203669500" </w:instrText>
          </w:r>
          <w:r>
            <w:fldChar w:fldCharType="separate"/>
          </w:r>
          <w:r>
            <w:rPr>
              <w:rStyle w:val="22"/>
              <w:rFonts w:hint="eastAsia" w:eastAsia="楷体_GB2312"/>
              <w:sz w:val="30"/>
              <w:szCs w:val="30"/>
            </w:rPr>
            <w:t>（二）部门整体支出目标及任务</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_Toc203669500 \h</w:instrText>
          </w:r>
          <w:r>
            <w:rPr>
              <w:rFonts w:hint="eastAsia"/>
              <w:sz w:val="30"/>
              <w:szCs w:val="30"/>
            </w:rPr>
            <w:instrText xml:space="preserve"> </w:instrText>
          </w:r>
          <w:r>
            <w:rPr>
              <w:rFonts w:hint="eastAsia"/>
              <w:sz w:val="30"/>
              <w:szCs w:val="30"/>
            </w:rPr>
            <w:fldChar w:fldCharType="separate"/>
          </w:r>
          <w:r>
            <w:rPr>
              <w:sz w:val="30"/>
              <w:szCs w:val="30"/>
            </w:rPr>
            <w:t>16</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"_Toc203669501" </w:instrText>
          </w:r>
          <w:r>
            <w:fldChar w:fldCharType="separate"/>
          </w:r>
          <w:r>
            <w:rPr>
              <w:rStyle w:val="22"/>
              <w:rFonts w:hint="eastAsia" w:eastAsia="楷体_GB2312"/>
              <w:sz w:val="30"/>
              <w:szCs w:val="30"/>
            </w:rPr>
            <w:t>（三）部门整体支出情况</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_Toc203669501 \h</w:instrText>
          </w:r>
          <w:r>
            <w:rPr>
              <w:rFonts w:hint="eastAsia"/>
              <w:sz w:val="30"/>
              <w:szCs w:val="30"/>
            </w:rPr>
            <w:instrText xml:space="preserve"> </w:instrText>
          </w:r>
          <w:r>
            <w:rPr>
              <w:rFonts w:hint="eastAsia"/>
              <w:sz w:val="30"/>
              <w:szCs w:val="30"/>
            </w:rPr>
            <w:fldChar w:fldCharType="separate"/>
          </w:r>
          <w:r>
            <w:rPr>
              <w:sz w:val="30"/>
              <w:szCs w:val="30"/>
            </w:rPr>
            <w:t>17</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"_Toc203669502" </w:instrText>
          </w:r>
          <w:r>
            <w:fldChar w:fldCharType="separate"/>
          </w:r>
          <w:r>
            <w:rPr>
              <w:rStyle w:val="22"/>
              <w:rFonts w:hint="eastAsia" w:eastAsia="楷体_GB2312"/>
              <w:sz w:val="30"/>
              <w:szCs w:val="30"/>
            </w:rPr>
            <w:t>（四）购买服务支出情况</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_Toc203669502 \h</w:instrText>
          </w:r>
          <w:r>
            <w:rPr>
              <w:rFonts w:hint="eastAsia"/>
              <w:sz w:val="30"/>
              <w:szCs w:val="30"/>
            </w:rPr>
            <w:instrText xml:space="preserve"> </w:instrText>
          </w:r>
          <w:r>
            <w:rPr>
              <w:rFonts w:hint="eastAsia"/>
              <w:sz w:val="30"/>
              <w:szCs w:val="30"/>
            </w:rPr>
            <w:fldChar w:fldCharType="separate"/>
          </w:r>
          <w:r>
            <w:rPr>
              <w:sz w:val="30"/>
              <w:szCs w:val="30"/>
            </w:rPr>
            <w:t>18</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"_Toc203669503" </w:instrText>
          </w:r>
          <w:r>
            <w:fldChar w:fldCharType="separate"/>
          </w:r>
          <w:r>
            <w:rPr>
              <w:rStyle w:val="22"/>
              <w:rFonts w:hint="eastAsia" w:eastAsia="黑体"/>
              <w:sz w:val="30"/>
              <w:szCs w:val="30"/>
            </w:rPr>
            <w:t>二、绩效分析</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_Toc203669503 \h</w:instrText>
          </w:r>
          <w:r>
            <w:rPr>
              <w:rFonts w:hint="eastAsia"/>
              <w:sz w:val="30"/>
              <w:szCs w:val="30"/>
            </w:rPr>
            <w:instrText xml:space="preserve"> </w:instrText>
          </w:r>
          <w:r>
            <w:rPr>
              <w:rFonts w:hint="eastAsia"/>
              <w:sz w:val="30"/>
              <w:szCs w:val="30"/>
            </w:rPr>
            <w:fldChar w:fldCharType="separate"/>
          </w:r>
          <w:r>
            <w:rPr>
              <w:sz w:val="30"/>
              <w:szCs w:val="30"/>
            </w:rPr>
            <w:t>19</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"_Toc203669504" </w:instrText>
          </w:r>
          <w:r>
            <w:fldChar w:fldCharType="separate"/>
          </w:r>
          <w:r>
            <w:rPr>
              <w:rStyle w:val="22"/>
              <w:rFonts w:hint="eastAsia" w:eastAsia="楷体_GB2312"/>
              <w:sz w:val="30"/>
              <w:szCs w:val="30"/>
            </w:rPr>
            <w:t>（一）履职效能</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_Toc203669504 \h</w:instrText>
          </w:r>
          <w:r>
            <w:rPr>
              <w:rFonts w:hint="eastAsia"/>
              <w:sz w:val="30"/>
              <w:szCs w:val="30"/>
            </w:rPr>
            <w:instrText xml:space="preserve"> </w:instrText>
          </w:r>
          <w:r>
            <w:rPr>
              <w:rFonts w:hint="eastAsia"/>
              <w:sz w:val="30"/>
              <w:szCs w:val="30"/>
            </w:rPr>
            <w:fldChar w:fldCharType="separate"/>
          </w:r>
          <w:r>
            <w:rPr>
              <w:sz w:val="30"/>
              <w:szCs w:val="30"/>
            </w:rPr>
            <w:t>19</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"_Toc203669505" </w:instrText>
          </w:r>
          <w:r>
            <w:fldChar w:fldCharType="separate"/>
          </w:r>
          <w:r>
            <w:rPr>
              <w:rStyle w:val="22"/>
              <w:rFonts w:hint="eastAsia" w:eastAsia="楷体_GB2312"/>
              <w:sz w:val="30"/>
              <w:szCs w:val="30"/>
            </w:rPr>
            <w:t>（二）管理效率</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_Toc203669505 \h</w:instrText>
          </w:r>
          <w:r>
            <w:rPr>
              <w:rFonts w:hint="eastAsia"/>
              <w:sz w:val="30"/>
              <w:szCs w:val="30"/>
            </w:rPr>
            <w:instrText xml:space="preserve"> </w:instrText>
          </w:r>
          <w:r>
            <w:rPr>
              <w:rFonts w:hint="eastAsia"/>
              <w:sz w:val="30"/>
              <w:szCs w:val="30"/>
            </w:rPr>
            <w:fldChar w:fldCharType="separate"/>
          </w:r>
          <w:r>
            <w:rPr>
              <w:sz w:val="30"/>
              <w:szCs w:val="30"/>
            </w:rPr>
            <w:t>26</w:t>
          </w:r>
          <w:r>
            <w:rPr>
              <w:rFonts w:hint="eastAsia"/>
              <w:sz w:val="30"/>
              <w:szCs w:val="30"/>
            </w:rPr>
            <w:fldChar w:fldCharType="end"/>
          </w:r>
          <w:r>
            <w:rPr>
              <w:rFonts w:hint="eastAsia"/>
              <w:sz w:val="30"/>
              <w:szCs w:val="30"/>
            </w:rPr>
            <w:fldChar w:fldCharType="end"/>
          </w:r>
        </w:p>
        <w:p>
          <w:pPr>
            <w:pStyle w:val="15"/>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"_Toc203669506" </w:instrText>
          </w:r>
          <w:r>
            <w:fldChar w:fldCharType="separate"/>
          </w:r>
          <w:r>
            <w:rPr>
              <w:rStyle w:val="22"/>
              <w:rFonts w:hint="eastAsia" w:eastAsia="黑体"/>
              <w:sz w:val="30"/>
              <w:szCs w:val="30"/>
            </w:rPr>
            <w:t>三、评价结论</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_Toc203669506 \h</w:instrText>
          </w:r>
          <w:r>
            <w:rPr>
              <w:rFonts w:hint="eastAsia"/>
              <w:sz w:val="30"/>
              <w:szCs w:val="30"/>
            </w:rPr>
            <w:instrText xml:space="preserve"> </w:instrText>
          </w:r>
          <w:r>
            <w:rPr>
              <w:rFonts w:hint="eastAsia"/>
              <w:sz w:val="30"/>
              <w:szCs w:val="30"/>
            </w:rPr>
            <w:fldChar w:fldCharType="separate"/>
          </w:r>
          <w:r>
            <w:rPr>
              <w:sz w:val="30"/>
              <w:szCs w:val="30"/>
            </w:rPr>
            <w:t>31</w:t>
          </w:r>
          <w:r>
            <w:rPr>
              <w:rFonts w:hint="eastAsia"/>
              <w:sz w:val="30"/>
              <w:szCs w:val="30"/>
            </w:rPr>
            <w:fldChar w:fldCharType="end"/>
          </w:r>
          <w:r>
            <w:rPr>
              <w:rFonts w:hint="eastAsia"/>
              <w:sz w:val="30"/>
              <w:szCs w:val="30"/>
            </w:rPr>
            <w:fldChar w:fldCharType="end"/>
          </w:r>
        </w:p>
        <w:p>
          <w:pPr>
            <w:pStyle w:val="13"/>
            <w:tabs>
              <w:tab w:val="right" w:leader="dot" w:pos="8834"/>
            </w:tabs>
            <w:rPr>
              <w:rFonts w:hint="eastAsia" w:asciiTheme="minorHAnsi" w:hAnsiTheme="minorHAnsi" w:eastAsiaTheme="minorEastAsia" w:cstheme="minorBidi"/>
              <w:sz w:val="30"/>
              <w:szCs w:val="30"/>
              <w14:ligatures w14:val="standardContextual"/>
            </w:rPr>
          </w:pPr>
          <w:r>
            <w:fldChar w:fldCharType="begin"/>
          </w:r>
          <w:r>
            <w:instrText xml:space="preserve"> HYPERLINK \l "_Toc203669507" </w:instrText>
          </w:r>
          <w:r>
            <w:fldChar w:fldCharType="separate"/>
          </w:r>
          <w:r>
            <w:rPr>
              <w:rStyle w:val="22"/>
              <w:rFonts w:hint="eastAsia" w:eastAsia="方正小标宋_GBK"/>
              <w:kern w:val="0"/>
              <w:sz w:val="30"/>
              <w:szCs w:val="30"/>
            </w:rPr>
            <w:t>附件  中国共产党江门市委员会政策研究室2024年度部门整体支出绩效评价指标评分表</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_Toc203669507 \h</w:instrText>
          </w:r>
          <w:r>
            <w:rPr>
              <w:rFonts w:hint="eastAsia"/>
              <w:sz w:val="30"/>
              <w:szCs w:val="30"/>
            </w:rPr>
            <w:instrText xml:space="preserve"> </w:instrText>
          </w:r>
          <w:r>
            <w:rPr>
              <w:rFonts w:hint="eastAsia"/>
              <w:sz w:val="30"/>
              <w:szCs w:val="30"/>
            </w:rPr>
            <w:fldChar w:fldCharType="separate"/>
          </w:r>
          <w:r>
            <w:rPr>
              <w:sz w:val="30"/>
              <w:szCs w:val="30"/>
            </w:rPr>
            <w:t>33</w:t>
          </w:r>
          <w:r>
            <w:rPr>
              <w:rFonts w:hint="eastAsia"/>
              <w:sz w:val="30"/>
              <w:szCs w:val="30"/>
            </w:rPr>
            <w:fldChar w:fldCharType="end"/>
          </w:r>
          <w:r>
            <w:rPr>
              <w:rFonts w:hint="eastAsia"/>
              <w:sz w:val="30"/>
              <w:szCs w:val="30"/>
            </w:rPr>
            <w:fldChar w:fldCharType="end"/>
          </w:r>
        </w:p>
        <w:p>
          <w:pPr>
            <w:pStyle w:val="4"/>
            <w:ind w:firstLine="0"/>
            <w:rPr>
              <w:color w:val="000000" w:themeColor="text1"/>
              <w:sz w:val="32"/>
              <w:szCs w:val="32"/>
              <w14:textFill>
                <w14:solidFill>
                  <w14:schemeClr w14:val="tx1"/>
                </w14:solidFill>
              </w14:textFill>
            </w:rPr>
          </w:pPr>
          <w:r>
            <w:rPr>
              <w:color w:val="000000" w:themeColor="text1"/>
              <w:sz w:val="30"/>
              <w:szCs w:val="30"/>
              <w14:textFill>
                <w14:solidFill>
                  <w14:schemeClr w14:val="tx1"/>
                </w14:solidFill>
              </w14:textFill>
            </w:rPr>
            <w:fldChar w:fldCharType="end"/>
          </w:r>
        </w:p>
      </w:sdtContent>
    </w:sdt>
    <w:p>
      <w:pPr>
        <w:pStyle w:val="5"/>
        <w:ind w:firstLine="640" w:firstLineChars="200"/>
        <w:outlineLvl w:val="0"/>
        <w:rPr>
          <w:rFonts w:ascii="Times New Roman" w:eastAsia="方正小标宋_GBK" w:cs="Times New Roman"/>
          <w:bCs/>
          <w:color w:val="000000" w:themeColor="text1"/>
          <w:sz w:val="32"/>
          <w:szCs w:val="32"/>
          <w14:textFill>
            <w14:solidFill>
              <w14:schemeClr w14:val="tx1"/>
            </w14:solidFill>
          </w14:textFill>
        </w:rPr>
        <w:sectPr>
          <w:footerReference r:id="rId4" w:type="default"/>
          <w:pgSz w:w="11906" w:h="16838"/>
          <w:pgMar w:top="2098" w:right="1474" w:bottom="1985" w:left="1588" w:header="851" w:footer="992" w:gutter="0"/>
          <w:pgNumType w:start="1"/>
          <w:cols w:space="425" w:num="1"/>
          <w:docGrid w:type="lines" w:linePitch="312" w:charSpace="0"/>
        </w:sectPr>
      </w:pPr>
    </w:p>
    <w:p>
      <w:pPr>
        <w:pStyle w:val="5"/>
        <w:ind w:firstLine="640" w:firstLineChars="200"/>
        <w:outlineLvl w:val="0"/>
        <w:rPr>
          <w:rFonts w:ascii="Times New Roman" w:eastAsia="方正小标宋_GBK" w:cs="Times New Roman"/>
          <w:bCs/>
          <w:color w:val="000000" w:themeColor="text1"/>
          <w:sz w:val="32"/>
          <w:szCs w:val="32"/>
          <w14:textFill>
            <w14:solidFill>
              <w14:schemeClr w14:val="tx1"/>
            </w14:solidFill>
          </w14:textFill>
        </w:rPr>
      </w:pPr>
      <w:bookmarkStart w:id="0" w:name="_Toc203669475"/>
      <w:r>
        <w:rPr>
          <w:rFonts w:ascii="Times New Roman" w:eastAsia="方正小标宋_GBK" w:cs="Times New Roman"/>
          <w:bCs/>
          <w:color w:val="000000" w:themeColor="text1"/>
          <w:sz w:val="32"/>
          <w:szCs w:val="32"/>
          <w14:textFill>
            <w14:solidFill>
              <w14:schemeClr w14:val="tx1"/>
            </w14:solidFill>
          </w14:textFill>
        </w:rPr>
        <w:t>第一部分：</w:t>
      </w:r>
      <w:bookmarkEnd w:id="0"/>
    </w:p>
    <w:p>
      <w:pPr>
        <w:pStyle w:val="5"/>
        <w:jc w:val="center"/>
        <w:rPr>
          <w:rFonts w:ascii="Times New Roman" w:eastAsia="方正小标宋_GBK" w:cs="Times New Roman"/>
          <w:bCs/>
          <w:color w:val="000000" w:themeColor="text1"/>
          <w:sz w:val="44"/>
          <w:szCs w:val="44"/>
          <w14:textFill>
            <w14:solidFill>
              <w14:schemeClr w14:val="tx1"/>
            </w14:solidFill>
          </w14:textFill>
        </w:rPr>
      </w:pPr>
      <w:r>
        <w:rPr>
          <w:rFonts w:ascii="Times New Roman" w:eastAsia="方正小标宋_GBK" w:cs="Times New Roman"/>
          <w:bCs/>
          <w:color w:val="000000" w:themeColor="text1"/>
          <w:sz w:val="44"/>
          <w:szCs w:val="44"/>
          <w14:textFill>
            <w14:solidFill>
              <w14:schemeClr w14:val="tx1"/>
            </w14:solidFill>
          </w14:textFill>
        </w:rPr>
        <w:t>绩效报告</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根据《江门市本级财政支出绩效评价管理办法（修订）》（江财绩〔2024〕3号）要求，为切实提高财政资金使用效益，广东政典新动能研究院有限公司（下称“政典研究院”）受江门市财政局（下称“市财政局”）委托，对中国共产党江门市委员会政策研究室（下称“市委政研室”）开展2024年度部门整体支出绩效评价工作，形成本报告。</w:t>
      </w:r>
    </w:p>
    <w:p>
      <w:pPr>
        <w:pStyle w:val="5"/>
        <w:snapToGrid w:val="0"/>
        <w:spacing w:line="579" w:lineRule="exact"/>
        <w:ind w:firstLine="640" w:firstLineChars="200"/>
        <w:jc w:val="both"/>
        <w:outlineLvl w:val="1"/>
        <w:rPr>
          <w:rFonts w:ascii="Times New Roman" w:eastAsia="黑体" w:cs="Times New Roman"/>
          <w:color w:val="000000" w:themeColor="text1"/>
          <w:sz w:val="32"/>
          <w:szCs w:val="32"/>
          <w14:textFill>
            <w14:solidFill>
              <w14:schemeClr w14:val="tx1"/>
            </w14:solidFill>
          </w14:textFill>
        </w:rPr>
      </w:pPr>
      <w:bookmarkStart w:id="1" w:name="_Toc201475747"/>
      <w:bookmarkStart w:id="2" w:name="_Toc203669476"/>
      <w:r>
        <w:rPr>
          <w:rFonts w:ascii="Times New Roman" w:eastAsia="黑体" w:cs="Times New Roman"/>
          <w:color w:val="000000" w:themeColor="text1"/>
          <w:sz w:val="32"/>
          <w:szCs w:val="32"/>
          <w14:textFill>
            <w14:solidFill>
              <w14:schemeClr w14:val="tx1"/>
            </w14:solidFill>
          </w14:textFill>
        </w:rPr>
        <w:t>一、评价部门概要</w:t>
      </w:r>
      <w:bookmarkEnd w:id="1"/>
      <w:bookmarkEnd w:id="2"/>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bookmarkStart w:id="3" w:name="OLE_LINK9"/>
      <w:r>
        <w:rPr>
          <w:rFonts w:ascii="Times New Roman" w:hAnsi="Times New Roman" w:eastAsia="仿宋_GB2312"/>
          <w:color w:val="000000" w:themeColor="text1"/>
          <w:sz w:val="32"/>
          <w:szCs w:val="32"/>
          <w14:textFill>
            <w14:solidFill>
              <w14:schemeClr w14:val="tx1"/>
            </w14:solidFill>
          </w14:textFill>
        </w:rPr>
        <w:t>中国共产党江门市委员会政策研究室是主管全市政策研究、全面深化改革、财经工作、决策咨询服务、“百千万工程”工作的职能部门。主要职能：起草修改市党代会报告、市委全会报告等市委有关重要文件、文稿；起草修改市委主要领导在全市性会议的讲话稿；起草修改市委主要领导有关讲课辅导报告和市委主要领导临时交办的文稿起草任务；重点对工业、农业和农村工作、商贸、对外经贸、财政金融、科技、城市建设、教育、文化、党建等方面改革发展的政策问题进行调查研究，提出意见和建议，供市委决策参考；组织协同各县（区、市）和市直有关单位开展重点课题调研活动。</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市委改革办是市委全面深化改革委员会常设办事机构，设在市委政研室。主要职责：组织开展全面深化改革重大问题的政策研究；统筹协调有关方面提出有关改革工作方案和措施；协调督促有关方面落实市委全面深化改革委员会的决定事项、工作部署和要求等。</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市委财经办是市委财经委员会常设办事机构，设在市委政研室。主要职责：负责处理市委财经委员会日常事务，包括筹备财经会议、问题调研、协调督促有关工作事项和工作部署落实等。</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市决咨委办公室是江门市重大决策专家咨询论证委员会日常办公机构，设在市委政研室。主要职能：承担市决咨委日常工作；对江门市发展和改革具有全局性的重大问题进行决策研究，提出对策性意见和建议；对市委、市政府重大决策进行风险评估以及实施情况或成果进行综合评估，形成指导江门市发展的理论和经验。</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市“百县千镇万村高质量发展工程”指挥部办公室设在市委改革办，实行实体化运作。主要职能：做好“百千万工程”统筹谋划、政策研究、上传下达、督促指导、考核评估等工作，通过采取年初定任务，每周一调度，每月一评比、一通报，季度现场会，年终总考核等方法，形成有组织、有方式、有频次、有氛围、有实效的机制。</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市委政研室一套人马、四块牌子，同时承担市委政研室、市委改革办、市委财经办、市决咨委办四个部门工作，下设10个科室，包括办公室、党建研究科、改革协调科、市委财经办协调科、经济研究科、社会发展研究科、农业和生态研究科、侨务和台港澳研究科、综合督查科、发展推进科。</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lang w:val="zh-CN"/>
          <w14:textFill>
            <w14:solidFill>
              <w14:schemeClr w14:val="tx1"/>
            </w14:solidFill>
          </w14:textFill>
        </w:rPr>
        <w:t>2024年市委政研室年初整体预算金额1,232.84万元，其中基本支出预算金额为941.08万元（人员经费856.86万元、公用经费84.22万元），项目支出预算金额为291.76万元。调整后整体预算金额1,160.82万元，其中基本支出预算金额为969.68万元（人员经费910.91万元、公用经费58.77万元），项目支出预算金额为191.14万元。实际支出金额1,160.82万元，其中基本支出969.68万元，项目支出191.14万元，</w:t>
      </w:r>
      <w:r>
        <w:rPr>
          <w:rFonts w:ascii="Times New Roman" w:hAnsi="Times New Roman" w:eastAsia="仿宋_GB2312"/>
          <w:color w:val="000000" w:themeColor="text1"/>
          <w:sz w:val="32"/>
          <w:szCs w:val="32"/>
          <w14:textFill>
            <w14:solidFill>
              <w14:schemeClr w14:val="tx1"/>
            </w14:solidFill>
          </w14:textFill>
        </w:rPr>
        <w:t>预算执行率为10</w:t>
      </w:r>
      <w:r>
        <w:rPr>
          <w:rFonts w:ascii="Times New Roman" w:hAnsi="Times New Roman" w:eastAsia="仿宋_GB2312"/>
          <w:color w:val="000000" w:themeColor="text1"/>
          <w:sz w:val="32"/>
          <w:szCs w:val="32"/>
          <w:lang w:val="zh-CN"/>
          <w14:textFill>
            <w14:solidFill>
              <w14:schemeClr w14:val="tx1"/>
            </w14:solidFill>
          </w14:textFill>
        </w:rPr>
        <w:t>0.00%。</w:t>
      </w:r>
      <w:bookmarkEnd w:id="3"/>
    </w:p>
    <w:p>
      <w:pPr>
        <w:pStyle w:val="5"/>
        <w:spacing w:line="579" w:lineRule="exact"/>
        <w:ind w:firstLine="640" w:firstLineChars="200"/>
        <w:jc w:val="both"/>
        <w:outlineLvl w:val="1"/>
        <w:rPr>
          <w:rFonts w:ascii="Times New Roman" w:eastAsia="黑体" w:cs="Times New Roman"/>
          <w:color w:val="000000" w:themeColor="text1"/>
          <w:sz w:val="32"/>
          <w:szCs w:val="32"/>
          <w14:textFill>
            <w14:solidFill>
              <w14:schemeClr w14:val="tx1"/>
            </w14:solidFill>
          </w14:textFill>
        </w:rPr>
      </w:pPr>
      <w:bookmarkStart w:id="4" w:name="_Toc201475748"/>
      <w:bookmarkStart w:id="5" w:name="_Toc203669477"/>
      <w:r>
        <w:rPr>
          <w:rFonts w:ascii="Times New Roman" w:eastAsia="黑体" w:cs="Times New Roman"/>
          <w:color w:val="000000" w:themeColor="text1"/>
          <w:sz w:val="32"/>
          <w:szCs w:val="32"/>
          <w14:textFill>
            <w14:solidFill>
              <w14:schemeClr w14:val="tx1"/>
            </w14:solidFill>
          </w14:textFill>
        </w:rPr>
        <w:t>二、绩效评价分析</w:t>
      </w:r>
      <w:bookmarkEnd w:id="4"/>
      <w:bookmarkEnd w:id="5"/>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6" w:name="_Toc203669478"/>
      <w:bookmarkStart w:id="7" w:name="_Toc201475749"/>
      <w:r>
        <w:rPr>
          <w:rFonts w:ascii="Times New Roman" w:eastAsia="楷体_GB2312" w:cs="Times New Roman"/>
          <w:color w:val="000000" w:themeColor="text1"/>
          <w:sz w:val="32"/>
          <w:szCs w:val="32"/>
          <w14:textFill>
            <w14:solidFill>
              <w14:schemeClr w14:val="tx1"/>
            </w14:solidFill>
          </w14:textFill>
        </w:rPr>
        <w:t>（一）履职效能分析</w:t>
      </w:r>
      <w:bookmarkEnd w:id="6"/>
      <w:bookmarkEnd w:id="7"/>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bookmarkStart w:id="8" w:name="OLE_LINK27"/>
      <w:r>
        <w:rPr>
          <w:rFonts w:ascii="Times New Roman" w:cs="Times New Roman"/>
          <w:color w:val="000000" w:themeColor="text1"/>
          <w:sz w:val="32"/>
          <w:szCs w:val="32"/>
          <w14:textFill>
            <w14:solidFill>
              <w14:schemeClr w14:val="tx1"/>
            </w14:solidFill>
          </w14:textFill>
        </w:rPr>
        <w:t>该指标分值50分，评价得</w:t>
      </w:r>
      <w:bookmarkStart w:id="9" w:name="OLE_LINK30"/>
      <w:r>
        <w:rPr>
          <w:rFonts w:ascii="Times New Roman" w:cs="Times New Roman"/>
          <w:color w:val="000000" w:themeColor="text1"/>
          <w:sz w:val="32"/>
          <w:szCs w:val="32"/>
          <w14:textFill>
            <w14:solidFill>
              <w14:schemeClr w14:val="tx1"/>
            </w14:solidFill>
          </w14:textFill>
        </w:rPr>
        <w:t>42.</w:t>
      </w:r>
      <w:r>
        <w:rPr>
          <w:rFonts w:hint="eastAsia" w:ascii="Times New Roman" w:cs="Times New Roman"/>
          <w:color w:val="000000" w:themeColor="text1"/>
          <w:sz w:val="32"/>
          <w:szCs w:val="32"/>
          <w14:textFill>
            <w14:solidFill>
              <w14:schemeClr w14:val="tx1"/>
            </w14:solidFill>
          </w14:textFill>
        </w:rPr>
        <w:t>9</w:t>
      </w:r>
      <w:r>
        <w:rPr>
          <w:rFonts w:ascii="Times New Roman" w:cs="Times New Roman"/>
          <w:color w:val="000000" w:themeColor="text1"/>
          <w:sz w:val="32"/>
          <w:szCs w:val="32"/>
          <w14:textFill>
            <w14:solidFill>
              <w14:schemeClr w14:val="tx1"/>
            </w14:solidFill>
          </w14:textFill>
        </w:rPr>
        <w:t>3</w:t>
      </w:r>
      <w:bookmarkEnd w:id="9"/>
      <w:r>
        <w:rPr>
          <w:rFonts w:ascii="Times New Roman" w:cs="Times New Roman"/>
          <w:color w:val="000000" w:themeColor="text1"/>
          <w:sz w:val="32"/>
          <w:szCs w:val="32"/>
          <w14:textFill>
            <w14:solidFill>
              <w14:schemeClr w14:val="tx1"/>
            </w14:solidFill>
          </w14:textFill>
        </w:rPr>
        <w:t>分，得分率为</w:t>
      </w:r>
      <w:bookmarkStart w:id="10" w:name="_Hlk203034056"/>
      <w:r>
        <w:rPr>
          <w:rFonts w:ascii="Times New Roman" w:cs="Times New Roman"/>
          <w:color w:val="000000" w:themeColor="text1"/>
          <w:sz w:val="32"/>
          <w:szCs w:val="32"/>
          <w14:textFill>
            <w14:solidFill>
              <w14:schemeClr w14:val="tx1"/>
            </w14:solidFill>
          </w14:textFill>
        </w:rPr>
        <w:t>8</w:t>
      </w:r>
      <w:r>
        <w:rPr>
          <w:rFonts w:hint="eastAsia" w:ascii="Times New Roman" w:cs="Times New Roman"/>
          <w:color w:val="000000" w:themeColor="text1"/>
          <w:sz w:val="32"/>
          <w:szCs w:val="32"/>
          <w14:textFill>
            <w14:solidFill>
              <w14:schemeClr w14:val="tx1"/>
            </w14:solidFill>
          </w14:textFill>
        </w:rPr>
        <w:t>5</w:t>
      </w:r>
      <w:r>
        <w:rPr>
          <w:rFonts w:ascii="Times New Roman" w:cs="Times New Roman"/>
          <w:color w:val="000000" w:themeColor="text1"/>
          <w:sz w:val="32"/>
          <w:szCs w:val="32"/>
          <w14:textFill>
            <w14:solidFill>
              <w14:schemeClr w14:val="tx1"/>
            </w14:solidFill>
          </w14:textFill>
        </w:rPr>
        <w:t>.</w:t>
      </w:r>
      <w:r>
        <w:rPr>
          <w:rFonts w:hint="eastAsia" w:ascii="Times New Roman" w:cs="Times New Roman"/>
          <w:color w:val="000000" w:themeColor="text1"/>
          <w:sz w:val="32"/>
          <w:szCs w:val="32"/>
          <w14:textFill>
            <w14:solidFill>
              <w14:schemeClr w14:val="tx1"/>
            </w14:solidFill>
          </w14:textFill>
        </w:rPr>
        <w:t>8</w:t>
      </w:r>
      <w:r>
        <w:rPr>
          <w:rFonts w:ascii="Times New Roman" w:cs="Times New Roman"/>
          <w:color w:val="000000" w:themeColor="text1"/>
          <w:sz w:val="32"/>
          <w:szCs w:val="32"/>
          <w14:textFill>
            <w14:solidFill>
              <w14:schemeClr w14:val="tx1"/>
            </w14:solidFill>
          </w14:textFill>
        </w:rPr>
        <w:t>6</w:t>
      </w:r>
      <w:bookmarkEnd w:id="10"/>
      <w:r>
        <w:rPr>
          <w:rFonts w:ascii="Times New Roman" w:cs="Times New Roman"/>
          <w:color w:val="000000" w:themeColor="text1"/>
          <w:sz w:val="32"/>
          <w:szCs w:val="32"/>
          <w14:textFill>
            <w14:solidFill>
              <w14:schemeClr w14:val="tx1"/>
            </w14:solidFill>
          </w14:textFill>
        </w:rPr>
        <w:t>%。</w:t>
      </w:r>
      <w:bookmarkEnd w:id="8"/>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bookmarkStart w:id="11" w:name="OLE_LINK6"/>
      <w:r>
        <w:rPr>
          <w:rFonts w:ascii="Times New Roman" w:cs="Times New Roman"/>
          <w:color w:val="000000" w:themeColor="text1"/>
          <w:sz w:val="32"/>
          <w:szCs w:val="32"/>
          <w14:textFill>
            <w14:solidFill>
              <w14:schemeClr w14:val="tx1"/>
            </w14:solidFill>
          </w14:textFill>
        </w:rPr>
        <w:t>2024年市委政研室</w:t>
      </w:r>
      <w:bookmarkEnd w:id="11"/>
      <w:r>
        <w:rPr>
          <w:rFonts w:ascii="Times New Roman" w:cs="Times New Roman"/>
          <w:color w:val="000000" w:themeColor="text1"/>
          <w:sz w:val="32"/>
          <w:szCs w:val="32"/>
          <w14:textFill>
            <w14:solidFill>
              <w14:schemeClr w14:val="tx1"/>
            </w14:solidFill>
          </w14:textFill>
        </w:rPr>
        <w:t>在整体效能方面完成较好，部门整体产出指标完成率为</w:t>
      </w:r>
      <w:r>
        <w:rPr>
          <w:rFonts w:hint="eastAsia" w:ascii="Times New Roman" w:cs="Times New Roman"/>
          <w:color w:val="000000" w:themeColor="text1"/>
          <w:sz w:val="32"/>
          <w:szCs w:val="32"/>
          <w14:textFill>
            <w14:solidFill>
              <w14:schemeClr w14:val="tx1"/>
            </w14:solidFill>
          </w14:textFill>
        </w:rPr>
        <w:t>93.33</w:t>
      </w:r>
      <w:r>
        <w:rPr>
          <w:rFonts w:ascii="Times New Roman" w:cs="Times New Roman"/>
          <w:color w:val="000000" w:themeColor="text1"/>
          <w:sz w:val="32"/>
          <w:szCs w:val="32"/>
          <w14:textFill>
            <w14:solidFill>
              <w14:schemeClr w14:val="tx1"/>
            </w14:solidFill>
          </w14:textFill>
        </w:rPr>
        <w:t>%，但有1项产出指标完成值与预期值偏差过大（完成率高于150%），部门整体效益指标完成率为100%。</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2024年市委政研室在项目效能方面完成情况有一定提高空间。其中“百千万工程”指挥部办公室任务战略目标匹配率、采购购买服务任务完成率、采购购买服务验收通过率、编印研究成果指导性完成较好；“百千万工程”指挥部办公室任务完成率、“百千万工程”统筹督查有效性、刊物编发数量</w:t>
      </w:r>
      <w:r>
        <w:rPr>
          <w:rFonts w:hint="eastAsia" w:ascii="Times New Roman" w:cs="Times New Roman"/>
          <w:color w:val="000000" w:themeColor="text1"/>
          <w:sz w:val="32"/>
          <w:szCs w:val="32"/>
          <w14:textFill>
            <w14:solidFill>
              <w14:schemeClr w14:val="tx1"/>
            </w14:solidFill>
          </w14:textFill>
        </w:rPr>
        <w:t>等</w:t>
      </w:r>
      <w:r>
        <w:rPr>
          <w:rFonts w:ascii="Times New Roman" w:cs="Times New Roman"/>
          <w:color w:val="000000" w:themeColor="text1"/>
          <w:sz w:val="32"/>
          <w:szCs w:val="32"/>
          <w14:textFill>
            <w14:solidFill>
              <w14:schemeClr w14:val="tx1"/>
            </w14:solidFill>
          </w14:textFill>
        </w:rPr>
        <w:t>方面仍存在问题。</w:t>
      </w:r>
    </w:p>
    <w:p>
      <w:pPr>
        <w:pStyle w:val="5"/>
        <w:spacing w:line="579" w:lineRule="exact"/>
        <w:ind w:firstLine="642" w:firstLineChars="200"/>
        <w:jc w:val="both"/>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主要存在问题：</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w:t>
      </w:r>
      <w:bookmarkStart w:id="12" w:name="OLE_LINK8"/>
      <w:r>
        <w:rPr>
          <w:rFonts w:ascii="Times New Roman" w:cs="Times New Roman"/>
          <w:color w:val="000000" w:themeColor="text1"/>
          <w:sz w:val="32"/>
          <w:szCs w:val="32"/>
          <w14:textFill>
            <w14:solidFill>
              <w14:schemeClr w14:val="tx1"/>
            </w14:solidFill>
          </w14:textFill>
        </w:rPr>
        <w:t>部分绩效指标值设置过于保守，目标值低于实际完成值。</w:t>
      </w:r>
      <w:bookmarkEnd w:id="12"/>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w:t>
      </w:r>
      <w:r>
        <w:rPr>
          <w:rFonts w:ascii="Times New Roman" w:cs="Times New Roman"/>
          <w:color w:val="000000" w:themeColor="text1"/>
          <w:sz w:val="32"/>
          <w:szCs w:val="32"/>
          <w14:textFill>
            <w14:solidFill>
              <w14:schemeClr w14:val="tx1"/>
            </w14:solidFill>
          </w14:textFill>
        </w:rPr>
        <w:t>“百千万工程”指挥部办公室任务完成率尚有不足，在工作任务分解、执行以及跟踪监督方面存在欠缺。</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三是</w:t>
      </w:r>
      <w:r>
        <w:rPr>
          <w:rFonts w:ascii="Times New Roman" w:cs="Times New Roman"/>
          <w:color w:val="000000" w:themeColor="text1"/>
          <w:sz w:val="32"/>
          <w:szCs w:val="32"/>
          <w14:textFill>
            <w14:solidFill>
              <w14:schemeClr w14:val="tx1"/>
            </w14:solidFill>
          </w14:textFill>
        </w:rPr>
        <w:t>编印的刊物数量未达到预期目标。</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13" w:name="_Toc203669479"/>
      <w:bookmarkStart w:id="14" w:name="_Toc201475750"/>
      <w:r>
        <w:rPr>
          <w:rFonts w:ascii="Times New Roman" w:eastAsia="楷体_GB2312" w:cs="Times New Roman"/>
          <w:color w:val="000000" w:themeColor="text1"/>
          <w:sz w:val="32"/>
          <w:szCs w:val="32"/>
          <w14:textFill>
            <w14:solidFill>
              <w14:schemeClr w14:val="tx1"/>
            </w14:solidFill>
          </w14:textFill>
        </w:rPr>
        <w:t>（二）管理效率分析</w:t>
      </w:r>
      <w:bookmarkEnd w:id="13"/>
      <w:bookmarkEnd w:id="14"/>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bookmarkStart w:id="15" w:name="_Hlk201570649"/>
      <w:r>
        <w:rPr>
          <w:rFonts w:ascii="Times New Roman" w:cs="Times New Roman"/>
          <w:color w:val="000000" w:themeColor="text1"/>
          <w:sz w:val="32"/>
          <w:szCs w:val="32"/>
          <w14:textFill>
            <w14:solidFill>
              <w14:schemeClr w14:val="tx1"/>
            </w14:solidFill>
          </w14:textFill>
        </w:rPr>
        <w:t>该指标分值50分，评价得43.45分，得分率为86.90%。</w:t>
      </w:r>
      <w:bookmarkEnd w:id="15"/>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2024年市委政研室在投入成本合理性和应用管理方面表现较好，各项目投入成本均符合部门“三定”方案，预决算和绩效信息公开及时。预算管理、目标管理、成本</w:t>
      </w:r>
      <w:r>
        <w:rPr>
          <w:rFonts w:hint="eastAsia" w:ascii="Times New Roman" w:cs="Times New Roman"/>
          <w:color w:val="000000" w:themeColor="text1"/>
          <w:sz w:val="32"/>
          <w:szCs w:val="32"/>
          <w14:textFill>
            <w14:solidFill>
              <w14:schemeClr w14:val="tx1"/>
            </w14:solidFill>
          </w14:textFill>
        </w:rPr>
        <w:t>管控措施</w:t>
      </w:r>
      <w:r>
        <w:rPr>
          <w:rFonts w:ascii="Times New Roman" w:cs="Times New Roman"/>
          <w:color w:val="000000" w:themeColor="text1"/>
          <w:sz w:val="32"/>
          <w:szCs w:val="32"/>
          <w14:textFill>
            <w14:solidFill>
              <w14:schemeClr w14:val="tx1"/>
            </w14:solidFill>
          </w14:textFill>
        </w:rPr>
        <w:t>、财务管理方面存在问题。</w:t>
      </w:r>
    </w:p>
    <w:p>
      <w:pPr>
        <w:pStyle w:val="5"/>
        <w:spacing w:line="579" w:lineRule="exact"/>
        <w:ind w:firstLine="642" w:firstLineChars="200"/>
        <w:jc w:val="both"/>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主要存在问题：</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bookmarkStart w:id="16" w:name="OLE_LINK14"/>
      <w:r>
        <w:rPr>
          <w:rFonts w:ascii="Times New Roman" w:cs="Times New Roman"/>
          <w:b/>
          <w:bCs/>
          <w:color w:val="000000" w:themeColor="text1"/>
          <w:sz w:val="32"/>
          <w:szCs w:val="32"/>
          <w14:textFill>
            <w14:solidFill>
              <w14:schemeClr w14:val="tx1"/>
            </w14:solidFill>
          </w14:textFill>
        </w:rPr>
        <w:t>一是</w:t>
      </w:r>
      <w:r>
        <w:rPr>
          <w:rFonts w:ascii="Times New Roman" w:cs="Times New Roman"/>
          <w:color w:val="000000" w:themeColor="text1"/>
          <w:sz w:val="32"/>
          <w:szCs w:val="32"/>
          <w14:textFill>
            <w14:solidFill>
              <w14:schemeClr w14:val="tx1"/>
            </w14:solidFill>
          </w14:textFill>
        </w:rPr>
        <w:t>预算编制的精细化程度不够、预见性和准确性有待提高。</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w:t>
      </w:r>
      <w:bookmarkStart w:id="17" w:name="OLE_LINK15"/>
      <w:r>
        <w:rPr>
          <w:rFonts w:ascii="Times New Roman" w:cs="Times New Roman"/>
          <w:color w:val="000000" w:themeColor="text1"/>
          <w:sz w:val="32"/>
          <w:szCs w:val="32"/>
          <w14:textFill>
            <w14:solidFill>
              <w14:schemeClr w14:val="tx1"/>
            </w14:solidFill>
          </w14:textFill>
        </w:rPr>
        <w:t>效益指标未能明确体现部门履职效果</w:t>
      </w:r>
      <w:bookmarkEnd w:id="17"/>
      <w:r>
        <w:rPr>
          <w:rFonts w:ascii="Times New Roman" w:cs="Times New Roman"/>
          <w:color w:val="000000" w:themeColor="text1"/>
          <w:sz w:val="32"/>
          <w:szCs w:val="32"/>
          <w14:textFill>
            <w14:solidFill>
              <w14:schemeClr w14:val="tx1"/>
            </w14:solidFill>
          </w14:textFill>
        </w:rPr>
        <w:t>，影响对部门效益完成情况的准确评估和有效监控。</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三是</w:t>
      </w:r>
      <w:r>
        <w:rPr>
          <w:rFonts w:ascii="Times New Roman" w:cs="Times New Roman"/>
          <w:color w:val="000000" w:themeColor="text1"/>
          <w:sz w:val="32"/>
          <w:szCs w:val="32"/>
          <w14:textFill>
            <w14:solidFill>
              <w14:schemeClr w14:val="tx1"/>
            </w14:solidFill>
          </w14:textFill>
        </w:rPr>
        <w:t>财务管理在细节方面存在漏洞和不规范之处。</w:t>
      </w:r>
    </w:p>
    <w:p>
      <w:pPr>
        <w:pStyle w:val="5"/>
        <w:spacing w:line="579" w:lineRule="exact"/>
        <w:ind w:firstLine="642" w:firstLineChars="200"/>
        <w:jc w:val="both"/>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四是</w:t>
      </w:r>
      <w:r>
        <w:rPr>
          <w:rFonts w:ascii="Times New Roman" w:cs="Times New Roman"/>
          <w:color w:val="000000" w:themeColor="text1"/>
          <w:sz w:val="32"/>
          <w:szCs w:val="32"/>
          <w14:textFill>
            <w14:solidFill>
              <w14:schemeClr w14:val="tx1"/>
            </w14:solidFill>
          </w14:textFill>
        </w:rPr>
        <w:t>成本管控措施不严格，支出标准不统一，影响成本的控制效果。</w:t>
      </w:r>
    </w:p>
    <w:bookmarkEnd w:id="16"/>
    <w:p>
      <w:pPr>
        <w:pStyle w:val="5"/>
        <w:spacing w:line="579" w:lineRule="exact"/>
        <w:ind w:firstLine="640" w:firstLineChars="200"/>
        <w:jc w:val="both"/>
        <w:outlineLvl w:val="1"/>
        <w:rPr>
          <w:rFonts w:ascii="Times New Roman" w:eastAsia="黑体" w:cs="Times New Roman"/>
          <w:color w:val="000000" w:themeColor="text1"/>
          <w:sz w:val="32"/>
          <w:szCs w:val="32"/>
          <w14:textFill>
            <w14:solidFill>
              <w14:schemeClr w14:val="tx1"/>
            </w14:solidFill>
          </w14:textFill>
        </w:rPr>
      </w:pPr>
      <w:bookmarkStart w:id="18" w:name="_Toc201475751"/>
      <w:bookmarkStart w:id="19" w:name="_Toc203669480"/>
      <w:r>
        <w:rPr>
          <w:rFonts w:ascii="Times New Roman" w:eastAsia="黑体" w:cs="Times New Roman"/>
          <w:color w:val="000000" w:themeColor="text1"/>
          <w:sz w:val="32"/>
          <w:szCs w:val="32"/>
          <w14:textFill>
            <w14:solidFill>
              <w14:schemeClr w14:val="tx1"/>
            </w14:solidFill>
          </w14:textFill>
        </w:rPr>
        <w:t>三、绩效评价结论</w:t>
      </w:r>
      <w:bookmarkEnd w:id="18"/>
      <w:bookmarkEnd w:id="19"/>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通过对自评材料的分析和现场评价，综合履职效能、管理效率两方面对部门资金使用情况分析显示：2024年，市委政研室在履职效能和管理效率方面存在一定的不足。主要问题是部分绩效指标值设置过于保守；“百千万工程”指挥部办公室在工作任务分解、执行以及跟踪监督方面存在欠缺；预算编制的精细化程度不够；成本管控措施不严格等。经综合分析评价，2024年市委政研室部门整体绩效评价得分为8</w:t>
      </w:r>
      <w:r>
        <w:rPr>
          <w:rFonts w:hint="eastAsia" w:ascii="Times New Roman" w:cs="Times New Roman"/>
          <w:color w:val="000000" w:themeColor="text1"/>
          <w:sz w:val="32"/>
          <w:szCs w:val="32"/>
          <w14:textFill>
            <w14:solidFill>
              <w14:schemeClr w14:val="tx1"/>
            </w14:solidFill>
          </w14:textFill>
        </w:rPr>
        <w:t>6</w:t>
      </w:r>
      <w:r>
        <w:rPr>
          <w:rFonts w:ascii="Times New Roman" w:cs="Times New Roman"/>
          <w:color w:val="000000" w:themeColor="text1"/>
          <w:sz w:val="32"/>
          <w:szCs w:val="32"/>
          <w14:textFill>
            <w14:solidFill>
              <w14:schemeClr w14:val="tx1"/>
            </w14:solidFill>
          </w14:textFill>
        </w:rPr>
        <w:t>.</w:t>
      </w:r>
      <w:r>
        <w:rPr>
          <w:rFonts w:hint="eastAsia" w:ascii="Times New Roman" w:cs="Times New Roman"/>
          <w:color w:val="000000" w:themeColor="text1"/>
          <w:sz w:val="32"/>
          <w:szCs w:val="32"/>
          <w14:textFill>
            <w14:solidFill>
              <w14:schemeClr w14:val="tx1"/>
            </w14:solidFill>
          </w14:textFill>
        </w:rPr>
        <w:t>3</w:t>
      </w:r>
      <w:r>
        <w:rPr>
          <w:rFonts w:ascii="Times New Roman" w:cs="Times New Roman"/>
          <w:color w:val="000000" w:themeColor="text1"/>
          <w:sz w:val="32"/>
          <w:szCs w:val="32"/>
          <w14:textFill>
            <w14:solidFill>
              <w14:schemeClr w14:val="tx1"/>
            </w14:solidFill>
          </w14:textFill>
        </w:rPr>
        <w:t>8分，绩效等级为“良”。</w:t>
      </w:r>
    </w:p>
    <w:p>
      <w:pPr>
        <w:spacing w:line="579" w:lineRule="exact"/>
        <w:jc w:val="center"/>
        <w:rPr>
          <w:rFonts w:eastAsia="黑体"/>
          <w:color w:val="000000" w:themeColor="text1"/>
          <w:kern w:val="0"/>
          <w:sz w:val="24"/>
          <w14:textFill>
            <w14:solidFill>
              <w14:schemeClr w14:val="tx1"/>
            </w14:solidFill>
          </w14:textFill>
        </w:rPr>
      </w:pPr>
      <w:r>
        <w:rPr>
          <w:rFonts w:eastAsia="黑体"/>
          <w:color w:val="000000" w:themeColor="text1"/>
          <w:kern w:val="0"/>
          <w:sz w:val="24"/>
          <w14:textFill>
            <w14:solidFill>
              <w14:schemeClr w14:val="tx1"/>
            </w14:solidFill>
          </w14:textFill>
        </w:rPr>
        <w:t>表1  评价情况总表</w:t>
      </w:r>
    </w:p>
    <w:tbl>
      <w:tblPr>
        <w:tblStyle w:val="19"/>
        <w:tblW w:w="0" w:type="auto"/>
        <w:tblInd w:w="0" w:type="dxa"/>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130" w:type="dxa"/>
            <w:tcBorders>
              <w:top w:val="single" w:color="auto" w:sz="8" w:space="0"/>
              <w:bottom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评价因素</w:t>
            </w:r>
          </w:p>
        </w:tc>
        <w:tc>
          <w:tcPr>
            <w:tcW w:w="2130" w:type="dxa"/>
            <w:tcBorders>
              <w:top w:val="single" w:color="auto" w:sz="8" w:space="0"/>
              <w:bottom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分值</w:t>
            </w:r>
          </w:p>
        </w:tc>
        <w:tc>
          <w:tcPr>
            <w:tcW w:w="2131" w:type="dxa"/>
            <w:tcBorders>
              <w:top w:val="single" w:color="auto" w:sz="8" w:space="0"/>
              <w:bottom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评价得分</w:t>
            </w:r>
          </w:p>
        </w:tc>
        <w:tc>
          <w:tcPr>
            <w:tcW w:w="2131" w:type="dxa"/>
            <w:tcBorders>
              <w:top w:val="single" w:color="auto" w:sz="8" w:space="0"/>
              <w:bottom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得分率（%）</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130" w:type="dxa"/>
            <w:tcBorders>
              <w:top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评价总得分</w:t>
            </w:r>
          </w:p>
        </w:tc>
        <w:tc>
          <w:tcPr>
            <w:tcW w:w="2130" w:type="dxa"/>
            <w:tcBorders>
              <w:top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100</w:t>
            </w:r>
          </w:p>
        </w:tc>
        <w:tc>
          <w:tcPr>
            <w:tcW w:w="2131" w:type="dxa"/>
            <w:tcBorders>
              <w:top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8</w:t>
            </w:r>
            <w:r>
              <w:rPr>
                <w:rFonts w:hint="eastAsia" w:ascii="Times New Roman" w:eastAsia="黑体" w:cs="Times New Roman"/>
                <w:color w:val="000000" w:themeColor="text1"/>
                <w14:textFill>
                  <w14:solidFill>
                    <w14:schemeClr w14:val="tx1"/>
                  </w14:solidFill>
                </w14:textFill>
              </w:rPr>
              <w:t>6</w:t>
            </w:r>
            <w:r>
              <w:rPr>
                <w:rFonts w:ascii="Times New Roman" w:eastAsia="黑体" w:cs="Times New Roman"/>
                <w:color w:val="000000" w:themeColor="text1"/>
                <w14:textFill>
                  <w14:solidFill>
                    <w14:schemeClr w14:val="tx1"/>
                  </w14:solidFill>
                </w14:textFill>
              </w:rPr>
              <w:t>.</w:t>
            </w:r>
            <w:r>
              <w:rPr>
                <w:rFonts w:hint="eastAsia" w:ascii="Times New Roman" w:eastAsia="黑体" w:cs="Times New Roman"/>
                <w:color w:val="000000" w:themeColor="text1"/>
                <w14:textFill>
                  <w14:solidFill>
                    <w14:schemeClr w14:val="tx1"/>
                  </w14:solidFill>
                </w14:textFill>
              </w:rPr>
              <w:t>3</w:t>
            </w:r>
            <w:r>
              <w:rPr>
                <w:rFonts w:ascii="Times New Roman" w:eastAsia="黑体" w:cs="Times New Roman"/>
                <w:color w:val="000000" w:themeColor="text1"/>
                <w14:textFill>
                  <w14:solidFill>
                    <w14:schemeClr w14:val="tx1"/>
                  </w14:solidFill>
                </w14:textFill>
              </w:rPr>
              <w:t>8</w:t>
            </w:r>
          </w:p>
        </w:tc>
        <w:tc>
          <w:tcPr>
            <w:tcW w:w="2131" w:type="dxa"/>
            <w:tcBorders>
              <w:top w:val="single" w:color="auto" w:sz="8" w:space="0"/>
              <w:tl2br w:val="nil"/>
              <w:tr2bl w:val="nil"/>
            </w:tcBorders>
            <w:vAlign w:val="center"/>
          </w:tcPr>
          <w:p>
            <w:pPr>
              <w:pStyle w:val="5"/>
              <w:snapToGrid w:val="0"/>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8</w:t>
            </w:r>
            <w:r>
              <w:rPr>
                <w:rFonts w:hint="eastAsia" w:ascii="Times New Roman" w:eastAsia="黑体" w:cs="Times New Roman"/>
                <w:color w:val="000000" w:themeColor="text1"/>
                <w14:textFill>
                  <w14:solidFill>
                    <w14:schemeClr w14:val="tx1"/>
                  </w14:solidFill>
                </w14:textFill>
              </w:rPr>
              <w:t>6</w:t>
            </w:r>
            <w:r>
              <w:rPr>
                <w:rFonts w:ascii="Times New Roman" w:eastAsia="黑体" w:cs="Times New Roman"/>
                <w:color w:val="000000" w:themeColor="text1"/>
                <w14:textFill>
                  <w14:solidFill>
                    <w14:schemeClr w14:val="tx1"/>
                  </w14:solidFill>
                </w14:textFill>
              </w:rPr>
              <w:t>.</w:t>
            </w:r>
            <w:r>
              <w:rPr>
                <w:rFonts w:hint="eastAsia" w:ascii="Times New Roman" w:eastAsia="黑体" w:cs="Times New Roman"/>
                <w:color w:val="000000" w:themeColor="text1"/>
                <w14:textFill>
                  <w14:solidFill>
                    <w14:schemeClr w14:val="tx1"/>
                  </w14:solidFill>
                </w14:textFill>
              </w:rPr>
              <w:t>3</w:t>
            </w:r>
            <w:r>
              <w:rPr>
                <w:rFonts w:ascii="Times New Roman" w:eastAsia="黑体" w:cs="Times New Roman"/>
                <w:color w:val="000000" w:themeColor="text1"/>
                <w14:textFill>
                  <w14:solidFill>
                    <w14:schemeClr w14:val="tx1"/>
                  </w14:solidFill>
                </w14:textFill>
              </w:rPr>
              <w:t>8</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130" w:type="dxa"/>
            <w:tcBorders>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履职效能</w:t>
            </w:r>
          </w:p>
        </w:tc>
        <w:tc>
          <w:tcPr>
            <w:tcW w:w="2130" w:type="dxa"/>
            <w:tcBorders>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50</w:t>
            </w:r>
          </w:p>
        </w:tc>
        <w:tc>
          <w:tcPr>
            <w:tcW w:w="2131" w:type="dxa"/>
            <w:tcBorders>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42.</w:t>
            </w:r>
            <w:r>
              <w:rPr>
                <w:rFonts w:hint="eastAsia" w:ascii="Times New Roman" w:eastAsia="宋体" w:cs="Times New Roman"/>
                <w:color w:val="000000" w:themeColor="text1"/>
                <w14:textFill>
                  <w14:solidFill>
                    <w14:schemeClr w14:val="tx1"/>
                  </w14:solidFill>
                </w14:textFill>
              </w:rPr>
              <w:t>9</w:t>
            </w:r>
            <w:r>
              <w:rPr>
                <w:rFonts w:ascii="Times New Roman" w:eastAsia="宋体" w:cs="Times New Roman"/>
                <w:color w:val="000000" w:themeColor="text1"/>
                <w14:textFill>
                  <w14:solidFill>
                    <w14:schemeClr w14:val="tx1"/>
                  </w14:solidFill>
                </w14:textFill>
              </w:rPr>
              <w:t>3</w:t>
            </w:r>
          </w:p>
        </w:tc>
        <w:tc>
          <w:tcPr>
            <w:tcW w:w="2131" w:type="dxa"/>
            <w:tcBorders>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8</w:t>
            </w:r>
            <w:r>
              <w:rPr>
                <w:rFonts w:hint="eastAsia" w:ascii="Times New Roman" w:eastAsia="宋体" w:cs="Times New Roman"/>
                <w:color w:val="000000" w:themeColor="text1"/>
                <w14:textFill>
                  <w14:solidFill>
                    <w14:schemeClr w14:val="tx1"/>
                  </w14:solidFill>
                </w14:textFill>
              </w:rPr>
              <w:t>5</w:t>
            </w:r>
            <w:r>
              <w:rPr>
                <w:rFonts w:ascii="Times New Roman" w:eastAsia="宋体" w:cs="Times New Roman"/>
                <w:color w:val="000000" w:themeColor="text1"/>
                <w14:textFill>
                  <w14:solidFill>
                    <w14:schemeClr w14:val="tx1"/>
                  </w14:solidFill>
                </w14:textFill>
              </w:rPr>
              <w:t>.</w:t>
            </w:r>
            <w:r>
              <w:rPr>
                <w:rFonts w:hint="eastAsia" w:ascii="Times New Roman" w:eastAsia="宋体" w:cs="Times New Roman"/>
                <w:color w:val="000000" w:themeColor="text1"/>
                <w14:textFill>
                  <w14:solidFill>
                    <w14:schemeClr w14:val="tx1"/>
                  </w14:solidFill>
                </w14:textFill>
              </w:rPr>
              <w:t>8</w:t>
            </w:r>
            <w:r>
              <w:rPr>
                <w:rFonts w:ascii="Times New Roman" w:eastAsia="宋体" w:cs="Times New Roman"/>
                <w:color w:val="000000" w:themeColor="text1"/>
                <w14:textFill>
                  <w14:solidFill>
                    <w14:schemeClr w14:val="tx1"/>
                  </w14:solidFill>
                </w14:textFill>
              </w:rPr>
              <w:t>6</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130" w:type="dxa"/>
            <w:tcBorders>
              <w:bottom w:val="single" w:color="auto" w:sz="8" w:space="0"/>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管理效率</w:t>
            </w:r>
          </w:p>
        </w:tc>
        <w:tc>
          <w:tcPr>
            <w:tcW w:w="2130" w:type="dxa"/>
            <w:tcBorders>
              <w:bottom w:val="single" w:color="auto" w:sz="8" w:space="0"/>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50</w:t>
            </w:r>
          </w:p>
        </w:tc>
        <w:tc>
          <w:tcPr>
            <w:tcW w:w="2131" w:type="dxa"/>
            <w:tcBorders>
              <w:bottom w:val="single" w:color="auto" w:sz="8" w:space="0"/>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43.45</w:t>
            </w:r>
          </w:p>
        </w:tc>
        <w:tc>
          <w:tcPr>
            <w:tcW w:w="2131" w:type="dxa"/>
            <w:tcBorders>
              <w:bottom w:val="single" w:color="auto" w:sz="8" w:space="0"/>
              <w:tl2br w:val="nil"/>
              <w:tr2bl w:val="nil"/>
            </w:tcBorders>
            <w:vAlign w:val="center"/>
          </w:tcPr>
          <w:p>
            <w:pPr>
              <w:pStyle w:val="5"/>
              <w:snapToGrid w:val="0"/>
              <w:jc w:val="center"/>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86.90</w:t>
            </w:r>
          </w:p>
        </w:tc>
      </w:tr>
    </w:tbl>
    <w:p>
      <w:pPr>
        <w:pStyle w:val="5"/>
        <w:spacing w:line="579" w:lineRule="exact"/>
        <w:ind w:firstLine="640" w:firstLineChars="200"/>
        <w:jc w:val="both"/>
        <w:outlineLvl w:val="1"/>
        <w:rPr>
          <w:rFonts w:ascii="Times New Roman" w:eastAsia="黑体" w:cs="Times New Roman"/>
          <w:color w:val="000000" w:themeColor="text1"/>
          <w:sz w:val="32"/>
          <w:szCs w:val="32"/>
          <w14:textFill>
            <w14:solidFill>
              <w14:schemeClr w14:val="tx1"/>
            </w14:solidFill>
          </w14:textFill>
        </w:rPr>
      </w:pPr>
      <w:bookmarkStart w:id="20" w:name="_Toc201475752"/>
      <w:bookmarkStart w:id="21" w:name="_Toc203669481"/>
      <w:r>
        <w:rPr>
          <w:rFonts w:ascii="Times New Roman" w:eastAsia="黑体" w:cs="Times New Roman"/>
          <w:color w:val="000000" w:themeColor="text1"/>
          <w:sz w:val="32"/>
          <w:szCs w:val="32"/>
          <w14:textFill>
            <w14:solidFill>
              <w14:schemeClr w14:val="tx1"/>
            </w14:solidFill>
          </w14:textFill>
        </w:rPr>
        <w:t>四、主要绩效</w:t>
      </w:r>
      <w:bookmarkEnd w:id="20"/>
      <w:bookmarkEnd w:id="21"/>
    </w:p>
    <w:p>
      <w:pPr>
        <w:pStyle w:val="5"/>
        <w:spacing w:line="579" w:lineRule="exact"/>
        <w:ind w:firstLine="640" w:firstLineChars="200"/>
        <w:jc w:val="both"/>
        <w:outlineLvl w:val="1"/>
        <w:rPr>
          <w:rFonts w:ascii="Times New Roman" w:cs="Times New Roman"/>
          <w:color w:val="000000" w:themeColor="text1"/>
          <w:sz w:val="32"/>
          <w:szCs w:val="32"/>
          <w14:textFill>
            <w14:solidFill>
              <w14:schemeClr w14:val="tx1"/>
            </w14:solidFill>
          </w14:textFill>
        </w:rPr>
      </w:pPr>
      <w:bookmarkStart w:id="22" w:name="_Toc203669482"/>
      <w:bookmarkStart w:id="23" w:name="_Toc201475753"/>
      <w:r>
        <w:rPr>
          <w:rFonts w:ascii="Times New Roman" w:eastAsia="楷体_GB2312" w:cs="Times New Roman"/>
          <w:color w:val="000000" w:themeColor="text1"/>
          <w:sz w:val="32"/>
          <w:szCs w:val="32"/>
          <w14:textFill>
            <w14:solidFill>
              <w14:schemeClr w14:val="tx1"/>
            </w14:solidFill>
          </w14:textFill>
        </w:rPr>
        <w:t>（一）高效履行以文辅政职能</w:t>
      </w:r>
      <w:bookmarkEnd w:id="22"/>
      <w:bookmarkEnd w:id="23"/>
    </w:p>
    <w:p>
      <w:pPr>
        <w:pStyle w:val="5"/>
        <w:spacing w:line="579" w:lineRule="exact"/>
        <w:ind w:firstLine="640" w:firstLineChars="200"/>
        <w:jc w:val="both"/>
        <w:rPr>
          <w:rFonts w:ascii="Times New Roman" w:cs="Times New Roman"/>
          <w:sz w:val="32"/>
          <w:szCs w:val="32"/>
        </w:rPr>
      </w:pPr>
      <w:r>
        <w:rPr>
          <w:rFonts w:ascii="Times New Roman" w:cs="Times New Roman"/>
          <w:sz w:val="32"/>
          <w:szCs w:val="32"/>
        </w:rPr>
        <w:t>市委政研室2024年高质量完成各类综合文稿580多份、总计超370万字，比上年增加30多份、20多万字；获市领导批示125次，其中市委、市政府主要领导批示39次，分别比上年增加39次、19次。24篇文稿在《广东调研》等省级以上刊物刊登，比上年增加10 篇，其中，《以电化学储能为突破口抢占新型储能产业新赛道》在《学习与研究》刊发，实现江门市首次在中央政策研究室主办刊物发表调研报告的历史性突破。</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24" w:name="_Toc203669483"/>
      <w:bookmarkStart w:id="25" w:name="_Toc201475754"/>
      <w:r>
        <w:rPr>
          <w:rFonts w:ascii="Times New Roman" w:eastAsia="楷体_GB2312" w:cs="Times New Roman"/>
          <w:color w:val="000000" w:themeColor="text1"/>
          <w:sz w:val="32"/>
          <w:szCs w:val="32"/>
          <w14:textFill>
            <w14:solidFill>
              <w14:schemeClr w14:val="tx1"/>
            </w14:solidFill>
          </w14:textFill>
        </w:rPr>
        <w:t>（二）推动改革见行见效</w:t>
      </w:r>
      <w:bookmarkEnd w:id="24"/>
      <w:bookmarkEnd w:id="25"/>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市委政研室2024年制定出台《市委全面深化改革委员会2024 年改革工作安排》《江门市贯彻落实省2024年聚焦完善两项机制推进“百千万工程”集成式改革重点任务安排行动方案》《江门市落实深化农村改革重点任务清单》，部署实施十大领域96项年度改革任务、23项“百千万工程”集成式改革任务、25项深化农村改革重点任务，统筹推进各领域改革，充分激发各方面动力活力。成功组织申报推进镇域经济高质量发展、信用建设助推社会治理现代化等省级改革试点，协调推进全域水经济、全域土地综合整治等50多项省级以上改革试点工作。</w:t>
      </w:r>
    </w:p>
    <w:p>
      <w:pPr>
        <w:pStyle w:val="5"/>
        <w:spacing w:line="579" w:lineRule="exact"/>
        <w:ind w:firstLine="640" w:firstLineChars="200"/>
        <w:jc w:val="both"/>
        <w:outlineLvl w:val="1"/>
        <w:rPr>
          <w:rFonts w:ascii="Times New Roman" w:cs="Times New Roman"/>
          <w:color w:val="000000" w:themeColor="text1"/>
          <w:sz w:val="32"/>
          <w:szCs w:val="32"/>
          <w14:textFill>
            <w14:solidFill>
              <w14:schemeClr w14:val="tx1"/>
            </w14:solidFill>
          </w14:textFill>
        </w:rPr>
      </w:pPr>
      <w:bookmarkStart w:id="26" w:name="_Toc201475755"/>
      <w:bookmarkStart w:id="27" w:name="_Toc203669484"/>
      <w:r>
        <w:rPr>
          <w:rFonts w:ascii="Times New Roman" w:eastAsia="楷体_GB2312" w:cs="Times New Roman"/>
          <w:color w:val="000000" w:themeColor="text1"/>
          <w:sz w:val="32"/>
          <w:szCs w:val="32"/>
          <w14:textFill>
            <w14:solidFill>
              <w14:schemeClr w14:val="tx1"/>
            </w14:solidFill>
          </w14:textFill>
        </w:rPr>
        <w:t>（三）助力“百千万工程”加力提速</w:t>
      </w:r>
      <w:bookmarkEnd w:id="26"/>
      <w:bookmarkEnd w:id="27"/>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政研室协调市四套班子成员到挂点联系镇村开展调研257人次，解决问题468个；成立6个督查组开展联合大督查110次，发现问题1037个，在限期整改中倒逼工作推进。全省率先在市县两级指挥部成立“百千万工程”合规指导组，加强资金、项目合规指导，打造“民心工程”“阳光工程”“廉洁工程”。编发《工作简报》24 期，向省报送信息256条，2条入选中央改革办调研组专题参阅材料，9条被省级采用刊发推广；策划“我与百千万”专题图片展，7个县（市、区）巡回展出累计观展人数超15万；与南方报业集团共建南方+江门“百千万工程”频道，讲好江门故事。</w:t>
      </w:r>
    </w:p>
    <w:p>
      <w:pPr>
        <w:pStyle w:val="5"/>
        <w:spacing w:line="579" w:lineRule="exact"/>
        <w:ind w:firstLine="640" w:firstLineChars="200"/>
        <w:jc w:val="both"/>
        <w:outlineLvl w:val="1"/>
        <w:rPr>
          <w:rFonts w:ascii="Times New Roman" w:cs="Times New Roman"/>
          <w:color w:val="000000" w:themeColor="text1"/>
          <w:sz w:val="32"/>
          <w:szCs w:val="32"/>
          <w14:textFill>
            <w14:solidFill>
              <w14:schemeClr w14:val="tx1"/>
            </w14:solidFill>
          </w14:textFill>
        </w:rPr>
      </w:pPr>
      <w:bookmarkStart w:id="28" w:name="_Toc203669485"/>
      <w:bookmarkStart w:id="29" w:name="_Toc201475756"/>
      <w:r>
        <w:rPr>
          <w:rFonts w:ascii="Times New Roman" w:eastAsia="黑体" w:cs="Times New Roman"/>
          <w:color w:val="000000" w:themeColor="text1"/>
          <w:sz w:val="32"/>
          <w:szCs w:val="32"/>
          <w14:textFill>
            <w14:solidFill>
              <w14:schemeClr w14:val="tx1"/>
            </w14:solidFill>
          </w14:textFill>
        </w:rPr>
        <w:t>五、存在问题</w:t>
      </w:r>
      <w:bookmarkEnd w:id="28"/>
      <w:bookmarkEnd w:id="29"/>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30" w:name="_Toc201475757"/>
      <w:bookmarkStart w:id="31" w:name="_Toc203669486"/>
      <w:bookmarkStart w:id="32" w:name="OLE_LINK11"/>
      <w:bookmarkStart w:id="33" w:name="OLE_LINK20"/>
      <w:r>
        <w:rPr>
          <w:rFonts w:ascii="Times New Roman" w:eastAsia="楷体_GB2312" w:cs="Times New Roman"/>
          <w:color w:val="000000" w:themeColor="text1"/>
          <w:sz w:val="32"/>
          <w:szCs w:val="32"/>
          <w14:textFill>
            <w14:solidFill>
              <w14:schemeClr w14:val="tx1"/>
            </w14:solidFill>
          </w14:textFill>
        </w:rPr>
        <w:t>（一）产出指标设置较保守，效益指标欠缺契合度</w:t>
      </w:r>
      <w:bookmarkEnd w:id="30"/>
      <w:bookmarkEnd w:id="31"/>
    </w:p>
    <w:bookmarkEnd w:id="32"/>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w:t>
      </w:r>
      <w:r>
        <w:rPr>
          <w:rFonts w:ascii="Times New Roman" w:cs="Times New Roman"/>
          <w:color w:val="000000" w:themeColor="text1"/>
          <w:sz w:val="32"/>
          <w:szCs w:val="32"/>
          <w14:textFill>
            <w14:solidFill>
              <w14:schemeClr w14:val="tx1"/>
            </w14:solidFill>
          </w14:textFill>
        </w:rPr>
        <w:t>部分产出指标值与实际完成情况存在差距。以 “提出有效决策建议数”指标为例，其预期值仅设定为5个，实际实现值达到8个，完成率为160%。这一保守的预期设定一方面无法充分体现部门在政策研究与决策辅助工作中的实际能力与潜力，使得部门在决策建议领域的工作成果被低估，另一方面也难以形成有效的激励机制，无法促使工作人员充分发挥主观能动性，追求更高质量的工作成果。​</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w:t>
      </w:r>
      <w:r>
        <w:rPr>
          <w:rFonts w:ascii="Times New Roman" w:cs="Times New Roman"/>
          <w:color w:val="000000" w:themeColor="text1"/>
          <w:sz w:val="32"/>
          <w:szCs w:val="32"/>
          <w14:textFill>
            <w14:solidFill>
              <w14:schemeClr w14:val="tx1"/>
            </w14:solidFill>
          </w14:textFill>
        </w:rPr>
        <w:t>市委政研室当前设置的4项社会效益指标存在明显不足，难以</w:t>
      </w:r>
      <w:bookmarkStart w:id="34" w:name="OLE_LINK16"/>
      <w:r>
        <w:rPr>
          <w:rFonts w:ascii="Times New Roman" w:cs="Times New Roman"/>
          <w:color w:val="000000" w:themeColor="text1"/>
          <w:sz w:val="32"/>
          <w:szCs w:val="32"/>
          <w14:textFill>
            <w14:solidFill>
              <w14:schemeClr w14:val="tx1"/>
            </w14:solidFill>
          </w14:textFill>
        </w:rPr>
        <w:t>全面、准确反映部门履职成效</w:t>
      </w:r>
      <w:bookmarkEnd w:id="34"/>
      <w:r>
        <w:rPr>
          <w:rFonts w:ascii="Times New Roman" w:cs="Times New Roman"/>
          <w:color w:val="000000" w:themeColor="text1"/>
          <w:sz w:val="32"/>
          <w:szCs w:val="32"/>
          <w14:textFill>
            <w14:solidFill>
              <w14:schemeClr w14:val="tx1"/>
            </w14:solidFill>
          </w14:textFill>
        </w:rPr>
        <w:t>，</w:t>
      </w:r>
      <w:r>
        <w:rPr>
          <w:rFonts w:hint="eastAsia" w:ascii="Times New Roman" w:cs="Times New Roman"/>
          <w:color w:val="000000" w:themeColor="text1"/>
          <w:sz w:val="32"/>
          <w:szCs w:val="32"/>
          <w14:textFill>
            <w14:solidFill>
              <w14:schemeClr w14:val="tx1"/>
            </w14:solidFill>
          </w14:textFill>
        </w:rPr>
        <w:t>有待</w:t>
      </w:r>
      <w:r>
        <w:rPr>
          <w:rFonts w:ascii="Times New Roman" w:cs="Times New Roman"/>
          <w:color w:val="000000" w:themeColor="text1"/>
          <w:sz w:val="32"/>
          <w:szCs w:val="32"/>
          <w14:textFill>
            <w14:solidFill>
              <w14:schemeClr w14:val="tx1"/>
            </w14:solidFill>
          </w14:textFill>
        </w:rPr>
        <w:t>优化完善。​</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市委政研室现有的4项社会效益指标分别为：“平均运行无故障（%），指标值≥96”；“安全事故发生数（起），0”；“政策执行跟踪反馈覆盖率（%），100%”；“有利于提高工作效率（是 / 否），是” 。已有的4项社会效益指标未能全面、准确反映部门履职成效，导致部门在绩效评估过程中，难以对政策研究、决策辅助等核心职能的履行效果进行科学、系统的评价。由于缺少能明确考核部门履职效果的各类效益指标，无法精准衡量政策研究成果对社会发展的促进作用、决策建议的实际采纳及实施效果，使得绩效目标完成情况的评估缺乏客观性和准确性，无法为后续工作改进和资源合理配置提供有力的数据支撑。在日常监控方面，现有指标无法及时发现工作中存在的深层次问题，难以实现对绩效目标的动态跟踪和有效调整，进而影响了绩效管理工作的效能。</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35" w:name="_Toc201475758"/>
      <w:bookmarkStart w:id="36" w:name="_Toc203669487"/>
      <w:r>
        <w:rPr>
          <w:rFonts w:ascii="Times New Roman" w:eastAsia="楷体_GB2312" w:cs="Times New Roman"/>
          <w:color w:val="000000" w:themeColor="text1"/>
          <w:sz w:val="32"/>
          <w:szCs w:val="32"/>
          <w14:textFill>
            <w14:solidFill>
              <w14:schemeClr w14:val="tx1"/>
            </w14:solidFill>
          </w14:textFill>
        </w:rPr>
        <w:t>（二）预算编制不精细，</w:t>
      </w:r>
      <w:bookmarkEnd w:id="35"/>
      <w:r>
        <w:rPr>
          <w:rFonts w:ascii="Times New Roman" w:eastAsia="楷体_GB2312" w:cs="Times New Roman"/>
          <w:color w:val="000000" w:themeColor="text1"/>
          <w:sz w:val="32"/>
          <w:szCs w:val="32"/>
          <w14:textFill>
            <w14:solidFill>
              <w14:schemeClr w14:val="tx1"/>
            </w14:solidFill>
          </w14:textFill>
        </w:rPr>
        <w:t>同类资金分配模糊</w:t>
      </w:r>
      <w:bookmarkEnd w:id="36"/>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政研室在各项目预算编制过程中，存在同类用途资金分配边界不清晰，缺乏明确划分标准的情况，导致预算编制不够精准、规范。以办公用品购置为例，多个项目均涉及办公用品采购，但在预算编制时，未对不同项目中办公用品采购资金进行清晰界定，使得资金流向难以精准追踪与核算，较易造成预算编制的混乱，降低资金使用效率。</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37" w:name="_Toc201475759"/>
      <w:bookmarkStart w:id="38" w:name="_Toc203669488"/>
      <w:bookmarkStart w:id="39" w:name="OLE_LINK12"/>
      <w:r>
        <w:rPr>
          <w:rFonts w:ascii="Times New Roman" w:eastAsia="楷体_GB2312" w:cs="Times New Roman"/>
          <w:color w:val="000000" w:themeColor="text1"/>
          <w:sz w:val="32"/>
          <w:szCs w:val="32"/>
          <w14:textFill>
            <w14:solidFill>
              <w14:schemeClr w14:val="tx1"/>
            </w14:solidFill>
          </w14:textFill>
        </w:rPr>
        <w:t>（三）成本管控有缺失，</w:t>
      </w:r>
      <w:bookmarkEnd w:id="37"/>
      <w:r>
        <w:rPr>
          <w:rFonts w:ascii="Times New Roman" w:eastAsia="楷体_GB2312" w:cs="Times New Roman"/>
          <w:color w:val="000000" w:themeColor="text1"/>
          <w:sz w:val="32"/>
          <w:szCs w:val="32"/>
          <w14:textFill>
            <w14:solidFill>
              <w14:schemeClr w14:val="tx1"/>
            </w14:solidFill>
          </w14:textFill>
        </w:rPr>
        <w:t>测算科学性待提高</w:t>
      </w:r>
      <w:bookmarkEnd w:id="38"/>
    </w:p>
    <w:bookmarkEnd w:id="39"/>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一是成本管控措施不严格。</w:t>
      </w:r>
      <w:r>
        <w:rPr>
          <w:rFonts w:ascii="Times New Roman" w:cs="Times New Roman"/>
          <w:color w:val="000000" w:themeColor="text1"/>
          <w:sz w:val="32"/>
          <w:szCs w:val="32"/>
          <w14:textFill>
            <w14:solidFill>
              <w14:schemeClr w14:val="tx1"/>
            </w14:solidFill>
          </w14:textFill>
        </w:rPr>
        <w:t>劳务费金额无相关测算标准和测算方案，导致在确定劳务费用时，缺乏客观、量化的依据。根据已收集到的2024年支付结题尾款的3项课题委托协议书，合同额均为5万元，且均涉及劳务费，但劳务费仅列示总金额，且劳务费差异较大，例如《发挥企二代作用，推动民营经济高质量发展》中劳务费为3.5万元、《发展壮大镇域经济 推进区域协调发展》《建设现代化海洋牧场对策研究》劳务费为0.5万元。</w:t>
      </w:r>
      <w:r>
        <w:rPr>
          <w:rFonts w:ascii="Times New Roman" w:cs="Times New Roman"/>
          <w:color w:val="auto"/>
          <w:sz w:val="32"/>
          <w:szCs w:val="32"/>
        </w:rPr>
        <w:t>三个项目的性质同为对策研究、研究方式方法基本相同，劳务费支出额度差距较大，</w:t>
      </w:r>
      <w:r>
        <w:rPr>
          <w:rFonts w:ascii="Times New Roman" w:cs="Times New Roman"/>
          <w:color w:val="000000" w:themeColor="text1"/>
          <w:sz w:val="32"/>
          <w:szCs w:val="32"/>
          <w14:textFill>
            <w14:solidFill>
              <w14:schemeClr w14:val="tx1"/>
            </w14:solidFill>
          </w14:textFill>
        </w:rPr>
        <w:t>支出标准不统一，成本管理缺乏规范性，使得资金使用的合理性难以保证，较难有效衡量劳务支出所带来的实际效益，影响了成本管控的有效性。</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二是项目成本测算方式待</w:t>
      </w:r>
      <w:r>
        <w:rPr>
          <w:rFonts w:hint="eastAsia" w:ascii="Times New Roman" w:cs="Times New Roman"/>
          <w:b/>
          <w:bCs/>
          <w:color w:val="000000" w:themeColor="text1"/>
          <w:sz w:val="32"/>
          <w:szCs w:val="32"/>
          <w14:textFill>
            <w14:solidFill>
              <w14:schemeClr w14:val="tx1"/>
            </w14:solidFill>
          </w14:textFill>
        </w:rPr>
        <w:t>完善</w:t>
      </w:r>
      <w:r>
        <w:rPr>
          <w:rFonts w:ascii="Times New Roman" w:cs="Times New Roman"/>
          <w:b/>
          <w:bCs/>
          <w:color w:val="000000" w:themeColor="text1"/>
          <w:sz w:val="32"/>
          <w:szCs w:val="32"/>
          <w14:textFill>
            <w14:solidFill>
              <w14:schemeClr w14:val="tx1"/>
            </w14:solidFill>
          </w14:textFill>
        </w:rPr>
        <w:t>。</w:t>
      </w:r>
      <w:r>
        <w:rPr>
          <w:rFonts w:ascii="Times New Roman" w:cs="Times New Roman"/>
          <w:color w:val="000000" w:themeColor="text1"/>
          <w:sz w:val="32"/>
          <w:szCs w:val="32"/>
          <w14:textFill>
            <w14:solidFill>
              <w14:schemeClr w14:val="tx1"/>
            </w14:solidFill>
          </w14:textFill>
        </w:rPr>
        <w:t>市委政研室存在部分同类支出内容在多个项目中碎片化预测，如“文具、硒鼓粉盒耗材”在市委财经办工作经费、市决咨委工作经费、专项业务支出中均有支出，且测算依据不充分，预算科学性</w:t>
      </w:r>
      <w:r>
        <w:rPr>
          <w:rFonts w:hint="eastAsia" w:ascii="Times New Roman" w:cs="Times New Roman"/>
          <w:color w:val="000000" w:themeColor="text1"/>
          <w:sz w:val="32"/>
          <w:szCs w:val="32"/>
          <w14:textFill>
            <w14:solidFill>
              <w14:schemeClr w14:val="tx1"/>
            </w14:solidFill>
          </w14:textFill>
        </w:rPr>
        <w:t>有待提高</w:t>
      </w:r>
      <w:r>
        <w:rPr>
          <w:rFonts w:ascii="Times New Roman" w:cs="Times New Roman"/>
          <w:color w:val="000000" w:themeColor="text1"/>
          <w:sz w:val="32"/>
          <w:szCs w:val="32"/>
          <w14:textFill>
            <w14:solidFill>
              <w14:schemeClr w14:val="tx1"/>
            </w14:solidFill>
          </w14:textFill>
        </w:rPr>
        <w:t>。</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40" w:name="_Toc201475760"/>
      <w:bookmarkStart w:id="41" w:name="_Toc203669489"/>
      <w:bookmarkStart w:id="42" w:name="OLE_LINK13"/>
      <w:r>
        <w:rPr>
          <w:rFonts w:ascii="Times New Roman" w:eastAsia="楷体_GB2312" w:cs="Times New Roman"/>
          <w:color w:val="000000" w:themeColor="text1"/>
          <w:sz w:val="32"/>
          <w:szCs w:val="32"/>
          <w14:textFill>
            <w14:solidFill>
              <w14:schemeClr w14:val="tx1"/>
            </w14:solidFill>
          </w14:textFill>
        </w:rPr>
        <w:t>（四）刊物编发不达标，成果应用衡量标准</w:t>
      </w:r>
      <w:bookmarkEnd w:id="40"/>
      <w:r>
        <w:rPr>
          <w:rFonts w:hint="eastAsia" w:ascii="Times New Roman" w:eastAsia="楷体_GB2312" w:cs="Times New Roman"/>
          <w:color w:val="000000" w:themeColor="text1"/>
          <w:sz w:val="32"/>
          <w:szCs w:val="32"/>
          <w14:textFill>
            <w14:solidFill>
              <w14:schemeClr w14:val="tx1"/>
            </w14:solidFill>
          </w14:textFill>
        </w:rPr>
        <w:t>待补充</w:t>
      </w:r>
      <w:bookmarkEnd w:id="41"/>
    </w:p>
    <w:bookmarkEnd w:id="42"/>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一是刊物编印数量未达预期。</w:t>
      </w:r>
      <w:r>
        <w:rPr>
          <w:rFonts w:ascii="Times New Roman" w:cs="Times New Roman"/>
          <w:color w:val="000000" w:themeColor="text1"/>
          <w:sz w:val="32"/>
          <w:szCs w:val="32"/>
          <w14:textFill>
            <w14:solidFill>
              <w14:schemeClr w14:val="tx1"/>
            </w14:solidFill>
          </w14:textFill>
        </w:rPr>
        <w:t>根据《关于印发〈市委政研室2024年工作要点〉的通知》要求，各刊物均设定了明确的编印目标，但实际执行情况与预期存在差距。其中，《决策参考》</w:t>
      </w:r>
      <w:bookmarkStart w:id="43" w:name="OLE_LINK17"/>
      <w:r>
        <w:rPr>
          <w:rFonts w:ascii="Times New Roman" w:cs="Times New Roman"/>
          <w:color w:val="000000" w:themeColor="text1"/>
          <w:sz w:val="32"/>
          <w:szCs w:val="32"/>
          <w14:textFill>
            <w14:solidFill>
              <w14:schemeClr w14:val="tx1"/>
            </w14:solidFill>
          </w14:textFill>
        </w:rPr>
        <w:t>预期编印数量12期</w:t>
      </w:r>
      <w:bookmarkEnd w:id="43"/>
      <w:r>
        <w:rPr>
          <w:rFonts w:ascii="Times New Roman" w:cs="Times New Roman"/>
          <w:color w:val="000000" w:themeColor="text1"/>
          <w:sz w:val="32"/>
          <w:szCs w:val="32"/>
          <w14:textFill>
            <w14:solidFill>
              <w14:schemeClr w14:val="tx1"/>
            </w14:solidFill>
          </w14:textFill>
        </w:rPr>
        <w:t>，实际编印8期；《财经专报》预期编印数量12期，实际仅编印1期；《决策信息》预期编印52期，实际编印29期；《江门改革督查情况》预期编印数量6期，市委政研室将《江门改革督查情况》并入《江门市“百千万工程”全覆盖大督查简报》，未单独刊发《江门改革督查情况》，实际编印《江门市“百千万工程”全覆盖大督查简报》13期。刊物作为市委政研室重要的成果展示窗口，数量上的不足直接导致政策研究成果、决策信息等无法及时、全面地传递给相关部门和决策层。</w:t>
      </w:r>
    </w:p>
    <w:p>
      <w:pPr>
        <w:pStyle w:val="5"/>
        <w:spacing w:line="579" w:lineRule="exact"/>
        <w:ind w:firstLine="642" w:firstLineChars="200"/>
        <w:jc w:val="both"/>
        <w:rPr>
          <w:rFonts w:hint="eastAsia"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二是研究成果应用衡量标准不清晰。</w:t>
      </w:r>
      <w:r>
        <w:rPr>
          <w:rFonts w:ascii="Times New Roman" w:cs="Times New Roman"/>
          <w:color w:val="000000" w:themeColor="text1"/>
          <w:sz w:val="32"/>
          <w:szCs w:val="32"/>
          <w14:textFill>
            <w14:solidFill>
              <w14:schemeClr w14:val="tx1"/>
            </w14:solidFill>
          </w14:textFill>
        </w:rPr>
        <w:t>由于市委政研室尚未建立一套系统、明确的研究成果应用衡量标准体系，在判断研究成果应用效果和程度时，缺乏统一且可量化的指标</w:t>
      </w:r>
      <w:r>
        <w:rPr>
          <w:rFonts w:hint="eastAsia" w:ascii="Times New Roman" w:cs="Times New Roman"/>
          <w:color w:val="000000" w:themeColor="text1"/>
          <w:sz w:val="32"/>
          <w:szCs w:val="32"/>
          <w14:textFill>
            <w14:solidFill>
              <w14:schemeClr w14:val="tx1"/>
            </w14:solidFill>
          </w14:textFill>
        </w:rPr>
        <w:t>，</w:t>
      </w:r>
      <w:r>
        <w:rPr>
          <w:rFonts w:ascii="Times New Roman" w:cs="Times New Roman"/>
          <w:color w:val="000000" w:themeColor="text1"/>
          <w:sz w:val="32"/>
          <w:szCs w:val="32"/>
          <w14:textFill>
            <w14:solidFill>
              <w14:schemeClr w14:val="tx1"/>
            </w14:solidFill>
          </w14:textFill>
        </w:rPr>
        <w:t>研究成果应用效果的评估缺乏科学性和客观性</w:t>
      </w:r>
      <w:r>
        <w:rPr>
          <w:rFonts w:hint="eastAsia" w:ascii="Times New Roman" w:cs="Times New Roman"/>
          <w:color w:val="000000" w:themeColor="text1"/>
          <w:sz w:val="32"/>
          <w:szCs w:val="32"/>
          <w14:textFill>
            <w14:solidFill>
              <w14:schemeClr w14:val="tx1"/>
            </w14:solidFill>
          </w14:textFill>
        </w:rPr>
        <w:t>。</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44" w:name="_Toc201475761"/>
      <w:bookmarkStart w:id="45" w:name="_Toc203669490"/>
      <w:r>
        <w:rPr>
          <w:rFonts w:ascii="Times New Roman" w:eastAsia="楷体_GB2312" w:cs="Times New Roman"/>
          <w:color w:val="000000" w:themeColor="text1"/>
          <w:sz w:val="32"/>
          <w:szCs w:val="32"/>
          <w14:textFill>
            <w14:solidFill>
              <w14:schemeClr w14:val="tx1"/>
            </w14:solidFill>
          </w14:textFill>
        </w:rPr>
        <w:t>（五）任务完成率尚有不足，资金落实</w:t>
      </w:r>
      <w:bookmarkEnd w:id="44"/>
      <w:r>
        <w:rPr>
          <w:rFonts w:ascii="Times New Roman" w:eastAsia="楷体_GB2312" w:cs="Times New Roman"/>
          <w:color w:val="000000" w:themeColor="text1"/>
          <w:sz w:val="32"/>
          <w:szCs w:val="32"/>
          <w14:textFill>
            <w14:solidFill>
              <w14:schemeClr w14:val="tx1"/>
            </w14:solidFill>
          </w14:textFill>
        </w:rPr>
        <w:t>工作待完善</w:t>
      </w:r>
      <w:bookmarkEnd w:id="45"/>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 xml:space="preserve"> </w:t>
      </w:r>
      <w:r>
        <w:rPr>
          <w:rFonts w:hint="eastAsia" w:ascii="Times New Roman" w:cs="Times New Roman"/>
          <w:b/>
          <w:bCs/>
          <w:color w:val="000000" w:themeColor="text1"/>
          <w:sz w:val="32"/>
          <w:szCs w:val="32"/>
          <w14:textFill>
            <w14:solidFill>
              <w14:schemeClr w14:val="tx1"/>
            </w14:solidFill>
          </w14:textFill>
        </w:rPr>
        <w:t>一是</w:t>
      </w:r>
      <w:r>
        <w:rPr>
          <w:rFonts w:ascii="Times New Roman" w:cs="Times New Roman"/>
          <w:color w:val="000000" w:themeColor="text1"/>
          <w:sz w:val="32"/>
          <w:szCs w:val="32"/>
          <w14:textFill>
            <w14:solidFill>
              <w14:schemeClr w14:val="tx1"/>
            </w14:solidFill>
          </w14:textFill>
        </w:rPr>
        <w:t>“百千万工程”指挥部办公室共承担多项核心工作任务，涵盖宣传推广等多个重要领域</w:t>
      </w:r>
      <w:r>
        <w:rPr>
          <w:rFonts w:hint="eastAsia" w:ascii="Times New Roman" w:cs="Times New Roman"/>
          <w:color w:val="000000" w:themeColor="text1"/>
          <w:sz w:val="32"/>
          <w:szCs w:val="32"/>
          <w14:textFill>
            <w14:solidFill>
              <w14:schemeClr w14:val="tx1"/>
            </w14:solidFill>
          </w14:textFill>
        </w:rPr>
        <w:t>。</w:t>
      </w:r>
      <w:r>
        <w:rPr>
          <w:rFonts w:ascii="Times New Roman" w:cs="Times New Roman"/>
          <w:color w:val="000000" w:themeColor="text1"/>
          <w:sz w:val="32"/>
          <w:szCs w:val="32"/>
          <w14:textFill>
            <w14:solidFill>
              <w14:schemeClr w14:val="tx1"/>
            </w14:solidFill>
          </w14:textFill>
        </w:rPr>
        <w:t>经统计，目前整体任务完成率尚有不足，如开设“奋战百千万镇街勇争先”专栏工作等未完成年初设定目标，影响了年度工作目标的全面实现。</w:t>
      </w:r>
      <w:bookmarkEnd w:id="33"/>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hint="eastAsia" w:ascii="Times New Roman" w:cs="Times New Roman"/>
          <w:b/>
          <w:bCs/>
          <w:color w:val="000000" w:themeColor="text1"/>
          <w:sz w:val="32"/>
          <w:szCs w:val="32"/>
          <w14:textFill>
            <w14:solidFill>
              <w14:schemeClr w14:val="tx1"/>
            </w14:solidFill>
          </w14:textFill>
        </w:rPr>
        <w:t>二是</w:t>
      </w:r>
      <w:r>
        <w:rPr>
          <w:rFonts w:ascii="Times New Roman" w:cs="Times New Roman"/>
          <w:color w:val="000000" w:themeColor="text1"/>
          <w:sz w:val="32"/>
          <w:szCs w:val="32"/>
          <w14:textFill>
            <w14:solidFill>
              <w14:schemeClr w14:val="tx1"/>
            </w14:solidFill>
          </w14:textFill>
        </w:rPr>
        <w:t>江门市级财政已下达考核奖励资金377.5万元，但截至2025年5月，各镇村仍有95.63万元尚未支出，“百千万工程”指挥部办公室对江门市“百县千镇万村高质量发展工程”考核奖励资金的指导监督工作中，仍有未落实不到位的情况。</w:t>
      </w:r>
    </w:p>
    <w:p>
      <w:pPr>
        <w:pStyle w:val="5"/>
        <w:spacing w:line="579" w:lineRule="exact"/>
        <w:ind w:firstLine="640" w:firstLineChars="200"/>
        <w:jc w:val="both"/>
        <w:outlineLvl w:val="1"/>
        <w:rPr>
          <w:rFonts w:ascii="Times New Roman" w:eastAsia="黑体" w:cs="Times New Roman"/>
          <w:color w:val="000000" w:themeColor="text1"/>
          <w:sz w:val="32"/>
          <w:szCs w:val="32"/>
          <w14:textFill>
            <w14:solidFill>
              <w14:schemeClr w14:val="tx1"/>
            </w14:solidFill>
          </w14:textFill>
        </w:rPr>
      </w:pPr>
      <w:bookmarkStart w:id="46" w:name="_Toc203669491"/>
      <w:bookmarkStart w:id="47" w:name="_Toc201475762"/>
      <w:r>
        <w:rPr>
          <w:rFonts w:ascii="Times New Roman" w:eastAsia="黑体" w:cs="Times New Roman"/>
          <w:color w:val="000000" w:themeColor="text1"/>
          <w:sz w:val="32"/>
          <w:szCs w:val="32"/>
          <w14:textFill>
            <w14:solidFill>
              <w14:schemeClr w14:val="tx1"/>
            </w14:solidFill>
          </w14:textFill>
        </w:rPr>
        <w:t>六、相关建议</w:t>
      </w:r>
      <w:bookmarkEnd w:id="46"/>
      <w:bookmarkEnd w:id="47"/>
    </w:p>
    <w:p>
      <w:pPr>
        <w:pStyle w:val="5"/>
        <w:spacing w:line="579" w:lineRule="exact"/>
        <w:ind w:firstLine="640" w:firstLineChars="200"/>
        <w:jc w:val="both"/>
        <w:outlineLvl w:val="1"/>
        <w:rPr>
          <w:rFonts w:ascii="Times New Roman" w:cs="Times New Roman"/>
          <w:color w:val="000000" w:themeColor="text1"/>
          <w:sz w:val="32"/>
          <w:szCs w:val="32"/>
          <w14:textFill>
            <w14:solidFill>
              <w14:schemeClr w14:val="tx1"/>
            </w14:solidFill>
          </w14:textFill>
        </w:rPr>
      </w:pPr>
      <w:bookmarkStart w:id="48" w:name="_Toc203669492"/>
      <w:bookmarkStart w:id="49" w:name="_Toc201475763"/>
      <w:r>
        <w:rPr>
          <w:rFonts w:ascii="Times New Roman" w:eastAsia="楷体_GB2312" w:cs="Times New Roman"/>
          <w:color w:val="000000" w:themeColor="text1"/>
          <w:sz w:val="32"/>
          <w:szCs w:val="32"/>
          <w14:textFill>
            <w14:solidFill>
              <w14:schemeClr w14:val="tx1"/>
            </w14:solidFill>
          </w14:textFill>
        </w:rPr>
        <w:t>（一）优化指标体系，提升评估科学性</w:t>
      </w:r>
      <w:bookmarkEnd w:id="48"/>
      <w:bookmarkEnd w:id="49"/>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一是动态调整产出指标，激发工作潜能。</w:t>
      </w:r>
      <w:r>
        <w:rPr>
          <w:rFonts w:ascii="Times New Roman" w:cs="Times New Roman"/>
          <w:color w:val="000000" w:themeColor="text1"/>
          <w:sz w:val="32"/>
          <w:szCs w:val="32"/>
          <w14:textFill>
            <w14:solidFill>
              <w14:schemeClr w14:val="tx1"/>
            </w14:solidFill>
          </w14:textFill>
        </w:rPr>
        <w:t>首先，建立数据驱动的动态调整机制，核心在于构建动态化的指标管理体系。通过建立专门的指标管理台账，对过往3-5年实际完成数据进行深度挖掘与分析。其次，在指标预期值设定过程中，要坚持科学性与挑战性相结合的原则，采用定量与定性相结合的方法，制定阶梯式指标体系。同时，建立定期评估与调整机制，对实际完成情况与预期偏差较大的指标，及时进行原因分析，在下年度对指标预期值进行动态调整，确保指标始终具有合理性与导向性。</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二是完善效益指标，精准反映履职成效。</w:t>
      </w:r>
      <w:bookmarkStart w:id="50" w:name="OLE_LINK7"/>
      <w:r>
        <w:rPr>
          <w:rFonts w:ascii="Times New Roman" w:cs="Times New Roman"/>
          <w:color w:val="000000" w:themeColor="text1"/>
          <w:sz w:val="32"/>
          <w:szCs w:val="32"/>
          <w14:textFill>
            <w14:solidFill>
              <w14:schemeClr w14:val="tx1"/>
            </w14:solidFill>
          </w14:textFill>
        </w:rPr>
        <w:t>建议在设置效益指标时，应紧密贴合市委政研室核心职能，强化对政策研究成果转化与实际效益的考量。</w:t>
      </w:r>
      <w:bookmarkEnd w:id="50"/>
      <w:r>
        <w:rPr>
          <w:rFonts w:ascii="Times New Roman" w:cs="Times New Roman"/>
          <w:color w:val="000000" w:themeColor="text1"/>
          <w:sz w:val="32"/>
          <w:szCs w:val="32"/>
          <w14:textFill>
            <w14:solidFill>
              <w14:schemeClr w14:val="tx1"/>
            </w14:solidFill>
          </w14:textFill>
        </w:rPr>
        <w:t>设立“政策研究成果转化率”</w:t>
      </w:r>
      <w:r>
        <w:rPr>
          <w:rFonts w:ascii="Times New Roman" w:cs="Times New Roman"/>
        </w:rPr>
        <w:t xml:space="preserve"> </w:t>
      </w:r>
      <w:r>
        <w:rPr>
          <w:rFonts w:ascii="Times New Roman" w:cs="Times New Roman"/>
          <w:color w:val="000000" w:themeColor="text1"/>
          <w:sz w:val="32"/>
          <w:szCs w:val="32"/>
          <w14:textFill>
            <w14:solidFill>
              <w14:schemeClr w14:val="tx1"/>
            </w14:solidFill>
          </w14:textFill>
        </w:rPr>
        <w:t>指标、决策建议采纳后产生的“经济、社会、生态”等效益指标，联合财政、统计等部门，通过成本-效益分析、对比分析等方法，科学测算市委政研室产出成果在产业发展、税收增长、资源节约等方面产生的经济效益。针对难以直接量化的经济效益，可采用专家评估、案例对比等方式进行综合评定，为衡量市委政研室产出成果实现效益情况提供有力依据。</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51" w:name="_Toc201475764"/>
      <w:bookmarkStart w:id="52" w:name="_Toc203669493"/>
      <w:r>
        <w:rPr>
          <w:rFonts w:ascii="Times New Roman" w:eastAsia="楷体_GB2312" w:cs="Times New Roman"/>
          <w:color w:val="000000" w:themeColor="text1"/>
          <w:sz w:val="32"/>
          <w:szCs w:val="32"/>
          <w14:textFill>
            <w14:solidFill>
              <w14:schemeClr w14:val="tx1"/>
            </w14:solidFill>
          </w14:textFill>
        </w:rPr>
        <w:t>（二）规范预算管理，增强资金效能</w:t>
      </w:r>
      <w:bookmarkEnd w:id="51"/>
      <w:bookmarkEnd w:id="52"/>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hint="eastAsia" w:ascii="Times New Roman" w:cs="Times New Roman"/>
          <w:b/>
          <w:bCs/>
          <w:color w:val="000000" w:themeColor="text1"/>
          <w:sz w:val="32"/>
          <w:szCs w:val="32"/>
          <w14:textFill>
            <w14:solidFill>
              <w14:schemeClr w14:val="tx1"/>
            </w14:solidFill>
          </w14:textFill>
        </w:rPr>
        <w:t>一是</w:t>
      </w:r>
      <w:r>
        <w:rPr>
          <w:rFonts w:ascii="Times New Roman" w:cs="Times New Roman"/>
          <w:color w:val="000000" w:themeColor="text1"/>
          <w:sz w:val="32"/>
          <w:szCs w:val="32"/>
          <w14:textFill>
            <w14:solidFill>
              <w14:schemeClr w14:val="tx1"/>
            </w14:solidFill>
          </w14:textFill>
        </w:rPr>
        <w:t>设计统一规范的预算编制模板，明确设置项目基本信息、资金分配依据、支出品类清单、预算金额明细等必填栏目。资金分配依据需详细说明项目性质、人员数量、使用周期等因素的具体取值及计算过程；支出品类清单应列明所支出内容的名称、规格、数量等信息；预算金额明细则需根据分配标准与品类清单，逐项计算并汇总各类支出项目的预算金额。针对不同类型的支出项目，分别制定通用模板和个性化模板，确保模板能够精准适配各类项目需求，实现预算编制的标准化、规范化。</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hint="eastAsia" w:ascii="Times New Roman" w:cs="Times New Roman"/>
          <w:b/>
          <w:bCs/>
          <w:color w:val="000000" w:themeColor="text1"/>
          <w:sz w:val="32"/>
          <w:szCs w:val="32"/>
          <w14:textFill>
            <w14:solidFill>
              <w14:schemeClr w14:val="tx1"/>
            </w14:solidFill>
          </w14:textFill>
        </w:rPr>
        <w:t>二是</w:t>
      </w:r>
      <w:r>
        <w:rPr>
          <w:rFonts w:ascii="Times New Roman" w:cs="Times New Roman"/>
          <w:color w:val="000000" w:themeColor="text1"/>
          <w:sz w:val="32"/>
          <w:szCs w:val="32"/>
          <w14:textFill>
            <w14:solidFill>
              <w14:schemeClr w14:val="tx1"/>
            </w14:solidFill>
          </w14:textFill>
        </w:rPr>
        <w:t>组织开展预算编制专题培训，向部门预算编制人员详细讲解资金分配标准的制定依据、模板填写规范及注意事项，提高编制人员的专业能力与执行意识。</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hint="eastAsia" w:ascii="Times New Roman" w:cs="Times New Roman"/>
          <w:b/>
          <w:bCs/>
          <w:color w:val="000000" w:themeColor="text1"/>
          <w:sz w:val="32"/>
          <w:szCs w:val="32"/>
          <w14:textFill>
            <w14:solidFill>
              <w14:schemeClr w14:val="tx1"/>
            </w14:solidFill>
          </w14:textFill>
        </w:rPr>
        <w:t>三是</w:t>
      </w:r>
      <w:r>
        <w:rPr>
          <w:rFonts w:ascii="Times New Roman" w:cs="Times New Roman"/>
          <w:color w:val="000000" w:themeColor="text1"/>
          <w:sz w:val="32"/>
          <w:szCs w:val="32"/>
          <w14:textFill>
            <w14:solidFill>
              <w14:schemeClr w14:val="tx1"/>
            </w14:solidFill>
          </w14:textFill>
        </w:rPr>
        <w:t>在预算执行阶段，实时追踪资金流向，定期开展预算执行情况检查，深入分析原因，及时调整改进预算编制与执行管理措施。</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53" w:name="_Toc201475765"/>
      <w:bookmarkStart w:id="54" w:name="_Toc203669494"/>
      <w:r>
        <w:rPr>
          <w:rFonts w:ascii="Times New Roman" w:eastAsia="楷体_GB2312" w:cs="Times New Roman"/>
          <w:color w:val="000000" w:themeColor="text1"/>
          <w:sz w:val="32"/>
          <w:szCs w:val="32"/>
          <w14:textFill>
            <w14:solidFill>
              <w14:schemeClr w14:val="tx1"/>
            </w14:solidFill>
          </w14:textFill>
        </w:rPr>
        <w:t>（三）严格成本管控，规范</w:t>
      </w:r>
      <w:bookmarkEnd w:id="53"/>
      <w:r>
        <w:rPr>
          <w:rFonts w:hint="eastAsia" w:ascii="Times New Roman" w:eastAsia="楷体_GB2312" w:cs="Times New Roman"/>
          <w:color w:val="000000" w:themeColor="text1"/>
          <w:sz w:val="32"/>
          <w:szCs w:val="32"/>
          <w14:textFill>
            <w14:solidFill>
              <w14:schemeClr w14:val="tx1"/>
            </w14:solidFill>
          </w14:textFill>
        </w:rPr>
        <w:t>支出标准</w:t>
      </w:r>
      <w:bookmarkEnd w:id="54"/>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w:t>
      </w:r>
      <w:r>
        <w:rPr>
          <w:rFonts w:ascii="Times New Roman" w:cs="Times New Roman"/>
          <w:color w:val="000000" w:themeColor="text1"/>
          <w:sz w:val="32"/>
          <w:szCs w:val="32"/>
          <w14:textFill>
            <w14:solidFill>
              <w14:schemeClr w14:val="tx1"/>
            </w14:solidFill>
          </w14:textFill>
        </w:rPr>
        <w:t>全面梳理各项业务活动，按照业务性质、资金用途等维度，对成本进行系统分类，根据不同成本类别设置相应合理的测算标准。</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w:t>
      </w:r>
      <w:r>
        <w:rPr>
          <w:rFonts w:ascii="Times New Roman" w:cs="Times New Roman"/>
          <w:color w:val="000000" w:themeColor="text1"/>
          <w:sz w:val="32"/>
          <w:szCs w:val="32"/>
          <w14:textFill>
            <w14:solidFill>
              <w14:schemeClr w14:val="tx1"/>
            </w14:solidFill>
          </w14:textFill>
        </w:rPr>
        <w:t>建立项目历史成本数据库，将过往项目按课题研究等类别进行分类归档。针对劳务费支出，详细记录每个项目的课题名称、研究内容、劳务费总额、人员构成及劳务费用明细，分析不同项目在人员投入、工作周期与劳务费用之间的关联。通过对历史数据的系统性梳理，挖掘成本变化规律与潜在问题，为成本分析提供纵向对比依据。</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三是</w:t>
      </w:r>
      <w:r>
        <w:rPr>
          <w:rFonts w:ascii="Times New Roman" w:cs="Times New Roman"/>
          <w:color w:val="000000" w:themeColor="text1"/>
          <w:sz w:val="32"/>
          <w:szCs w:val="32"/>
          <w14:textFill>
            <w14:solidFill>
              <w14:schemeClr w14:val="tx1"/>
            </w14:solidFill>
          </w14:textFill>
        </w:rPr>
        <w:t>充分收集市场价格、支出标准等资料。针对课题研究领域，关注同类课题的资金投入规模、劳务费占比、研究成果产出等情况，了解普遍的成本结构与资源配置模式。同时，利用公开招投标平台、行业论坛等渠道，收集同类型项目的采购案例与成本数据，拓宽数据来源渠道，确保行业数据的全面性与时效性，为成本分析提供横向对比参照。</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55" w:name="_Toc201475766"/>
      <w:bookmarkStart w:id="56" w:name="_Toc203669495"/>
      <w:r>
        <w:rPr>
          <w:rFonts w:ascii="Times New Roman" w:eastAsia="楷体_GB2312" w:cs="Times New Roman"/>
          <w:color w:val="000000" w:themeColor="text1"/>
          <w:sz w:val="32"/>
          <w:szCs w:val="32"/>
          <w14:textFill>
            <w14:solidFill>
              <w14:schemeClr w14:val="tx1"/>
            </w14:solidFill>
          </w14:textFill>
        </w:rPr>
        <w:t>（四）保障刊物编发，明晰成果应用</w:t>
      </w:r>
      <w:bookmarkEnd w:id="55"/>
      <w:bookmarkEnd w:id="56"/>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一是加强刊物统筹管理，确保编印目标达成。</w:t>
      </w:r>
      <w:r>
        <w:rPr>
          <w:rFonts w:ascii="Times New Roman" w:cs="Times New Roman"/>
          <w:color w:val="000000" w:themeColor="text1"/>
          <w:sz w:val="32"/>
          <w:szCs w:val="32"/>
          <w14:textFill>
            <w14:solidFill>
              <w14:schemeClr w14:val="tx1"/>
            </w14:solidFill>
          </w14:textFill>
        </w:rPr>
        <w:t>建议成立刊物专项工作组，明确各刊物责任编辑与时间节点，制定刊物编印进度表，每月跟踪编印情况，对进度滞后的刊物及时分析原因并采取措施。例如增加编辑人员、优化稿件征集流程等，确保市委政研室刊物按计划编印，充分发挥成果展示作用。</w:t>
      </w:r>
    </w:p>
    <w:p>
      <w:pPr>
        <w:pStyle w:val="5"/>
        <w:spacing w:line="579" w:lineRule="exact"/>
        <w:ind w:firstLine="642" w:firstLineChars="200"/>
        <w:jc w:val="both"/>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二是构建成果应用标准体系，科学评估成果价值。</w:t>
      </w:r>
      <w:r>
        <w:rPr>
          <w:rFonts w:ascii="Times New Roman" w:cs="Times New Roman"/>
          <w:color w:val="000000" w:themeColor="text1"/>
          <w:sz w:val="32"/>
          <w:szCs w:val="32"/>
          <w14:textFill>
            <w14:solidFill>
              <w14:schemeClr w14:val="tx1"/>
            </w14:solidFill>
          </w14:textFill>
        </w:rPr>
        <w:t>针对研究成果应用衡量标准不清晰问题，构建系统的成果应用评估体系。对于政策建议类成果，除领导批示外，增加政策落地率、实施效果满意度调查等指标；对于调研类成果，制定以数据对比、案例分析为基础的评估标准，衡量其对实际工作的指导作用。通过量化评估，准确把握研究成果实际价值，为后续研究工作提供参考。</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57" w:name="_Toc201475767"/>
      <w:bookmarkStart w:id="58" w:name="_Toc203669496"/>
      <w:r>
        <w:rPr>
          <w:rFonts w:ascii="Times New Roman" w:eastAsia="楷体_GB2312" w:cs="Times New Roman"/>
          <w:color w:val="000000" w:themeColor="text1"/>
          <w:sz w:val="32"/>
          <w:szCs w:val="32"/>
          <w14:textFill>
            <w14:solidFill>
              <w14:schemeClr w14:val="tx1"/>
            </w14:solidFill>
          </w14:textFill>
        </w:rPr>
        <w:t>（五）强化任务执行，提升统筹督查效能</w:t>
      </w:r>
      <w:bookmarkEnd w:id="57"/>
      <w:bookmarkEnd w:id="58"/>
    </w:p>
    <w:p>
      <w:pPr>
        <w:pStyle w:val="5"/>
        <w:spacing w:line="579" w:lineRule="exact"/>
        <w:ind w:firstLine="642" w:firstLineChars="200"/>
        <w:jc w:val="both"/>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一是分解任务目标，确保工作落实。</w:t>
      </w:r>
      <w:r>
        <w:rPr>
          <w:rFonts w:ascii="Times New Roman" w:cs="Times New Roman"/>
          <w:color w:val="000000" w:themeColor="text1"/>
          <w:sz w:val="32"/>
          <w:szCs w:val="32"/>
          <w14:textFill>
            <w14:solidFill>
              <w14:schemeClr w14:val="tx1"/>
            </w14:solidFill>
          </w14:textFill>
        </w:rPr>
        <w:t>建议“百千万工程” 指挥部办公室对任务进行细化分解，明确季度、月度工作目标，并制定详细的工作计划表。同时，建立任务进度跟踪台账，每周检查任务完成情况，对未达进度的任务及时预警并督促整改，保障年度工作目标实现。​</w:t>
      </w:r>
    </w:p>
    <w:p>
      <w:pPr>
        <w:pStyle w:val="5"/>
        <w:spacing w:line="579" w:lineRule="exact"/>
        <w:ind w:firstLine="642" w:firstLineChars="200"/>
        <w:jc w:val="both"/>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二是优化统筹督查机制，加强全程监管。</w:t>
      </w:r>
      <w:r>
        <w:rPr>
          <w:rFonts w:ascii="Times New Roman" w:cs="Times New Roman"/>
          <w:color w:val="000000" w:themeColor="text1"/>
          <w:sz w:val="32"/>
          <w:szCs w:val="32"/>
          <w14:textFill>
            <w14:solidFill>
              <w14:schemeClr w14:val="tx1"/>
            </w14:solidFill>
          </w14:textFill>
        </w:rPr>
        <w:t>建议优化工作时间安排，加强年初工作部署与推进。建立资金使用全程监管机制，要求实施部门定期报送考核奖励资金使用情况，对资金未支出或使用方向不明的情况进行重点核查，对重点内容应要求限期提交使用资料，确保资金使用规范、高效。</w:t>
      </w:r>
    </w:p>
    <w:p>
      <w:pPr>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br w:type="page"/>
      </w:r>
    </w:p>
    <w:p>
      <w:pPr>
        <w:pStyle w:val="5"/>
        <w:spacing w:line="579" w:lineRule="exact"/>
        <w:ind w:firstLine="642" w:firstLineChars="200"/>
        <w:jc w:val="both"/>
        <w:outlineLvl w:val="0"/>
        <w:rPr>
          <w:rFonts w:ascii="Times New Roman" w:eastAsia="方正小标宋_GBK" w:cs="Times New Roman"/>
          <w:b/>
          <w:bCs/>
          <w:color w:val="000000" w:themeColor="text1"/>
          <w:sz w:val="32"/>
          <w:szCs w:val="32"/>
          <w14:textFill>
            <w14:solidFill>
              <w14:schemeClr w14:val="tx1"/>
            </w14:solidFill>
          </w14:textFill>
        </w:rPr>
      </w:pPr>
      <w:bookmarkStart w:id="59" w:name="_Toc203669497"/>
      <w:r>
        <w:rPr>
          <w:rFonts w:ascii="Times New Roman" w:eastAsia="方正小标宋_GBK" w:cs="Times New Roman"/>
          <w:b/>
          <w:bCs/>
          <w:color w:val="000000" w:themeColor="text1"/>
          <w:sz w:val="32"/>
          <w:szCs w:val="32"/>
          <w14:textFill>
            <w14:solidFill>
              <w14:schemeClr w14:val="tx1"/>
            </w14:solidFill>
          </w14:textFill>
        </w:rPr>
        <w:t>第二部分：</w:t>
      </w:r>
      <w:bookmarkEnd w:id="59"/>
    </w:p>
    <w:p>
      <w:pPr>
        <w:pStyle w:val="5"/>
        <w:jc w:val="center"/>
        <w:rPr>
          <w:rFonts w:ascii="Times New Roman" w:eastAsia="黑体" w:cs="Times New Roman"/>
          <w:b/>
          <w:color w:val="000000" w:themeColor="text1"/>
          <w:sz w:val="44"/>
          <w:szCs w:val="44"/>
          <w14:textFill>
            <w14:solidFill>
              <w14:schemeClr w14:val="tx1"/>
            </w14:solidFill>
          </w14:textFill>
        </w:rPr>
      </w:pPr>
      <w:r>
        <w:rPr>
          <w:rFonts w:ascii="Times New Roman" w:eastAsia="方正小标宋_GBK" w:cs="Times New Roman"/>
          <w:bCs/>
          <w:color w:val="000000" w:themeColor="text1"/>
          <w:sz w:val="44"/>
          <w:szCs w:val="44"/>
          <w14:textFill>
            <w14:solidFill>
              <w14:schemeClr w14:val="tx1"/>
            </w14:solidFill>
          </w14:textFill>
        </w:rPr>
        <w:t>分析报告</w:t>
      </w:r>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根据《项目支出绩效评价管理办法》（财预〔2020〕10号）、《江门市人民政府印发〈关于全面实施预算绩效管理的意见〉的通知》（江府〔2020〕6号）、《江门市市级财政专项资金管理办法》（江府〔2023〕24号）、《江门市财政局印发〈关于全面实施预算绩效管理的工作方案〉的通知》（江财评〔2020〕3号）、《江门市本级财政支出绩效评价管理办法（修订）》（江财绩〔2024〕3号）等有关要求，为切实提高财政资金使用效益，广东政典新动能研究院有限公司（下称“政典研究院”）受江门市财政局（下称“市财政局”）委托，对中国共产党江门市委员会政策研究室开展2024年度部门整体支出绩效评价工作。</w:t>
      </w:r>
    </w:p>
    <w:p>
      <w:pPr>
        <w:pStyle w:val="5"/>
        <w:spacing w:line="579" w:lineRule="exact"/>
        <w:ind w:firstLine="640" w:firstLineChars="200"/>
        <w:jc w:val="both"/>
        <w:outlineLvl w:val="1"/>
        <w:rPr>
          <w:rFonts w:ascii="Times New Roman" w:eastAsia="黑体" w:cs="Times New Roman"/>
          <w:color w:val="000000" w:themeColor="text1"/>
          <w:sz w:val="32"/>
          <w:szCs w:val="32"/>
          <w14:textFill>
            <w14:solidFill>
              <w14:schemeClr w14:val="tx1"/>
            </w14:solidFill>
          </w14:textFill>
        </w:rPr>
      </w:pPr>
      <w:bookmarkStart w:id="60" w:name="_Toc203669498"/>
      <w:r>
        <w:rPr>
          <w:rFonts w:ascii="Times New Roman" w:eastAsia="黑体" w:cs="Times New Roman"/>
          <w:color w:val="000000" w:themeColor="text1"/>
          <w:sz w:val="32"/>
          <w:szCs w:val="32"/>
          <w14:textFill>
            <w14:solidFill>
              <w14:schemeClr w14:val="tx1"/>
            </w14:solidFill>
          </w14:textFill>
        </w:rPr>
        <w:t>一、基本情况</w:t>
      </w:r>
      <w:bookmarkEnd w:id="60"/>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61" w:name="_Toc203669499"/>
      <w:r>
        <w:rPr>
          <w:rFonts w:ascii="Times New Roman" w:eastAsia="楷体_GB2312" w:cs="Times New Roman"/>
          <w:color w:val="000000" w:themeColor="text1"/>
          <w:sz w:val="32"/>
          <w:szCs w:val="32"/>
          <w14:textFill>
            <w14:solidFill>
              <w14:schemeClr w14:val="tx1"/>
            </w14:solidFill>
          </w14:textFill>
        </w:rPr>
        <w:t>（一）部门整体概要</w:t>
      </w:r>
      <w:bookmarkEnd w:id="61"/>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中国共产党江门市委员会政策研究室是主管全市政策研究、全面深化改革、财经工作、决策咨询服务、“百千万工程”工作的职能部门。主要职能：起草修改市党代会报告、市委全会报告等市委有关重要文件、文稿；起草修改市委主要领导在全市性会议的讲话稿；起草修改市委主要领导有关讲课辅导报告和市委主要领导临时交办的文稿起草任务；重点对工业、农业和农村工作、商贸、对外经贸、财政金融、科技、城市建设、教育、文化、党建等方面改革发展的政策问题进行调查研究，提出意见和建议，供市委决策参考；组织协同各县（区、市）和市直有关单位开展重点课题的调研活动。</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改革办是市委全面深化改革委员会常设办事机构，设在市委政研室。主要职责：组织开展全面深化改革重大问题的政策研究；统筹协调有关方面提出有关改革工作方案和措施；协调督促有关方面落实市委全面深化改革委员会的决定事项、工作部署和要求等。</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市委财经办是市委财经委员会常设办事机构，设在市委政研室。主要职责：负责处理市委财经委员会日常事务，包括筹备财经会议、问题调研、协调督促有关工作事项和工作部署落实等。</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决咨委办公室是江门市重大决策专家咨询论证委员会日常办公机构，设在市委政研室。主要职能：承担市决咨委日常工作；对江门市发展和改革具有全局性的重大问题进行决策研究，提出对策性意见和建议；对市委、市政府重大决策进行风险评估以及实施情况或成果进行综合评估，形成指导江门市发展的理论和经验。</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百县千镇万村高质量发展工程”指挥部办公室设在市委改革办，实行实体化运作。主要职能：做好“百千万工程”统筹谋划、政策研究、上传下达、督促指导、考核评估等工作，通过采取年初定任务，每周一调度，每月一评比、一通报，季度现场会，年终总考核等方法，形成有组织、有方式、有频次、有氛围、有实效的机制。</w:t>
      </w:r>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政研室一套人马、四块牌子，同时承担市委政研室、市委改革办、市委财经办、市决咨委办四个部门工作，下设10个科室，包括办公室、党建研究科、改革协调科、市委财经办协调科、经济研究科、社会发展研究科、农业和生态研究科、侨务和台港澳研究科、综合督查科、发展推进科。</w:t>
      </w:r>
    </w:p>
    <w:p>
      <w:pPr>
        <w:pStyle w:val="5"/>
        <w:snapToGrid w:val="0"/>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62" w:name="_Toc203669500"/>
      <w:r>
        <w:rPr>
          <w:rFonts w:ascii="Times New Roman" w:eastAsia="楷体_GB2312" w:cs="Times New Roman"/>
          <w:color w:val="000000" w:themeColor="text1"/>
          <w:sz w:val="32"/>
          <w:szCs w:val="32"/>
          <w14:textFill>
            <w14:solidFill>
              <w14:schemeClr w14:val="tx1"/>
            </w14:solidFill>
          </w14:textFill>
        </w:rPr>
        <w:t>（二）部门整体支出目标及任务</w:t>
      </w:r>
      <w:bookmarkEnd w:id="62"/>
    </w:p>
    <w:p>
      <w:pPr>
        <w:pStyle w:val="5"/>
        <w:snapToGrid w:val="0"/>
        <w:spacing w:line="579" w:lineRule="exact"/>
        <w:ind w:firstLine="640" w:firstLineChars="200"/>
        <w:jc w:val="both"/>
        <w:outlineLvl w:val="2"/>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1</w:t>
      </w:r>
      <w:bookmarkStart w:id="63" w:name="OLE_LINK2"/>
      <w:r>
        <w:rPr>
          <w:rFonts w:ascii="Times New Roman" w:cs="Times New Roman"/>
          <w:color w:val="000000" w:themeColor="text1"/>
          <w:sz w:val="32"/>
          <w:szCs w:val="32"/>
          <w14:textFill>
            <w14:solidFill>
              <w14:schemeClr w14:val="tx1"/>
            </w14:solidFill>
          </w14:textFill>
        </w:rPr>
        <w:t>．</w:t>
      </w:r>
      <w:bookmarkEnd w:id="63"/>
      <w:r>
        <w:rPr>
          <w:rFonts w:ascii="Times New Roman" w:cs="Times New Roman"/>
          <w:color w:val="000000" w:themeColor="text1"/>
          <w:sz w:val="32"/>
          <w:szCs w:val="32"/>
          <w14:textFill>
            <w14:solidFill>
              <w14:schemeClr w14:val="tx1"/>
            </w14:solidFill>
          </w14:textFill>
        </w:rPr>
        <w:t>部门整体绩效目标</w:t>
      </w:r>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市委政研室2024年度绩效目标共8项</w:t>
      </w:r>
      <w:r>
        <w:rPr>
          <w:rStyle w:val="23"/>
          <w:rFonts w:ascii="Times New Roman" w:cs="Times New Roman"/>
          <w:color w:val="000000" w:themeColor="text1"/>
          <w:sz w:val="32"/>
          <w:szCs w:val="32"/>
          <w14:textFill>
            <w14:solidFill>
              <w14:schemeClr w14:val="tx1"/>
            </w14:solidFill>
          </w14:textFill>
        </w:rPr>
        <w:footnoteReference w:id="0"/>
      </w:r>
      <w:r>
        <w:rPr>
          <w:rFonts w:ascii="Times New Roman" w:cs="Times New Roman"/>
          <w:color w:val="000000" w:themeColor="text1"/>
          <w:sz w:val="32"/>
          <w:szCs w:val="32"/>
          <w14:textFill>
            <w14:solidFill>
              <w14:schemeClr w14:val="tx1"/>
            </w14:solidFill>
          </w14:textFill>
        </w:rPr>
        <w:t>。一是认真履行以文辅政职责，起草好重大文稿报告，努力提升文稿质量；二是开展政策类调查研究，完成政策实施前的研究工作；三是统筹安排全市年度改革工作计划，审核把关部门报送的改革文件；四是了解全市改革工作情况，召开全市改革工作及深改委会议，编发相关文件及简报；五是发挥好市委财经办统筹协调作用，推动市委财经工作安排落地落实；六是加快新型智库建设，为市委决策提供智力支撑；七是加强组织领导，汇聚各方力量，全面推动“百千万工程”落细落实；八是办好内部刊物《江门调研》，为党员干部搭建学习交流平台。</w:t>
      </w:r>
    </w:p>
    <w:p>
      <w:pPr>
        <w:pStyle w:val="5"/>
        <w:spacing w:line="579" w:lineRule="exact"/>
        <w:ind w:firstLine="640" w:firstLineChars="200"/>
        <w:jc w:val="both"/>
        <w:outlineLvl w:val="2"/>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2．部门重点工作</w:t>
      </w:r>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市委政研室2024年重点工作任务共6项，分别是：</w:t>
      </w:r>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（1）重大课题工作经费：全力提升决策服务能力和水平，统筹推进综合调查研究、全面深化改革、重大财经工作、决策咨询服务等核心工作。</w:t>
      </w:r>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（2）市委改革办工作经费：切实发挥改革中枢机关作用，推动全市深化改革再取新进展。</w:t>
      </w:r>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（3）市委财经办工作经费：做好财经工作，提高部门财务保障水平，发挥财经工作核心作用，推动全市财经工作上新层次。</w:t>
      </w:r>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（4）市决咨委工作经费：推动新型智库建设，不断完善决策咨询服务机制，为市领导科学决策提供智力支撑。</w:t>
      </w:r>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（5）江门市“百县千镇万村高质量发展工程”指挥部办公室专项经费：一体推进强县促镇带村，全力打造“百千万工程”江门样板，推动江门城乡区域协调发展走在全省前列。</w:t>
      </w:r>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（6）专项业务经费：加强自身建设，抓好机关党建，做好基础管理和单位精神文明建设，增强部门凝聚力和战斗力。</w:t>
      </w:r>
    </w:p>
    <w:p>
      <w:pPr>
        <w:pStyle w:val="5"/>
        <w:snapToGrid w:val="0"/>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64" w:name="_Toc203669501"/>
      <w:r>
        <w:rPr>
          <w:rFonts w:ascii="Times New Roman" w:eastAsia="楷体_GB2312" w:cs="Times New Roman"/>
          <w:color w:val="000000" w:themeColor="text1"/>
          <w:sz w:val="32"/>
          <w:szCs w:val="32"/>
          <w14:textFill>
            <w14:solidFill>
              <w14:schemeClr w14:val="tx1"/>
            </w14:solidFill>
          </w14:textFill>
        </w:rPr>
        <w:t>（三）部门整体支出情况</w:t>
      </w:r>
      <w:bookmarkEnd w:id="64"/>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lang w:val="zh-CN"/>
          <w14:textFill>
            <w14:solidFill>
              <w14:schemeClr w14:val="tx1"/>
            </w14:solidFill>
          </w14:textFill>
        </w:rPr>
      </w:pPr>
      <w:r>
        <w:rPr>
          <w:rFonts w:ascii="Times New Roman" w:hAnsi="Times New Roman" w:eastAsia="仿宋_GB2312"/>
          <w:color w:val="000000" w:themeColor="text1"/>
          <w:sz w:val="32"/>
          <w:szCs w:val="32"/>
          <w:lang w:val="zh-CN"/>
          <w14:textFill>
            <w14:solidFill>
              <w14:schemeClr w14:val="tx1"/>
            </w14:solidFill>
          </w14:textFill>
        </w:rPr>
        <w:t>2024年市委政研室年初整体预算金额1,232.84万元，其中基本支出预算金额为941.08万元（人员经费856.86万元、公用经费84.22万元），项目支出预算金额为291.76万元。调整后整体预算金额1,160.82万元，其中基本支出预算金额为969.68万元（人员经费910.91万元、公用经费58.77万元），项目支出预算金额为191.14万元。实际支出金额1,160.82万元，其中基本支出969.68万元，项目支出191.14万元，预算执行率为100.00%。</w:t>
      </w:r>
    </w:p>
    <w:p>
      <w:pPr>
        <w:pStyle w:val="5"/>
        <w:snapToGrid w:val="0"/>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65" w:name="_Toc203669502"/>
      <w:r>
        <w:rPr>
          <w:rFonts w:ascii="Times New Roman" w:eastAsia="楷体_GB2312" w:cs="Times New Roman"/>
          <w:color w:val="000000" w:themeColor="text1"/>
          <w:sz w:val="32"/>
          <w:szCs w:val="32"/>
          <w14:textFill>
            <w14:solidFill>
              <w14:schemeClr w14:val="tx1"/>
            </w14:solidFill>
          </w14:textFill>
        </w:rPr>
        <w:t>（四）购买服务支出情况</w:t>
      </w:r>
      <w:bookmarkEnd w:id="65"/>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市委政研室2024年购买服务支出主要为市委政研室印发的6期《江门调研》编印费</w:t>
      </w:r>
      <w:bookmarkStart w:id="66" w:name="OLE_LINK29"/>
      <w:r>
        <w:rPr>
          <w:rFonts w:ascii="Times New Roman" w:hAnsi="Times New Roman" w:eastAsia="仿宋_GB2312"/>
          <w:color w:val="000000" w:themeColor="text1"/>
          <w:sz w:val="32"/>
          <w:szCs w:val="32"/>
          <w14:textFill>
            <w14:solidFill>
              <w14:schemeClr w14:val="tx1"/>
            </w14:solidFill>
          </w14:textFill>
        </w:rPr>
        <w:t>114,000.00元</w:t>
      </w:r>
      <w:bookmarkEnd w:id="66"/>
      <w:r>
        <w:rPr>
          <w:rFonts w:ascii="Times New Roman" w:hAnsi="Times New Roman" w:eastAsia="仿宋_GB2312"/>
          <w:color w:val="000000" w:themeColor="text1"/>
          <w:sz w:val="32"/>
          <w:szCs w:val="32"/>
          <w14:textFill>
            <w14:solidFill>
              <w14:schemeClr w14:val="tx1"/>
            </w14:solidFill>
          </w14:textFill>
        </w:rPr>
        <w:t>、绿化管理费</w:t>
      </w:r>
      <w:bookmarkStart w:id="67" w:name="OLE_LINK24"/>
      <w:r>
        <w:rPr>
          <w:rFonts w:ascii="Times New Roman" w:hAnsi="Times New Roman" w:eastAsia="仿宋_GB2312"/>
          <w:color w:val="000000" w:themeColor="text1"/>
          <w:sz w:val="32"/>
          <w:szCs w:val="32"/>
          <w14:textFill>
            <w14:solidFill>
              <w14:schemeClr w14:val="tx1"/>
            </w14:solidFill>
          </w14:textFill>
        </w:rPr>
        <w:t>13,900.00元</w:t>
      </w:r>
      <w:bookmarkEnd w:id="67"/>
      <w:r>
        <w:rPr>
          <w:rFonts w:ascii="Times New Roman" w:hAnsi="Times New Roman" w:eastAsia="仿宋_GB2312"/>
          <w:color w:val="000000" w:themeColor="text1"/>
          <w:sz w:val="32"/>
          <w:szCs w:val="32"/>
          <w14:textFill>
            <w14:solidFill>
              <w14:schemeClr w14:val="tx1"/>
            </w14:solidFill>
          </w14:textFill>
        </w:rPr>
        <w:t>和2023年</w:t>
      </w:r>
      <w:bookmarkStart w:id="68" w:name="OLE_LINK18"/>
      <w:r>
        <w:rPr>
          <w:rFonts w:ascii="Times New Roman" w:hAnsi="Times New Roman" w:eastAsia="仿宋_GB2312"/>
          <w:color w:val="000000" w:themeColor="text1"/>
          <w:sz w:val="32"/>
          <w:szCs w:val="32"/>
          <w14:textFill>
            <w14:solidFill>
              <w14:schemeClr w14:val="tx1"/>
            </w14:solidFill>
          </w14:textFill>
        </w:rPr>
        <w:t>委托课题</w:t>
      </w:r>
      <w:bookmarkEnd w:id="68"/>
      <w:r>
        <w:rPr>
          <w:rFonts w:ascii="Times New Roman" w:hAnsi="Times New Roman" w:eastAsia="仿宋_GB2312"/>
          <w:color w:val="000000" w:themeColor="text1"/>
          <w:sz w:val="32"/>
          <w:szCs w:val="32"/>
          <w14:textFill>
            <w14:solidFill>
              <w14:schemeClr w14:val="tx1"/>
            </w14:solidFill>
          </w14:textFill>
        </w:rPr>
        <w:t>的结题尾款40,000.00元。</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ascii="Times New Roman" w:hAnsi="Times New Roman"/>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《江门调研》编印费</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bookmarkStart w:id="69" w:name="OLE_LINK3"/>
      <w:r>
        <w:rPr>
          <w:rFonts w:ascii="Times New Roman" w:hAnsi="Times New Roman" w:eastAsia="仿宋_GB2312"/>
          <w:color w:val="000000" w:themeColor="text1"/>
          <w:sz w:val="32"/>
          <w:szCs w:val="32"/>
          <w14:textFill>
            <w14:solidFill>
              <w14:schemeClr w14:val="tx1"/>
            </w14:solidFill>
          </w14:textFill>
        </w:rPr>
        <w:t>市委政研室委托</w:t>
      </w:r>
      <w:bookmarkEnd w:id="69"/>
      <w:r>
        <w:rPr>
          <w:rFonts w:ascii="Times New Roman" w:hAnsi="Times New Roman" w:eastAsia="仿宋_GB2312"/>
          <w:color w:val="000000" w:themeColor="text1"/>
          <w:sz w:val="32"/>
          <w:szCs w:val="32"/>
          <w14:textFill>
            <w14:solidFill>
              <w14:schemeClr w14:val="tx1"/>
            </w14:solidFill>
          </w14:textFill>
        </w:rPr>
        <w:t>江门日报社有限公司印刷市委政研室编印的《江门调研》杂志，《江门调研》每期约68页，每期印刷500本，每期编印费用19,000.00元，6期编印费用合计金额114,000.00元。</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ascii="Times New Roman" w:hAnsi="Times New Roman"/>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绿化管理费</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市委政研室委托江门市花木有限公司负责市委政研室室内花卉植物的摆放布置和日常管理，共支出13,900.00元，费用对应服务时间为2023年12月至2024年10月。</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w:t>
      </w:r>
      <w:r>
        <w:rPr>
          <w:rFonts w:ascii="Times New Roman" w:hAnsi="Times New Roman"/>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委托课题</w:t>
      </w:r>
    </w:p>
    <w:p>
      <w:pPr>
        <w:pStyle w:val="16"/>
        <w:adjustRightInd w:val="0"/>
        <w:snapToGrid w:val="0"/>
        <w:spacing w:line="579"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2024年市委政研室无新增委托课题购买服务，主要为支付2023年委托课题的结题尾款4万元。根据《中共江门市委政策研究室室务会会议纪要》（〔2024〕14号）中关于2023年委托课题结题情况的说明，2023年市委政研室共委托4个课题，每个课题预算5万元，合计经费20万元，2023年按照60%已支付12万元，剩余尾款8万元未支付。2024年4份委托课题成果已全部收到，根据课题管理暂行办法，建议《发展壮大镇域经济 推进区域协调发展》《坚持制造业当家 加快打造万亿工业强市》给予结项，《建议现代化海洋牧场对策研究》《企二代推动江门民营经济高质量发展》不予结项，对给予结项的2个课题支付尾款4万元，不予结项的2个课题不拨付经费。</w:t>
      </w:r>
    </w:p>
    <w:p>
      <w:pPr>
        <w:pStyle w:val="5"/>
        <w:spacing w:line="579" w:lineRule="exact"/>
        <w:ind w:firstLine="640" w:firstLineChars="200"/>
        <w:jc w:val="both"/>
        <w:outlineLvl w:val="1"/>
        <w:rPr>
          <w:rFonts w:ascii="Times New Roman" w:eastAsia="黑体" w:cs="Times New Roman"/>
          <w:color w:val="000000" w:themeColor="text1"/>
          <w:sz w:val="32"/>
          <w:szCs w:val="32"/>
          <w14:textFill>
            <w14:solidFill>
              <w14:schemeClr w14:val="tx1"/>
            </w14:solidFill>
          </w14:textFill>
        </w:rPr>
      </w:pPr>
      <w:bookmarkStart w:id="70" w:name="_Toc203669503"/>
      <w:r>
        <w:rPr>
          <w:rFonts w:ascii="Times New Roman" w:eastAsia="黑体" w:cs="Times New Roman"/>
          <w:color w:val="000000" w:themeColor="text1"/>
          <w:sz w:val="32"/>
          <w:szCs w:val="32"/>
          <w14:textFill>
            <w14:solidFill>
              <w14:schemeClr w14:val="tx1"/>
            </w14:solidFill>
          </w14:textFill>
        </w:rPr>
        <w:t>二、绩效分析</w:t>
      </w:r>
      <w:bookmarkEnd w:id="70"/>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评价工作组根据市财政局有关共性评价指标、个性指标设置的要求，制定了本项目的评价指标体系，评定中国共产党江门市委员会政策研究室2024年度部门整体支出绩效得分为8</w:t>
      </w:r>
      <w:r>
        <w:rPr>
          <w:rFonts w:hint="eastAsia" w:ascii="Times New Roman" w:cs="Times New Roman"/>
          <w:color w:val="000000" w:themeColor="text1"/>
          <w:sz w:val="32"/>
          <w:szCs w:val="32"/>
          <w14:textFill>
            <w14:solidFill>
              <w14:schemeClr w14:val="tx1"/>
            </w14:solidFill>
          </w14:textFill>
        </w:rPr>
        <w:t>6</w:t>
      </w:r>
      <w:r>
        <w:rPr>
          <w:rFonts w:ascii="Times New Roman" w:cs="Times New Roman"/>
          <w:color w:val="000000" w:themeColor="text1"/>
          <w:sz w:val="32"/>
          <w:szCs w:val="32"/>
          <w14:textFill>
            <w14:solidFill>
              <w14:schemeClr w14:val="tx1"/>
            </w14:solidFill>
          </w14:textFill>
        </w:rPr>
        <w:t>.</w:t>
      </w:r>
      <w:r>
        <w:rPr>
          <w:rFonts w:hint="eastAsia" w:ascii="Times New Roman" w:cs="Times New Roman"/>
          <w:color w:val="000000" w:themeColor="text1"/>
          <w:sz w:val="32"/>
          <w:szCs w:val="32"/>
          <w14:textFill>
            <w14:solidFill>
              <w14:schemeClr w14:val="tx1"/>
            </w14:solidFill>
          </w14:textFill>
        </w:rPr>
        <w:t>3</w:t>
      </w:r>
      <w:r>
        <w:rPr>
          <w:rFonts w:ascii="Times New Roman" w:cs="Times New Roman"/>
          <w:color w:val="000000" w:themeColor="text1"/>
          <w:sz w:val="32"/>
          <w:szCs w:val="32"/>
          <w14:textFill>
            <w14:solidFill>
              <w14:schemeClr w14:val="tx1"/>
            </w14:solidFill>
          </w14:textFill>
        </w:rPr>
        <w:t>8分，等级为“良”（详见附件1）。各指标分析如下：</w:t>
      </w:r>
    </w:p>
    <w:p>
      <w:pPr>
        <w:pStyle w:val="5"/>
        <w:snapToGrid w:val="0"/>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71" w:name="_Toc203669504"/>
      <w:r>
        <w:rPr>
          <w:rFonts w:ascii="Times New Roman" w:eastAsia="楷体_GB2312" w:cs="Times New Roman"/>
          <w:color w:val="000000" w:themeColor="text1"/>
          <w:sz w:val="32"/>
          <w:szCs w:val="32"/>
          <w14:textFill>
            <w14:solidFill>
              <w14:schemeClr w14:val="tx1"/>
            </w14:solidFill>
          </w14:textFill>
        </w:rPr>
        <w:t>（一）履职效能</w:t>
      </w:r>
      <w:bookmarkEnd w:id="71"/>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该指标主要从整体效能、项目效能两个方面考核论证部门履职情况，包含2个二级指标、10个三级指标。满分50分，评价得42.</w:t>
      </w:r>
      <w:r>
        <w:rPr>
          <w:rFonts w:hint="eastAsia" w:ascii="Times New Roman" w:cs="Times New Roman"/>
          <w:color w:val="000000" w:themeColor="text1"/>
          <w:sz w:val="32"/>
          <w:szCs w:val="32"/>
          <w14:textFill>
            <w14:solidFill>
              <w14:schemeClr w14:val="tx1"/>
            </w14:solidFill>
          </w14:textFill>
        </w:rPr>
        <w:t>9</w:t>
      </w:r>
      <w:r>
        <w:rPr>
          <w:rFonts w:ascii="Times New Roman" w:cs="Times New Roman"/>
          <w:color w:val="000000" w:themeColor="text1"/>
          <w:sz w:val="32"/>
          <w:szCs w:val="32"/>
          <w14:textFill>
            <w14:solidFill>
              <w14:schemeClr w14:val="tx1"/>
            </w14:solidFill>
          </w14:textFill>
        </w:rPr>
        <w:t>3分，得分率为8</w:t>
      </w:r>
      <w:r>
        <w:rPr>
          <w:rFonts w:hint="eastAsia" w:ascii="Times New Roman" w:cs="Times New Roman"/>
          <w:color w:val="000000" w:themeColor="text1"/>
          <w:sz w:val="32"/>
          <w:szCs w:val="32"/>
          <w14:textFill>
            <w14:solidFill>
              <w14:schemeClr w14:val="tx1"/>
            </w14:solidFill>
          </w14:textFill>
        </w:rPr>
        <w:t>5</w:t>
      </w:r>
      <w:r>
        <w:rPr>
          <w:rFonts w:ascii="Times New Roman" w:cs="Times New Roman"/>
          <w:color w:val="000000" w:themeColor="text1"/>
          <w:sz w:val="32"/>
          <w:szCs w:val="32"/>
          <w14:textFill>
            <w14:solidFill>
              <w14:schemeClr w14:val="tx1"/>
            </w14:solidFill>
          </w14:textFill>
        </w:rPr>
        <w:t>.</w:t>
      </w:r>
      <w:r>
        <w:rPr>
          <w:rFonts w:hint="eastAsia" w:ascii="Times New Roman" w:cs="Times New Roman"/>
          <w:color w:val="000000" w:themeColor="text1"/>
          <w:sz w:val="32"/>
          <w:szCs w:val="32"/>
          <w14:textFill>
            <w14:solidFill>
              <w14:schemeClr w14:val="tx1"/>
            </w14:solidFill>
          </w14:textFill>
        </w:rPr>
        <w:t>8</w:t>
      </w:r>
      <w:r>
        <w:rPr>
          <w:rFonts w:ascii="Times New Roman" w:cs="Times New Roman"/>
          <w:color w:val="000000" w:themeColor="text1"/>
          <w:sz w:val="32"/>
          <w:szCs w:val="32"/>
          <w14:textFill>
            <w14:solidFill>
              <w14:schemeClr w14:val="tx1"/>
            </w14:solidFill>
          </w14:textFill>
        </w:rPr>
        <w:t>6%。</w:t>
      </w:r>
    </w:p>
    <w:p>
      <w:pPr>
        <w:pStyle w:val="5"/>
        <w:spacing w:line="579" w:lineRule="exact"/>
        <w:ind w:firstLine="642" w:firstLineChars="200"/>
        <w:jc w:val="both"/>
        <w:outlineLvl w:val="2"/>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1．整体效能</w:t>
      </w:r>
    </w:p>
    <w:p>
      <w:pPr>
        <w:pStyle w:val="5"/>
        <w:spacing w:line="579" w:lineRule="exact"/>
        <w:ind w:firstLine="642" w:firstLineChars="200"/>
        <w:jc w:val="both"/>
        <w:outlineLvl w:val="3"/>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（1）部门整体绩效目标产出指标完成情况</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2024年部门整体产出指标15项，其中完成率100%-150%的指标14项，完成率高于150%的指标1项（表2）。</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该指标总分值为5分，得分=5/15*14+5/15*1*0.5=4.83分。</w:t>
      </w:r>
    </w:p>
    <w:p>
      <w:pPr>
        <w:adjustRightInd w:val="0"/>
        <w:snapToGrid w:val="0"/>
        <w:spacing w:before="156" w:beforeLines="50" w:after="156" w:afterLines="50"/>
        <w:jc w:val="center"/>
        <w:rPr>
          <w:rFonts w:eastAsia="黑体"/>
          <w:color w:val="000000" w:themeColor="text1"/>
          <w:kern w:val="0"/>
          <w:sz w:val="24"/>
          <w14:textFill>
            <w14:solidFill>
              <w14:schemeClr w14:val="tx1"/>
            </w14:solidFill>
          </w14:textFill>
        </w:rPr>
      </w:pPr>
      <w:bookmarkStart w:id="72" w:name="OLE_LINK10"/>
      <w:r>
        <w:rPr>
          <w:rFonts w:eastAsia="黑体"/>
          <w:color w:val="000000" w:themeColor="text1"/>
          <w:kern w:val="0"/>
          <w:sz w:val="24"/>
          <w14:textFill>
            <w14:solidFill>
              <w14:schemeClr w14:val="tx1"/>
            </w14:solidFill>
          </w14:textFill>
        </w:rPr>
        <w:t>表2  部门整体产出指标完成情况</w:t>
      </w:r>
    </w:p>
    <w:tbl>
      <w:tblPr>
        <w:tblStyle w:val="18"/>
        <w:tblW w:w="4834"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05"/>
        <w:gridCol w:w="1206"/>
        <w:gridCol w:w="1209"/>
        <w:gridCol w:w="1209"/>
        <w:gridCol w:w="160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478" w:type="pct"/>
            <w:tcBorders>
              <w:top w:val="single" w:color="000000" w:sz="8" w:space="0"/>
              <w:bottom w:val="single" w:color="000000" w:sz="8" w:space="0"/>
            </w:tcBorders>
            <w:noWrap/>
            <w:vAlign w:val="center"/>
          </w:tcPr>
          <w:p>
            <w:pPr>
              <w:widowControl/>
              <w:snapToGrid w:val="0"/>
              <w:jc w:val="center"/>
              <w:textAlignment w:val="center"/>
              <w:rPr>
                <w:rFonts w:eastAsia="黑体"/>
                <w:color w:val="000000" w:themeColor="text1"/>
                <w:szCs w:val="21"/>
                <w14:textFill>
                  <w14:solidFill>
                    <w14:schemeClr w14:val="tx1"/>
                  </w14:solidFill>
                </w14:textFill>
              </w:rPr>
            </w:pPr>
            <w:r>
              <w:rPr>
                <w:rFonts w:eastAsia="黑体"/>
                <w:color w:val="000000" w:themeColor="text1"/>
                <w:kern w:val="0"/>
                <w:szCs w:val="21"/>
                <w:lang w:bidi="ar"/>
                <w14:textFill>
                  <w14:solidFill>
                    <w14:schemeClr w14:val="tx1"/>
                  </w14:solidFill>
                </w14:textFill>
              </w:rPr>
              <w:t>二级指标</w:t>
            </w:r>
          </w:p>
        </w:tc>
        <w:tc>
          <w:tcPr>
            <w:tcW w:w="1465" w:type="pct"/>
            <w:tcBorders>
              <w:top w:val="single" w:color="000000" w:sz="8" w:space="0"/>
              <w:bottom w:val="single" w:color="000000" w:sz="8" w:space="0"/>
            </w:tcBorders>
            <w:noWrap/>
            <w:vAlign w:val="center"/>
          </w:tcPr>
          <w:p>
            <w:pPr>
              <w:widowControl/>
              <w:snapToGrid w:val="0"/>
              <w:jc w:val="center"/>
              <w:textAlignment w:val="center"/>
              <w:rPr>
                <w:rFonts w:eastAsia="黑体"/>
                <w:color w:val="000000" w:themeColor="text1"/>
                <w:szCs w:val="21"/>
                <w14:textFill>
                  <w14:solidFill>
                    <w14:schemeClr w14:val="tx1"/>
                  </w14:solidFill>
                </w14:textFill>
              </w:rPr>
            </w:pPr>
            <w:r>
              <w:rPr>
                <w:rFonts w:eastAsia="黑体"/>
                <w:color w:val="000000" w:themeColor="text1"/>
                <w:kern w:val="0"/>
                <w:szCs w:val="21"/>
                <w:lang w:bidi="ar"/>
                <w14:textFill>
                  <w14:solidFill>
                    <w14:schemeClr w14:val="tx1"/>
                  </w14:solidFill>
                </w14:textFill>
              </w:rPr>
              <w:t>三级指标</w:t>
            </w:r>
          </w:p>
        </w:tc>
        <w:tc>
          <w:tcPr>
            <w:tcW w:w="705" w:type="pct"/>
            <w:tcBorders>
              <w:top w:val="single" w:color="000000" w:sz="8" w:space="0"/>
              <w:bottom w:val="single" w:color="000000" w:sz="8" w:space="0"/>
            </w:tcBorders>
            <w:noWrap/>
            <w:vAlign w:val="center"/>
          </w:tcPr>
          <w:p>
            <w:pPr>
              <w:widowControl/>
              <w:snapToGrid w:val="0"/>
              <w:jc w:val="center"/>
              <w:textAlignment w:val="center"/>
              <w:rPr>
                <w:rFonts w:eastAsia="黑体"/>
                <w:color w:val="000000" w:themeColor="text1"/>
                <w:szCs w:val="21"/>
                <w14:textFill>
                  <w14:solidFill>
                    <w14:schemeClr w14:val="tx1"/>
                  </w14:solidFill>
                </w14:textFill>
              </w:rPr>
            </w:pPr>
            <w:r>
              <w:rPr>
                <w:rFonts w:eastAsia="黑体"/>
                <w:color w:val="000000" w:themeColor="text1"/>
                <w:kern w:val="0"/>
                <w:szCs w:val="21"/>
                <w:lang w:bidi="ar"/>
                <w14:textFill>
                  <w14:solidFill>
                    <w14:schemeClr w14:val="tx1"/>
                  </w14:solidFill>
                </w14:textFill>
              </w:rPr>
              <w:t>预期值</w:t>
            </w:r>
          </w:p>
        </w:tc>
        <w:tc>
          <w:tcPr>
            <w:tcW w:w="707" w:type="pct"/>
            <w:tcBorders>
              <w:top w:val="single" w:color="000000" w:sz="8" w:space="0"/>
              <w:bottom w:val="single" w:color="000000" w:sz="8" w:space="0"/>
            </w:tcBorders>
            <w:noWrap/>
            <w:vAlign w:val="center"/>
          </w:tcPr>
          <w:p>
            <w:pPr>
              <w:widowControl/>
              <w:snapToGrid w:val="0"/>
              <w:jc w:val="center"/>
              <w:textAlignment w:val="center"/>
              <w:rPr>
                <w:rFonts w:eastAsia="黑体"/>
                <w:color w:val="000000" w:themeColor="text1"/>
                <w:szCs w:val="21"/>
                <w14:textFill>
                  <w14:solidFill>
                    <w14:schemeClr w14:val="tx1"/>
                  </w14:solidFill>
                </w14:textFill>
              </w:rPr>
            </w:pPr>
            <w:r>
              <w:rPr>
                <w:rFonts w:eastAsia="黑体"/>
                <w:color w:val="000000" w:themeColor="text1"/>
                <w:kern w:val="0"/>
                <w:szCs w:val="21"/>
                <w:lang w:bidi="ar"/>
                <w14:textFill>
                  <w14:solidFill>
                    <w14:schemeClr w14:val="tx1"/>
                  </w14:solidFill>
                </w14:textFill>
              </w:rPr>
              <w:t>实现值</w:t>
            </w:r>
          </w:p>
        </w:tc>
        <w:tc>
          <w:tcPr>
            <w:tcW w:w="707" w:type="pct"/>
            <w:tcBorders>
              <w:top w:val="single" w:color="000000" w:sz="8" w:space="0"/>
              <w:bottom w:val="single" w:color="000000" w:sz="8" w:space="0"/>
            </w:tcBorders>
            <w:noWrap/>
            <w:vAlign w:val="center"/>
          </w:tcPr>
          <w:p>
            <w:pPr>
              <w:widowControl/>
              <w:snapToGrid w:val="0"/>
              <w:jc w:val="center"/>
              <w:textAlignment w:val="center"/>
              <w:rPr>
                <w:rFonts w:eastAsia="黑体"/>
                <w:color w:val="000000" w:themeColor="text1"/>
                <w:kern w:val="0"/>
                <w:szCs w:val="21"/>
                <w:lang w:bidi="ar"/>
                <w14:textFill>
                  <w14:solidFill>
                    <w14:schemeClr w14:val="tx1"/>
                  </w14:solidFill>
                </w14:textFill>
              </w:rPr>
            </w:pPr>
            <w:r>
              <w:rPr>
                <w:rFonts w:eastAsia="黑体"/>
                <w:color w:val="000000" w:themeColor="text1"/>
                <w:kern w:val="0"/>
                <w:szCs w:val="21"/>
                <w:lang w:bidi="ar"/>
                <w14:textFill>
                  <w14:solidFill>
                    <w14:schemeClr w14:val="tx1"/>
                  </w14:solidFill>
                </w14:textFill>
              </w:rPr>
              <w:t>完成率</w:t>
            </w:r>
          </w:p>
          <w:p>
            <w:pPr>
              <w:widowControl/>
              <w:snapToGrid w:val="0"/>
              <w:jc w:val="center"/>
              <w:textAlignment w:val="center"/>
              <w:rPr>
                <w:rFonts w:eastAsia="黑体"/>
                <w:color w:val="000000" w:themeColor="text1"/>
                <w:kern w:val="0"/>
                <w:szCs w:val="21"/>
                <w:lang w:bidi="ar"/>
                <w14:textFill>
                  <w14:solidFill>
                    <w14:schemeClr w14:val="tx1"/>
                  </w14:solidFill>
                </w14:textFill>
              </w:rPr>
            </w:pPr>
            <w:r>
              <w:rPr>
                <w:rFonts w:eastAsia="黑体"/>
                <w:color w:val="000000" w:themeColor="text1"/>
                <w:kern w:val="0"/>
                <w:szCs w:val="21"/>
                <w:lang w:bidi="ar"/>
                <w14:textFill>
                  <w14:solidFill>
                    <w14:schemeClr w14:val="tx1"/>
                  </w14:solidFill>
                </w14:textFill>
              </w:rPr>
              <w:t>（%）</w:t>
            </w:r>
          </w:p>
        </w:tc>
        <w:tc>
          <w:tcPr>
            <w:tcW w:w="939" w:type="pct"/>
            <w:tcBorders>
              <w:top w:val="single" w:color="000000" w:sz="8" w:space="0"/>
              <w:bottom w:val="single" w:color="000000" w:sz="8" w:space="0"/>
            </w:tcBorders>
            <w:noWrap/>
            <w:vAlign w:val="center"/>
          </w:tcPr>
          <w:p>
            <w:pPr>
              <w:widowControl/>
              <w:snapToGrid w:val="0"/>
              <w:jc w:val="center"/>
              <w:textAlignment w:val="center"/>
              <w:rPr>
                <w:rFonts w:eastAsia="黑体"/>
                <w:color w:val="000000" w:themeColor="text1"/>
                <w:szCs w:val="21"/>
                <w14:textFill>
                  <w14:solidFill>
                    <w14:schemeClr w14:val="tx1"/>
                  </w14:solidFill>
                </w14:textFill>
              </w:rPr>
            </w:pPr>
            <w:r>
              <w:rPr>
                <w:rFonts w:eastAsia="黑体"/>
                <w:color w:val="000000" w:themeColor="text1"/>
                <w:kern w:val="0"/>
                <w:szCs w:val="21"/>
                <w:lang w:bidi="ar"/>
                <w14:textFill>
                  <w14:solidFill>
                    <w14:schemeClr w14:val="tx1"/>
                  </w14:solidFill>
                </w14:textFill>
              </w:rPr>
              <w:t>未能完成预期值的原因</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8" w:type="pct"/>
            <w:vMerge w:val="restart"/>
            <w:tcBorders>
              <w:top w:val="single" w:color="000000" w:sz="8" w:space="0"/>
            </w:tcBorders>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数量指标</w:t>
            </w:r>
          </w:p>
        </w:tc>
        <w:tc>
          <w:tcPr>
            <w:tcW w:w="1465" w:type="pct"/>
            <w:tcBorders>
              <w:top w:val="single" w:color="000000" w:sz="8" w:space="0"/>
            </w:tcBorders>
            <w:vAlign w:val="center"/>
          </w:tcPr>
          <w:p>
            <w:pPr>
              <w:widowControl/>
              <w:snapToGrid w:val="0"/>
              <w:jc w:val="center"/>
              <w:textAlignment w:val="center"/>
              <w:rPr>
                <w:color w:val="000000" w:themeColor="text1"/>
                <w:szCs w:val="21"/>
                <w14:textFill>
                  <w14:solidFill>
                    <w14:schemeClr w14:val="tx1"/>
                  </w14:solidFill>
                </w14:textFill>
              </w:rPr>
            </w:pPr>
            <w:r>
              <w:t>培训（人次）</w:t>
            </w:r>
          </w:p>
        </w:tc>
        <w:tc>
          <w:tcPr>
            <w:tcW w:w="705" w:type="pct"/>
            <w:tcBorders>
              <w:top w:val="single" w:color="000000" w:sz="8" w:space="0"/>
            </w:tcBorders>
            <w:vAlign w:val="center"/>
          </w:tcPr>
          <w:p>
            <w:pPr>
              <w:widowControl/>
              <w:snapToGrid w:val="0"/>
              <w:jc w:val="center"/>
              <w:textAlignment w:val="center"/>
              <w:rPr>
                <w:color w:val="000000" w:themeColor="text1"/>
                <w:szCs w:val="21"/>
                <w14:textFill>
                  <w14:solidFill>
                    <w14:schemeClr w14:val="tx1"/>
                  </w14:solidFill>
                </w14:textFill>
              </w:rPr>
            </w:pPr>
            <w:r>
              <w:t>≥30</w:t>
            </w:r>
          </w:p>
        </w:tc>
        <w:tc>
          <w:tcPr>
            <w:tcW w:w="707" w:type="pct"/>
            <w:tcBorders>
              <w:top w:val="single" w:color="000000" w:sz="8" w:space="0"/>
            </w:tcBorders>
            <w:vAlign w:val="center"/>
          </w:tcPr>
          <w:p>
            <w:pPr>
              <w:widowControl/>
              <w:snapToGrid w:val="0"/>
              <w:jc w:val="center"/>
              <w:textAlignment w:val="center"/>
              <w:rPr>
                <w:color w:val="000000" w:themeColor="text1"/>
                <w:szCs w:val="21"/>
                <w14:textFill>
                  <w14:solidFill>
                    <w14:schemeClr w14:val="tx1"/>
                  </w14:solidFill>
                </w14:textFill>
              </w:rPr>
            </w:pPr>
            <w:r>
              <w:t>42</w:t>
            </w:r>
          </w:p>
        </w:tc>
        <w:tc>
          <w:tcPr>
            <w:tcW w:w="707" w:type="pct"/>
            <w:tcBorders>
              <w:top w:val="single" w:color="000000" w:sz="8" w:space="0"/>
            </w:tcBorders>
            <w:vAlign w:val="center"/>
          </w:tcPr>
          <w:p>
            <w:pPr>
              <w:widowControl/>
              <w:snapToGrid w:val="0"/>
              <w:jc w:val="center"/>
              <w:textAlignment w:val="center"/>
              <w:rPr>
                <w:color w:val="000000" w:themeColor="text1"/>
                <w:kern w:val="0"/>
                <w:szCs w:val="21"/>
                <w:lang w:bidi="ar"/>
                <w14:textFill>
                  <w14:solidFill>
                    <w14:schemeClr w14:val="tx1"/>
                  </w14:solidFill>
                </w14:textFill>
              </w:rPr>
            </w:pPr>
            <w:r>
              <w:t>140</w:t>
            </w:r>
          </w:p>
        </w:tc>
        <w:tc>
          <w:tcPr>
            <w:tcW w:w="939" w:type="pct"/>
            <w:tcBorders>
              <w:top w:val="single" w:color="000000" w:sz="8" w:space="0"/>
            </w:tcBorders>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8" w:type="pct"/>
            <w:vMerge w:val="continue"/>
            <w:vAlign w:val="center"/>
          </w:tcPr>
          <w:p>
            <w:pPr>
              <w:widowControl/>
              <w:snapToGrid w:val="0"/>
              <w:jc w:val="center"/>
              <w:rPr>
                <w:color w:val="000000" w:themeColor="text1"/>
                <w:szCs w:val="21"/>
                <w14:textFill>
                  <w14:solidFill>
                    <w14:schemeClr w14:val="tx1"/>
                  </w14:solidFill>
                </w14:textFill>
              </w:rPr>
            </w:pPr>
          </w:p>
        </w:tc>
        <w:tc>
          <w:tcPr>
            <w:tcW w:w="1465" w:type="pct"/>
            <w:vAlign w:val="center"/>
          </w:tcPr>
          <w:p>
            <w:pPr>
              <w:widowControl/>
              <w:snapToGrid w:val="0"/>
              <w:jc w:val="center"/>
              <w:textAlignment w:val="center"/>
              <w:rPr>
                <w:color w:val="000000" w:themeColor="text1"/>
                <w:szCs w:val="21"/>
                <w14:textFill>
                  <w14:solidFill>
                    <w14:schemeClr w14:val="tx1"/>
                  </w14:solidFill>
                </w14:textFill>
              </w:rPr>
            </w:pPr>
            <w:r>
              <w:t>调研课题数量（个）</w:t>
            </w:r>
          </w:p>
        </w:tc>
        <w:tc>
          <w:tcPr>
            <w:tcW w:w="705" w:type="pct"/>
            <w:vAlign w:val="center"/>
          </w:tcPr>
          <w:p>
            <w:pPr>
              <w:widowControl/>
              <w:snapToGrid w:val="0"/>
              <w:jc w:val="center"/>
              <w:textAlignment w:val="center"/>
              <w:rPr>
                <w:color w:val="000000" w:themeColor="text1"/>
                <w:szCs w:val="21"/>
                <w14:textFill>
                  <w14:solidFill>
                    <w14:schemeClr w14:val="tx1"/>
                  </w14:solidFill>
                </w14:textFill>
              </w:rPr>
            </w:pPr>
            <w:r>
              <w:t>≥12</w:t>
            </w:r>
          </w:p>
        </w:tc>
        <w:tc>
          <w:tcPr>
            <w:tcW w:w="707" w:type="pct"/>
            <w:vAlign w:val="center"/>
          </w:tcPr>
          <w:p>
            <w:pPr>
              <w:widowControl/>
              <w:snapToGrid w:val="0"/>
              <w:jc w:val="center"/>
              <w:textAlignment w:val="center"/>
              <w:rPr>
                <w:color w:val="000000" w:themeColor="text1"/>
                <w:szCs w:val="21"/>
                <w14:textFill>
                  <w14:solidFill>
                    <w14:schemeClr w14:val="tx1"/>
                  </w14:solidFill>
                </w14:textFill>
              </w:rPr>
            </w:pPr>
            <w:r>
              <w:t>13</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108</w:t>
            </w:r>
          </w:p>
        </w:tc>
        <w:tc>
          <w:tcPr>
            <w:tcW w:w="939" w:type="pct"/>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8" w:type="pct"/>
            <w:vMerge w:val="continue"/>
            <w:vAlign w:val="center"/>
          </w:tcPr>
          <w:p>
            <w:pPr>
              <w:widowControl/>
              <w:snapToGrid w:val="0"/>
              <w:jc w:val="center"/>
              <w:rPr>
                <w:color w:val="000000" w:themeColor="text1"/>
                <w:szCs w:val="21"/>
                <w14:textFill>
                  <w14:solidFill>
                    <w14:schemeClr w14:val="tx1"/>
                  </w14:solidFill>
                </w14:textFill>
              </w:rPr>
            </w:pPr>
          </w:p>
        </w:tc>
        <w:tc>
          <w:tcPr>
            <w:tcW w:w="1465" w:type="pct"/>
            <w:vAlign w:val="center"/>
          </w:tcPr>
          <w:p>
            <w:pPr>
              <w:widowControl/>
              <w:snapToGrid w:val="0"/>
              <w:jc w:val="center"/>
              <w:textAlignment w:val="center"/>
              <w:rPr>
                <w:color w:val="000000" w:themeColor="text1"/>
                <w:szCs w:val="21"/>
                <w14:textFill>
                  <w14:solidFill>
                    <w14:schemeClr w14:val="tx1"/>
                  </w14:solidFill>
                </w14:textFill>
              </w:rPr>
            </w:pPr>
            <w:r>
              <w:t>举办专题会议次数（次）</w:t>
            </w:r>
          </w:p>
        </w:tc>
        <w:tc>
          <w:tcPr>
            <w:tcW w:w="705" w:type="pct"/>
            <w:vAlign w:val="center"/>
          </w:tcPr>
          <w:p>
            <w:pPr>
              <w:widowControl/>
              <w:snapToGrid w:val="0"/>
              <w:jc w:val="center"/>
              <w:textAlignment w:val="center"/>
              <w:rPr>
                <w:color w:val="000000" w:themeColor="text1"/>
                <w:szCs w:val="21"/>
                <w14:textFill>
                  <w14:solidFill>
                    <w14:schemeClr w14:val="tx1"/>
                  </w14:solidFill>
                </w14:textFill>
              </w:rPr>
            </w:pPr>
            <w:r>
              <w:t>≥8</w:t>
            </w:r>
          </w:p>
        </w:tc>
        <w:tc>
          <w:tcPr>
            <w:tcW w:w="707" w:type="pct"/>
            <w:vAlign w:val="center"/>
          </w:tcPr>
          <w:p>
            <w:pPr>
              <w:widowControl/>
              <w:snapToGrid w:val="0"/>
              <w:jc w:val="center"/>
              <w:textAlignment w:val="center"/>
              <w:rPr>
                <w:color w:val="000000" w:themeColor="text1"/>
                <w:szCs w:val="21"/>
                <w14:textFill>
                  <w14:solidFill>
                    <w14:schemeClr w14:val="tx1"/>
                  </w14:solidFill>
                </w14:textFill>
              </w:rPr>
            </w:pPr>
            <w:r>
              <w:t>9</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113</w:t>
            </w:r>
          </w:p>
        </w:tc>
        <w:tc>
          <w:tcPr>
            <w:tcW w:w="939" w:type="pct"/>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8" w:type="pct"/>
            <w:vMerge w:val="continue"/>
            <w:vAlign w:val="center"/>
          </w:tcPr>
          <w:p>
            <w:pPr>
              <w:widowControl/>
              <w:snapToGrid w:val="0"/>
              <w:jc w:val="center"/>
              <w:rPr>
                <w:color w:val="000000" w:themeColor="text1"/>
                <w:szCs w:val="21"/>
                <w14:textFill>
                  <w14:solidFill>
                    <w14:schemeClr w14:val="tx1"/>
                  </w14:solidFill>
                </w14:textFill>
              </w:rPr>
            </w:pPr>
          </w:p>
        </w:tc>
        <w:tc>
          <w:tcPr>
            <w:tcW w:w="1465" w:type="pct"/>
            <w:vAlign w:val="center"/>
          </w:tcPr>
          <w:p>
            <w:pPr>
              <w:widowControl/>
              <w:snapToGrid w:val="0"/>
              <w:jc w:val="center"/>
              <w:textAlignment w:val="center"/>
              <w:rPr>
                <w:color w:val="000000" w:themeColor="text1"/>
                <w:szCs w:val="21"/>
                <w14:textFill>
                  <w14:solidFill>
                    <w14:schemeClr w14:val="tx1"/>
                  </w14:solidFill>
                </w14:textFill>
              </w:rPr>
            </w:pPr>
            <w:r>
              <w:t>培训场次（场）</w:t>
            </w:r>
          </w:p>
        </w:tc>
        <w:tc>
          <w:tcPr>
            <w:tcW w:w="705" w:type="pct"/>
            <w:vAlign w:val="center"/>
          </w:tcPr>
          <w:p>
            <w:pPr>
              <w:widowControl/>
              <w:snapToGrid w:val="0"/>
              <w:jc w:val="center"/>
              <w:textAlignment w:val="center"/>
              <w:rPr>
                <w:color w:val="000000" w:themeColor="text1"/>
                <w:szCs w:val="21"/>
                <w14:textFill>
                  <w14:solidFill>
                    <w14:schemeClr w14:val="tx1"/>
                  </w14:solidFill>
                </w14:textFill>
              </w:rPr>
            </w:pPr>
            <w:r>
              <w:t>≥2</w:t>
            </w:r>
          </w:p>
        </w:tc>
        <w:tc>
          <w:tcPr>
            <w:tcW w:w="707" w:type="pct"/>
            <w:vAlign w:val="center"/>
          </w:tcPr>
          <w:p>
            <w:pPr>
              <w:widowControl/>
              <w:snapToGrid w:val="0"/>
              <w:jc w:val="center"/>
              <w:textAlignment w:val="center"/>
              <w:rPr>
                <w:color w:val="000000" w:themeColor="text1"/>
                <w:szCs w:val="21"/>
                <w14:textFill>
                  <w14:solidFill>
                    <w14:schemeClr w14:val="tx1"/>
                  </w14:solidFill>
                </w14:textFill>
              </w:rPr>
            </w:pPr>
            <w:r>
              <w:t>3</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150</w:t>
            </w:r>
          </w:p>
        </w:tc>
        <w:tc>
          <w:tcPr>
            <w:tcW w:w="939" w:type="pct"/>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8" w:type="pct"/>
            <w:vMerge w:val="continue"/>
            <w:vAlign w:val="center"/>
          </w:tcPr>
          <w:p>
            <w:pPr>
              <w:widowControl/>
              <w:snapToGrid w:val="0"/>
              <w:jc w:val="center"/>
              <w:rPr>
                <w:color w:val="000000" w:themeColor="text1"/>
                <w:szCs w:val="21"/>
                <w14:textFill>
                  <w14:solidFill>
                    <w14:schemeClr w14:val="tx1"/>
                  </w14:solidFill>
                </w14:textFill>
              </w:rPr>
            </w:pPr>
          </w:p>
        </w:tc>
        <w:tc>
          <w:tcPr>
            <w:tcW w:w="1465" w:type="pct"/>
            <w:vAlign w:val="center"/>
          </w:tcPr>
          <w:p>
            <w:pPr>
              <w:widowControl/>
              <w:snapToGrid w:val="0"/>
              <w:jc w:val="center"/>
              <w:textAlignment w:val="center"/>
              <w:rPr>
                <w:color w:val="000000" w:themeColor="text1"/>
                <w:szCs w:val="21"/>
                <w14:textFill>
                  <w14:solidFill>
                    <w14:schemeClr w14:val="tx1"/>
                  </w14:solidFill>
                </w14:textFill>
              </w:rPr>
            </w:pPr>
            <w:r>
              <w:t>提出有效决策建议数（个）</w:t>
            </w:r>
          </w:p>
        </w:tc>
        <w:tc>
          <w:tcPr>
            <w:tcW w:w="705" w:type="pct"/>
            <w:vAlign w:val="center"/>
          </w:tcPr>
          <w:p>
            <w:pPr>
              <w:widowControl/>
              <w:snapToGrid w:val="0"/>
              <w:jc w:val="center"/>
              <w:textAlignment w:val="center"/>
              <w:rPr>
                <w:color w:val="000000" w:themeColor="text1"/>
                <w:szCs w:val="21"/>
                <w14:textFill>
                  <w14:solidFill>
                    <w14:schemeClr w14:val="tx1"/>
                  </w14:solidFill>
                </w14:textFill>
              </w:rPr>
            </w:pPr>
            <w:r>
              <w:t>≥5</w:t>
            </w:r>
          </w:p>
        </w:tc>
        <w:tc>
          <w:tcPr>
            <w:tcW w:w="707" w:type="pct"/>
            <w:vAlign w:val="center"/>
          </w:tcPr>
          <w:p>
            <w:pPr>
              <w:widowControl/>
              <w:snapToGrid w:val="0"/>
              <w:jc w:val="center"/>
              <w:textAlignment w:val="center"/>
              <w:rPr>
                <w:color w:val="000000" w:themeColor="text1"/>
                <w:szCs w:val="21"/>
                <w14:textFill>
                  <w14:solidFill>
                    <w14:schemeClr w14:val="tx1"/>
                  </w14:solidFill>
                </w14:textFill>
              </w:rPr>
            </w:pPr>
            <w:r>
              <w:t>8</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160</w:t>
            </w:r>
          </w:p>
        </w:tc>
        <w:tc>
          <w:tcPr>
            <w:tcW w:w="939" w:type="pct"/>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8" w:type="pct"/>
            <w:vMerge w:val="continue"/>
            <w:vAlign w:val="center"/>
          </w:tcPr>
          <w:p>
            <w:pPr>
              <w:widowControl/>
              <w:snapToGrid w:val="0"/>
              <w:jc w:val="center"/>
              <w:rPr>
                <w:color w:val="000000" w:themeColor="text1"/>
                <w:szCs w:val="21"/>
                <w14:textFill>
                  <w14:solidFill>
                    <w14:schemeClr w14:val="tx1"/>
                  </w14:solidFill>
                </w14:textFill>
              </w:rPr>
            </w:pPr>
          </w:p>
        </w:tc>
        <w:tc>
          <w:tcPr>
            <w:tcW w:w="1465" w:type="pct"/>
            <w:vAlign w:val="center"/>
          </w:tcPr>
          <w:p>
            <w:pPr>
              <w:widowControl/>
              <w:snapToGrid w:val="0"/>
              <w:jc w:val="center"/>
              <w:textAlignment w:val="center"/>
              <w:rPr>
                <w:color w:val="000000" w:themeColor="text1"/>
                <w:szCs w:val="21"/>
                <w14:textFill>
                  <w14:solidFill>
                    <w14:schemeClr w14:val="tx1"/>
                  </w14:solidFill>
                </w14:textFill>
              </w:rPr>
            </w:pPr>
            <w:r>
              <w:t>参加会议人数（人）</w:t>
            </w:r>
          </w:p>
        </w:tc>
        <w:tc>
          <w:tcPr>
            <w:tcW w:w="705" w:type="pct"/>
            <w:vAlign w:val="center"/>
          </w:tcPr>
          <w:p>
            <w:pPr>
              <w:widowControl/>
              <w:snapToGrid w:val="0"/>
              <w:jc w:val="center"/>
              <w:textAlignment w:val="center"/>
              <w:rPr>
                <w:color w:val="000000" w:themeColor="text1"/>
                <w:szCs w:val="21"/>
                <w14:textFill>
                  <w14:solidFill>
                    <w14:schemeClr w14:val="tx1"/>
                  </w14:solidFill>
                </w14:textFill>
              </w:rPr>
            </w:pPr>
            <w:r>
              <w:t>≥20</w:t>
            </w:r>
          </w:p>
        </w:tc>
        <w:tc>
          <w:tcPr>
            <w:tcW w:w="707" w:type="pct"/>
            <w:vAlign w:val="center"/>
          </w:tcPr>
          <w:p>
            <w:pPr>
              <w:widowControl/>
              <w:snapToGrid w:val="0"/>
              <w:jc w:val="center"/>
              <w:textAlignment w:val="center"/>
              <w:rPr>
                <w:color w:val="000000" w:themeColor="text1"/>
                <w:szCs w:val="21"/>
                <w14:textFill>
                  <w14:solidFill>
                    <w14:schemeClr w14:val="tx1"/>
                  </w14:solidFill>
                </w14:textFill>
              </w:rPr>
            </w:pPr>
            <w:r>
              <w:t>29</w:t>
            </w:r>
          </w:p>
        </w:tc>
        <w:tc>
          <w:tcPr>
            <w:tcW w:w="707" w:type="pct"/>
            <w:vAlign w:val="center"/>
          </w:tcPr>
          <w:p>
            <w:pPr>
              <w:widowControl/>
              <w:snapToGrid w:val="0"/>
              <w:jc w:val="center"/>
              <w:textAlignment w:val="center"/>
              <w:rPr>
                <w:color w:val="000000" w:themeColor="text1"/>
                <w:szCs w:val="21"/>
                <w14:textFill>
                  <w14:solidFill>
                    <w14:schemeClr w14:val="tx1"/>
                  </w14:solidFill>
                </w14:textFill>
              </w:rPr>
            </w:pPr>
            <w:r>
              <w:t>145</w:t>
            </w:r>
          </w:p>
        </w:tc>
        <w:tc>
          <w:tcPr>
            <w:tcW w:w="939" w:type="pct"/>
            <w:vAlign w:val="center"/>
          </w:tcPr>
          <w:p>
            <w:pPr>
              <w:widowControl/>
              <w:snapToGrid w:val="0"/>
              <w:jc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8" w:type="pct"/>
            <w:vMerge w:val="continue"/>
            <w:vAlign w:val="center"/>
          </w:tcPr>
          <w:p>
            <w:pPr>
              <w:widowControl/>
              <w:snapToGrid w:val="0"/>
              <w:jc w:val="center"/>
              <w:rPr>
                <w:color w:val="000000" w:themeColor="text1"/>
                <w:szCs w:val="21"/>
                <w14:textFill>
                  <w14:solidFill>
                    <w14:schemeClr w14:val="tx1"/>
                  </w14:solidFill>
                </w14:textFill>
              </w:rPr>
            </w:pPr>
          </w:p>
        </w:tc>
        <w:tc>
          <w:tcPr>
            <w:tcW w:w="1465" w:type="pct"/>
            <w:vAlign w:val="center"/>
          </w:tcPr>
          <w:p>
            <w:pPr>
              <w:widowControl/>
              <w:snapToGrid w:val="0"/>
              <w:jc w:val="center"/>
              <w:textAlignment w:val="center"/>
              <w:rPr>
                <w:color w:val="000000" w:themeColor="text1"/>
                <w:szCs w:val="21"/>
                <w14:textFill>
                  <w14:solidFill>
                    <w14:schemeClr w14:val="tx1"/>
                  </w14:solidFill>
                </w14:textFill>
              </w:rPr>
            </w:pPr>
            <w:r>
              <w:t>评估改革绩效报告数（份）</w:t>
            </w:r>
          </w:p>
        </w:tc>
        <w:tc>
          <w:tcPr>
            <w:tcW w:w="705" w:type="pct"/>
            <w:vAlign w:val="center"/>
          </w:tcPr>
          <w:p>
            <w:pPr>
              <w:widowControl/>
              <w:snapToGrid w:val="0"/>
              <w:jc w:val="center"/>
              <w:textAlignment w:val="center"/>
              <w:rPr>
                <w:color w:val="000000" w:themeColor="text1"/>
                <w:szCs w:val="21"/>
                <w14:textFill>
                  <w14:solidFill>
                    <w14:schemeClr w14:val="tx1"/>
                  </w14:solidFill>
                </w14:textFill>
              </w:rPr>
            </w:pPr>
            <w:r>
              <w:t>≥1</w:t>
            </w:r>
          </w:p>
        </w:tc>
        <w:tc>
          <w:tcPr>
            <w:tcW w:w="707" w:type="pct"/>
            <w:vAlign w:val="center"/>
          </w:tcPr>
          <w:p>
            <w:pPr>
              <w:widowControl/>
              <w:snapToGrid w:val="0"/>
              <w:jc w:val="center"/>
              <w:textAlignment w:val="center"/>
              <w:rPr>
                <w:color w:val="000000" w:themeColor="text1"/>
                <w:szCs w:val="21"/>
                <w14:textFill>
                  <w14:solidFill>
                    <w14:schemeClr w14:val="tx1"/>
                  </w14:solidFill>
                </w14:textFill>
              </w:rPr>
            </w:pPr>
            <w:r>
              <w:t>1</w:t>
            </w:r>
          </w:p>
        </w:tc>
        <w:tc>
          <w:tcPr>
            <w:tcW w:w="707" w:type="pct"/>
            <w:vAlign w:val="center"/>
          </w:tcPr>
          <w:p>
            <w:pPr>
              <w:widowControl/>
              <w:snapToGrid w:val="0"/>
              <w:jc w:val="center"/>
              <w:textAlignment w:val="center"/>
              <w:rPr>
                <w:color w:val="000000" w:themeColor="text1"/>
                <w:szCs w:val="21"/>
                <w14:textFill>
                  <w14:solidFill>
                    <w14:schemeClr w14:val="tx1"/>
                  </w14:solidFill>
                </w14:textFill>
              </w:rPr>
            </w:pPr>
            <w:r>
              <w:t>100</w:t>
            </w:r>
          </w:p>
        </w:tc>
        <w:tc>
          <w:tcPr>
            <w:tcW w:w="939" w:type="pct"/>
            <w:vAlign w:val="center"/>
          </w:tcPr>
          <w:p>
            <w:pPr>
              <w:widowControl/>
              <w:snapToGrid w:val="0"/>
              <w:jc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8" w:type="pct"/>
            <w:vMerge w:val="continue"/>
            <w:vAlign w:val="center"/>
          </w:tcPr>
          <w:p>
            <w:pPr>
              <w:widowControl/>
              <w:snapToGrid w:val="0"/>
              <w:jc w:val="center"/>
              <w:rPr>
                <w:color w:val="000000" w:themeColor="text1"/>
                <w:szCs w:val="21"/>
                <w14:textFill>
                  <w14:solidFill>
                    <w14:schemeClr w14:val="tx1"/>
                  </w14:solidFill>
                </w14:textFill>
              </w:rPr>
            </w:pPr>
          </w:p>
        </w:tc>
        <w:tc>
          <w:tcPr>
            <w:tcW w:w="1465" w:type="pct"/>
            <w:vAlign w:val="center"/>
          </w:tcPr>
          <w:p>
            <w:pPr>
              <w:widowControl/>
              <w:snapToGrid w:val="0"/>
              <w:jc w:val="center"/>
              <w:textAlignment w:val="center"/>
              <w:rPr>
                <w:color w:val="000000" w:themeColor="text1"/>
                <w:szCs w:val="21"/>
                <w14:textFill>
                  <w14:solidFill>
                    <w14:schemeClr w14:val="tx1"/>
                  </w14:solidFill>
                </w14:textFill>
              </w:rPr>
            </w:pPr>
            <w:r>
              <w:t>完成调研报告（份）</w:t>
            </w:r>
          </w:p>
        </w:tc>
        <w:tc>
          <w:tcPr>
            <w:tcW w:w="705" w:type="pct"/>
            <w:vAlign w:val="center"/>
          </w:tcPr>
          <w:p>
            <w:pPr>
              <w:widowControl/>
              <w:snapToGrid w:val="0"/>
              <w:jc w:val="center"/>
              <w:textAlignment w:val="center"/>
              <w:rPr>
                <w:color w:val="000000" w:themeColor="text1"/>
                <w:szCs w:val="21"/>
                <w14:textFill>
                  <w14:solidFill>
                    <w14:schemeClr w14:val="tx1"/>
                  </w14:solidFill>
                </w14:textFill>
              </w:rPr>
            </w:pPr>
            <w:r>
              <w:t>≥12</w:t>
            </w:r>
          </w:p>
        </w:tc>
        <w:tc>
          <w:tcPr>
            <w:tcW w:w="707" w:type="pct"/>
            <w:vAlign w:val="center"/>
          </w:tcPr>
          <w:p>
            <w:pPr>
              <w:widowControl/>
              <w:snapToGrid w:val="0"/>
              <w:jc w:val="center"/>
              <w:textAlignment w:val="center"/>
              <w:rPr>
                <w:color w:val="000000" w:themeColor="text1"/>
                <w:szCs w:val="21"/>
                <w14:textFill>
                  <w14:solidFill>
                    <w14:schemeClr w14:val="tx1"/>
                  </w14:solidFill>
                </w14:textFill>
              </w:rPr>
            </w:pPr>
            <w:r>
              <w:t>13</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108</w:t>
            </w:r>
          </w:p>
        </w:tc>
        <w:tc>
          <w:tcPr>
            <w:tcW w:w="939" w:type="pct"/>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8" w:type="pct"/>
            <w:vMerge w:val="restart"/>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质量指标</w:t>
            </w:r>
          </w:p>
        </w:tc>
        <w:tc>
          <w:tcPr>
            <w:tcW w:w="1465" w:type="pct"/>
            <w:vAlign w:val="center"/>
          </w:tcPr>
          <w:p>
            <w:pPr>
              <w:widowControl/>
              <w:snapToGrid w:val="0"/>
              <w:jc w:val="center"/>
              <w:textAlignment w:val="center"/>
              <w:rPr>
                <w:color w:val="000000" w:themeColor="text1"/>
                <w:szCs w:val="21"/>
                <w14:textFill>
                  <w14:solidFill>
                    <w14:schemeClr w14:val="tx1"/>
                  </w14:solidFill>
                </w14:textFill>
              </w:rPr>
            </w:pPr>
            <w:r>
              <w:t>调研成果专家评审通过率（%）</w:t>
            </w:r>
          </w:p>
        </w:tc>
        <w:tc>
          <w:tcPr>
            <w:tcW w:w="705" w:type="pct"/>
            <w:vAlign w:val="center"/>
          </w:tcPr>
          <w:p>
            <w:pPr>
              <w:widowControl/>
              <w:snapToGrid w:val="0"/>
              <w:jc w:val="center"/>
              <w:textAlignment w:val="center"/>
              <w:rPr>
                <w:color w:val="000000" w:themeColor="text1"/>
                <w:szCs w:val="21"/>
                <w14:textFill>
                  <w14:solidFill>
                    <w14:schemeClr w14:val="tx1"/>
                  </w14:solidFill>
                </w14:textFill>
              </w:rPr>
            </w:pPr>
            <w:r>
              <w:t>≥96</w:t>
            </w:r>
          </w:p>
        </w:tc>
        <w:tc>
          <w:tcPr>
            <w:tcW w:w="707" w:type="pct"/>
            <w:vAlign w:val="center"/>
          </w:tcPr>
          <w:p>
            <w:pPr>
              <w:widowControl/>
              <w:snapToGrid w:val="0"/>
              <w:jc w:val="center"/>
              <w:textAlignment w:val="center"/>
              <w:rPr>
                <w:color w:val="000000" w:themeColor="text1"/>
                <w:szCs w:val="21"/>
                <w14:textFill>
                  <w14:solidFill>
                    <w14:schemeClr w14:val="tx1"/>
                  </w14:solidFill>
                </w14:textFill>
              </w:rPr>
            </w:pPr>
            <w:r>
              <w:t>100</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104</w:t>
            </w:r>
          </w:p>
        </w:tc>
        <w:tc>
          <w:tcPr>
            <w:tcW w:w="939" w:type="pct"/>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8" w:type="pct"/>
            <w:vMerge w:val="continue"/>
            <w:vAlign w:val="center"/>
          </w:tcPr>
          <w:p>
            <w:pPr>
              <w:widowControl/>
              <w:snapToGrid w:val="0"/>
              <w:jc w:val="center"/>
              <w:rPr>
                <w:color w:val="000000" w:themeColor="text1"/>
                <w:szCs w:val="21"/>
                <w14:textFill>
                  <w14:solidFill>
                    <w14:schemeClr w14:val="tx1"/>
                  </w14:solidFill>
                </w14:textFill>
              </w:rPr>
            </w:pPr>
          </w:p>
        </w:tc>
        <w:tc>
          <w:tcPr>
            <w:tcW w:w="1465" w:type="pct"/>
            <w:vAlign w:val="center"/>
          </w:tcPr>
          <w:p>
            <w:pPr>
              <w:widowControl/>
              <w:snapToGrid w:val="0"/>
              <w:jc w:val="center"/>
              <w:textAlignment w:val="center"/>
              <w:rPr>
                <w:color w:val="000000" w:themeColor="text1"/>
                <w:szCs w:val="21"/>
                <w14:textFill>
                  <w14:solidFill>
                    <w14:schemeClr w14:val="tx1"/>
                  </w14:solidFill>
                </w14:textFill>
              </w:rPr>
            </w:pPr>
            <w:r>
              <w:t>论证成果采纳率（%）</w:t>
            </w:r>
          </w:p>
        </w:tc>
        <w:tc>
          <w:tcPr>
            <w:tcW w:w="705" w:type="pct"/>
            <w:vAlign w:val="center"/>
          </w:tcPr>
          <w:p>
            <w:pPr>
              <w:widowControl/>
              <w:snapToGrid w:val="0"/>
              <w:jc w:val="center"/>
              <w:textAlignment w:val="center"/>
              <w:rPr>
                <w:color w:val="000000" w:themeColor="text1"/>
                <w:szCs w:val="21"/>
                <w14:textFill>
                  <w14:solidFill>
                    <w14:schemeClr w14:val="tx1"/>
                  </w14:solidFill>
                </w14:textFill>
              </w:rPr>
            </w:pPr>
            <w:r>
              <w:t>≥80</w:t>
            </w:r>
          </w:p>
        </w:tc>
        <w:tc>
          <w:tcPr>
            <w:tcW w:w="707" w:type="pct"/>
            <w:vAlign w:val="center"/>
          </w:tcPr>
          <w:p>
            <w:pPr>
              <w:widowControl/>
              <w:snapToGrid w:val="0"/>
              <w:jc w:val="center"/>
              <w:textAlignment w:val="center"/>
              <w:rPr>
                <w:color w:val="000000" w:themeColor="text1"/>
                <w:szCs w:val="21"/>
                <w14:textFill>
                  <w14:solidFill>
                    <w14:schemeClr w14:val="tx1"/>
                  </w14:solidFill>
                </w14:textFill>
              </w:rPr>
            </w:pPr>
            <w:r>
              <w:t>95</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119</w:t>
            </w:r>
          </w:p>
        </w:tc>
        <w:tc>
          <w:tcPr>
            <w:tcW w:w="939" w:type="pct"/>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8" w:type="pct"/>
            <w:vMerge w:val="continue"/>
            <w:vAlign w:val="center"/>
          </w:tcPr>
          <w:p>
            <w:pPr>
              <w:widowControl/>
              <w:snapToGrid w:val="0"/>
              <w:jc w:val="center"/>
              <w:rPr>
                <w:color w:val="000000" w:themeColor="text1"/>
                <w:szCs w:val="21"/>
                <w14:textFill>
                  <w14:solidFill>
                    <w14:schemeClr w14:val="tx1"/>
                  </w14:solidFill>
                </w14:textFill>
              </w:rPr>
            </w:pPr>
          </w:p>
        </w:tc>
        <w:tc>
          <w:tcPr>
            <w:tcW w:w="1465" w:type="pct"/>
            <w:vAlign w:val="center"/>
          </w:tcPr>
          <w:p>
            <w:pPr>
              <w:widowControl/>
              <w:snapToGrid w:val="0"/>
              <w:jc w:val="center"/>
              <w:textAlignment w:val="center"/>
              <w:rPr>
                <w:color w:val="000000" w:themeColor="text1"/>
                <w:szCs w:val="21"/>
                <w14:textFill>
                  <w14:solidFill>
                    <w14:schemeClr w14:val="tx1"/>
                  </w14:solidFill>
                </w14:textFill>
              </w:rPr>
            </w:pPr>
            <w:r>
              <w:t>文稿及文件采用（%）</w:t>
            </w:r>
          </w:p>
        </w:tc>
        <w:tc>
          <w:tcPr>
            <w:tcW w:w="705" w:type="pct"/>
            <w:vAlign w:val="center"/>
          </w:tcPr>
          <w:p>
            <w:pPr>
              <w:widowControl/>
              <w:snapToGrid w:val="0"/>
              <w:jc w:val="center"/>
              <w:textAlignment w:val="center"/>
              <w:rPr>
                <w:color w:val="000000" w:themeColor="text1"/>
                <w:szCs w:val="21"/>
                <w14:textFill>
                  <w14:solidFill>
                    <w14:schemeClr w14:val="tx1"/>
                  </w14:solidFill>
                </w14:textFill>
              </w:rPr>
            </w:pPr>
            <w:r>
              <w:t>≥90</w:t>
            </w:r>
          </w:p>
        </w:tc>
        <w:tc>
          <w:tcPr>
            <w:tcW w:w="707" w:type="pct"/>
            <w:vAlign w:val="center"/>
          </w:tcPr>
          <w:p>
            <w:pPr>
              <w:widowControl/>
              <w:snapToGrid w:val="0"/>
              <w:jc w:val="center"/>
              <w:textAlignment w:val="center"/>
              <w:rPr>
                <w:color w:val="000000" w:themeColor="text1"/>
                <w:szCs w:val="21"/>
                <w14:textFill>
                  <w14:solidFill>
                    <w14:schemeClr w14:val="tx1"/>
                  </w14:solidFill>
                </w14:textFill>
              </w:rPr>
            </w:pPr>
            <w:r>
              <w:t>95</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106</w:t>
            </w:r>
          </w:p>
        </w:tc>
        <w:tc>
          <w:tcPr>
            <w:tcW w:w="939" w:type="pct"/>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8" w:type="pct"/>
            <w:vMerge w:val="restart"/>
            <w:vAlign w:val="center"/>
          </w:tcPr>
          <w:p>
            <w:pPr>
              <w:widowControl/>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时效指标</w:t>
            </w:r>
          </w:p>
        </w:tc>
        <w:tc>
          <w:tcPr>
            <w:tcW w:w="1465"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服务响应时间（分钟）</w:t>
            </w:r>
          </w:p>
        </w:tc>
        <w:tc>
          <w:tcPr>
            <w:tcW w:w="705"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≤5</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3</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100</w:t>
            </w:r>
          </w:p>
        </w:tc>
        <w:tc>
          <w:tcPr>
            <w:tcW w:w="939"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8" w:type="pct"/>
            <w:vMerge w:val="continue"/>
            <w:vAlign w:val="center"/>
          </w:tcPr>
          <w:p>
            <w:pPr>
              <w:widowControl/>
              <w:snapToGrid w:val="0"/>
              <w:jc w:val="center"/>
              <w:rPr>
                <w:color w:val="000000" w:themeColor="text1"/>
                <w:szCs w:val="21"/>
                <w14:textFill>
                  <w14:solidFill>
                    <w14:schemeClr w14:val="tx1"/>
                  </w14:solidFill>
                </w14:textFill>
              </w:rPr>
            </w:pPr>
          </w:p>
        </w:tc>
        <w:tc>
          <w:tcPr>
            <w:tcW w:w="1465"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修复时间（小时）</w:t>
            </w:r>
          </w:p>
        </w:tc>
        <w:tc>
          <w:tcPr>
            <w:tcW w:w="705"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≤2</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1.5</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100</w:t>
            </w:r>
          </w:p>
        </w:tc>
        <w:tc>
          <w:tcPr>
            <w:tcW w:w="939"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8" w:type="pct"/>
            <w:vMerge w:val="continue"/>
            <w:vAlign w:val="center"/>
          </w:tcPr>
          <w:p>
            <w:pPr>
              <w:widowControl/>
              <w:snapToGrid w:val="0"/>
              <w:jc w:val="center"/>
              <w:rPr>
                <w:color w:val="000000" w:themeColor="text1"/>
                <w:szCs w:val="21"/>
                <w14:textFill>
                  <w14:solidFill>
                    <w14:schemeClr w14:val="tx1"/>
                  </w14:solidFill>
                </w14:textFill>
              </w:rPr>
            </w:pPr>
          </w:p>
        </w:tc>
        <w:tc>
          <w:tcPr>
            <w:tcW w:w="1465"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成果提交及时率（%）</w:t>
            </w:r>
          </w:p>
        </w:tc>
        <w:tc>
          <w:tcPr>
            <w:tcW w:w="705"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100</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100</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100</w:t>
            </w:r>
          </w:p>
        </w:tc>
        <w:tc>
          <w:tcPr>
            <w:tcW w:w="939"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8" w:type="pct"/>
            <w:tcBorders>
              <w:bottom w:val="single" w:color="000000" w:sz="8" w:space="0"/>
            </w:tcBorders>
            <w:vAlign w:val="center"/>
          </w:tcPr>
          <w:p>
            <w:pPr>
              <w:widowControl/>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成本指标</w:t>
            </w:r>
          </w:p>
        </w:tc>
        <w:tc>
          <w:tcPr>
            <w:tcW w:w="1465" w:type="pct"/>
            <w:tcBorders>
              <w:bottom w:val="single" w:color="000000" w:sz="8" w:space="0"/>
            </w:tcBorders>
            <w:vAlign w:val="center"/>
          </w:tcPr>
          <w:p>
            <w:pPr>
              <w:widowControl/>
              <w:snapToGrid w:val="0"/>
              <w:jc w:val="center"/>
              <w:textAlignment w:val="center"/>
              <w:rPr>
                <w:color w:val="000000" w:themeColor="text1"/>
                <w:kern w:val="0"/>
                <w:szCs w:val="21"/>
                <w:lang w:bidi="ar"/>
                <w14:textFill>
                  <w14:solidFill>
                    <w14:schemeClr w14:val="tx1"/>
                  </w14:solidFill>
                </w14:textFill>
              </w:rPr>
            </w:pPr>
            <w:r>
              <w:t>预算控制有效性</w:t>
            </w:r>
          </w:p>
        </w:tc>
        <w:tc>
          <w:tcPr>
            <w:tcW w:w="705" w:type="pct"/>
            <w:tcBorders>
              <w:bottom w:val="single" w:color="000000" w:sz="8" w:space="0"/>
            </w:tcBorders>
            <w:vAlign w:val="center"/>
          </w:tcPr>
          <w:p>
            <w:pPr>
              <w:widowControl/>
              <w:snapToGrid w:val="0"/>
              <w:jc w:val="center"/>
              <w:textAlignment w:val="center"/>
              <w:rPr>
                <w:color w:val="000000" w:themeColor="text1"/>
                <w:kern w:val="0"/>
                <w:szCs w:val="21"/>
                <w:lang w:bidi="ar"/>
                <w14:textFill>
                  <w14:solidFill>
                    <w14:schemeClr w14:val="tx1"/>
                  </w14:solidFill>
                </w14:textFill>
              </w:rPr>
            </w:pPr>
            <w:r>
              <w:t>不超预算</w:t>
            </w:r>
          </w:p>
        </w:tc>
        <w:tc>
          <w:tcPr>
            <w:tcW w:w="707" w:type="pct"/>
            <w:tcBorders>
              <w:bottom w:val="single" w:color="000000" w:sz="8" w:space="0"/>
            </w:tcBorders>
            <w:vAlign w:val="center"/>
          </w:tcPr>
          <w:p>
            <w:pPr>
              <w:widowControl/>
              <w:snapToGrid w:val="0"/>
              <w:jc w:val="center"/>
              <w:textAlignment w:val="center"/>
              <w:rPr>
                <w:color w:val="000000" w:themeColor="text1"/>
                <w:kern w:val="0"/>
                <w:szCs w:val="21"/>
                <w:lang w:bidi="ar"/>
                <w14:textFill>
                  <w14:solidFill>
                    <w14:schemeClr w14:val="tx1"/>
                  </w14:solidFill>
                </w14:textFill>
              </w:rPr>
            </w:pPr>
            <w:r>
              <w:t>不超预算</w:t>
            </w:r>
          </w:p>
        </w:tc>
        <w:tc>
          <w:tcPr>
            <w:tcW w:w="707" w:type="pct"/>
            <w:tcBorders>
              <w:bottom w:val="single" w:color="000000" w:sz="8" w:space="0"/>
            </w:tcBorders>
            <w:vAlign w:val="center"/>
          </w:tcPr>
          <w:p>
            <w:pPr>
              <w:widowControl/>
              <w:snapToGrid w:val="0"/>
              <w:jc w:val="center"/>
              <w:textAlignment w:val="center"/>
              <w:rPr>
                <w:color w:val="000000" w:themeColor="text1"/>
                <w:kern w:val="0"/>
                <w:szCs w:val="21"/>
                <w:lang w:bidi="ar"/>
                <w14:textFill>
                  <w14:solidFill>
                    <w14:schemeClr w14:val="tx1"/>
                  </w14:solidFill>
                </w14:textFill>
              </w:rPr>
            </w:pPr>
            <w:r>
              <w:t>100</w:t>
            </w:r>
          </w:p>
        </w:tc>
        <w:tc>
          <w:tcPr>
            <w:tcW w:w="939" w:type="pct"/>
            <w:tcBorders>
              <w:bottom w:val="single" w:color="000000" w:sz="8" w:space="0"/>
            </w:tcBorders>
            <w:vAlign w:val="center"/>
          </w:tcPr>
          <w:p>
            <w:pPr>
              <w:widowControl/>
              <w:snapToGrid w:val="0"/>
              <w:jc w:val="center"/>
              <w:textAlignment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w:t>
            </w:r>
          </w:p>
        </w:tc>
      </w:tr>
      <w:bookmarkEnd w:id="72"/>
    </w:tbl>
    <w:p>
      <w:pPr>
        <w:pStyle w:val="5"/>
        <w:spacing w:line="579" w:lineRule="exact"/>
        <w:ind w:firstLine="642" w:firstLineChars="200"/>
        <w:jc w:val="both"/>
        <w:outlineLvl w:val="3"/>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（2）部门整体绩效目标效益指标完成情况</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2024年部门整体效益指标4项，其中完成率100%的指标4项（表3）。</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该指标总分值为5分，得分5分。</w:t>
      </w:r>
    </w:p>
    <w:p>
      <w:pPr>
        <w:adjustRightInd w:val="0"/>
        <w:snapToGrid w:val="0"/>
        <w:spacing w:before="156" w:beforeLines="50" w:after="156" w:afterLines="50"/>
        <w:jc w:val="center"/>
        <w:rPr>
          <w:rFonts w:eastAsia="黑体"/>
          <w:color w:val="000000" w:themeColor="text1"/>
          <w:kern w:val="0"/>
          <w:sz w:val="24"/>
          <w14:textFill>
            <w14:solidFill>
              <w14:schemeClr w14:val="tx1"/>
            </w14:solidFill>
          </w14:textFill>
        </w:rPr>
      </w:pPr>
      <w:r>
        <w:rPr>
          <w:rFonts w:eastAsia="黑体"/>
          <w:color w:val="000000" w:themeColor="text1"/>
          <w:kern w:val="0"/>
          <w:sz w:val="24"/>
          <w14:textFill>
            <w14:solidFill>
              <w14:schemeClr w14:val="tx1"/>
            </w14:solidFill>
          </w14:textFill>
        </w:rPr>
        <w:t>表3  部门整体效益指标完成情况</w:t>
      </w:r>
    </w:p>
    <w:tbl>
      <w:tblPr>
        <w:tblStyle w:val="18"/>
        <w:tblW w:w="4834"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2505"/>
        <w:gridCol w:w="1206"/>
        <w:gridCol w:w="1209"/>
        <w:gridCol w:w="1209"/>
        <w:gridCol w:w="160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479" w:type="pct"/>
            <w:tcBorders>
              <w:top w:val="single" w:color="000000" w:sz="8" w:space="0"/>
              <w:bottom w:val="single" w:color="000000" w:sz="8" w:space="0"/>
            </w:tcBorders>
            <w:noWrap/>
            <w:vAlign w:val="center"/>
          </w:tcPr>
          <w:p>
            <w:pPr>
              <w:widowControl/>
              <w:snapToGrid w:val="0"/>
              <w:jc w:val="center"/>
              <w:textAlignment w:val="center"/>
              <w:rPr>
                <w:rFonts w:eastAsia="黑体"/>
                <w:color w:val="000000" w:themeColor="text1"/>
                <w:szCs w:val="21"/>
                <w14:textFill>
                  <w14:solidFill>
                    <w14:schemeClr w14:val="tx1"/>
                  </w14:solidFill>
                </w14:textFill>
              </w:rPr>
            </w:pPr>
            <w:r>
              <w:rPr>
                <w:rFonts w:eastAsia="黑体"/>
                <w:color w:val="000000" w:themeColor="text1"/>
                <w:kern w:val="0"/>
                <w:szCs w:val="21"/>
                <w:lang w:bidi="ar"/>
                <w14:textFill>
                  <w14:solidFill>
                    <w14:schemeClr w14:val="tx1"/>
                  </w14:solidFill>
                </w14:textFill>
              </w:rPr>
              <w:t>二级指标</w:t>
            </w:r>
          </w:p>
        </w:tc>
        <w:tc>
          <w:tcPr>
            <w:tcW w:w="1465" w:type="pct"/>
            <w:tcBorders>
              <w:top w:val="single" w:color="000000" w:sz="8" w:space="0"/>
              <w:bottom w:val="single" w:color="000000" w:sz="8" w:space="0"/>
            </w:tcBorders>
            <w:noWrap/>
            <w:vAlign w:val="center"/>
          </w:tcPr>
          <w:p>
            <w:pPr>
              <w:widowControl/>
              <w:snapToGrid w:val="0"/>
              <w:jc w:val="center"/>
              <w:textAlignment w:val="center"/>
              <w:rPr>
                <w:rFonts w:eastAsia="黑体"/>
                <w:color w:val="000000" w:themeColor="text1"/>
                <w:szCs w:val="21"/>
                <w14:textFill>
                  <w14:solidFill>
                    <w14:schemeClr w14:val="tx1"/>
                  </w14:solidFill>
                </w14:textFill>
              </w:rPr>
            </w:pPr>
            <w:r>
              <w:rPr>
                <w:rFonts w:eastAsia="黑体"/>
                <w:color w:val="000000" w:themeColor="text1"/>
                <w:kern w:val="0"/>
                <w:szCs w:val="21"/>
                <w:lang w:bidi="ar"/>
                <w14:textFill>
                  <w14:solidFill>
                    <w14:schemeClr w14:val="tx1"/>
                  </w14:solidFill>
                </w14:textFill>
              </w:rPr>
              <w:t>三级指标</w:t>
            </w:r>
          </w:p>
        </w:tc>
        <w:tc>
          <w:tcPr>
            <w:tcW w:w="705" w:type="pct"/>
            <w:tcBorders>
              <w:top w:val="single" w:color="000000" w:sz="8" w:space="0"/>
              <w:bottom w:val="single" w:color="000000" w:sz="8" w:space="0"/>
            </w:tcBorders>
            <w:noWrap/>
            <w:vAlign w:val="center"/>
          </w:tcPr>
          <w:p>
            <w:pPr>
              <w:widowControl/>
              <w:snapToGrid w:val="0"/>
              <w:jc w:val="center"/>
              <w:textAlignment w:val="center"/>
              <w:rPr>
                <w:rFonts w:eastAsia="黑体"/>
                <w:color w:val="000000" w:themeColor="text1"/>
                <w:szCs w:val="21"/>
                <w14:textFill>
                  <w14:solidFill>
                    <w14:schemeClr w14:val="tx1"/>
                  </w14:solidFill>
                </w14:textFill>
              </w:rPr>
            </w:pPr>
            <w:r>
              <w:rPr>
                <w:rFonts w:eastAsia="黑体"/>
                <w:color w:val="000000" w:themeColor="text1"/>
                <w:kern w:val="0"/>
                <w:szCs w:val="21"/>
                <w:lang w:bidi="ar"/>
                <w14:textFill>
                  <w14:solidFill>
                    <w14:schemeClr w14:val="tx1"/>
                  </w14:solidFill>
                </w14:textFill>
              </w:rPr>
              <w:t>预期值</w:t>
            </w:r>
          </w:p>
        </w:tc>
        <w:tc>
          <w:tcPr>
            <w:tcW w:w="707" w:type="pct"/>
            <w:tcBorders>
              <w:top w:val="single" w:color="000000" w:sz="8" w:space="0"/>
              <w:bottom w:val="single" w:color="000000" w:sz="8" w:space="0"/>
            </w:tcBorders>
            <w:noWrap/>
            <w:vAlign w:val="center"/>
          </w:tcPr>
          <w:p>
            <w:pPr>
              <w:widowControl/>
              <w:snapToGrid w:val="0"/>
              <w:jc w:val="center"/>
              <w:textAlignment w:val="center"/>
              <w:rPr>
                <w:rFonts w:eastAsia="黑体"/>
                <w:color w:val="000000" w:themeColor="text1"/>
                <w:szCs w:val="21"/>
                <w14:textFill>
                  <w14:solidFill>
                    <w14:schemeClr w14:val="tx1"/>
                  </w14:solidFill>
                </w14:textFill>
              </w:rPr>
            </w:pPr>
            <w:r>
              <w:rPr>
                <w:rFonts w:eastAsia="黑体"/>
                <w:color w:val="000000" w:themeColor="text1"/>
                <w:kern w:val="0"/>
                <w:szCs w:val="21"/>
                <w:lang w:bidi="ar"/>
                <w14:textFill>
                  <w14:solidFill>
                    <w14:schemeClr w14:val="tx1"/>
                  </w14:solidFill>
                </w14:textFill>
              </w:rPr>
              <w:t>实现值</w:t>
            </w:r>
          </w:p>
        </w:tc>
        <w:tc>
          <w:tcPr>
            <w:tcW w:w="707" w:type="pct"/>
            <w:tcBorders>
              <w:top w:val="single" w:color="000000" w:sz="8" w:space="0"/>
              <w:bottom w:val="single" w:color="000000" w:sz="8" w:space="0"/>
            </w:tcBorders>
            <w:noWrap/>
            <w:vAlign w:val="center"/>
          </w:tcPr>
          <w:p>
            <w:pPr>
              <w:widowControl/>
              <w:snapToGrid w:val="0"/>
              <w:jc w:val="center"/>
              <w:textAlignment w:val="center"/>
              <w:rPr>
                <w:rFonts w:eastAsia="黑体"/>
                <w:color w:val="000000" w:themeColor="text1"/>
                <w:kern w:val="0"/>
                <w:szCs w:val="21"/>
                <w:lang w:bidi="ar"/>
                <w14:textFill>
                  <w14:solidFill>
                    <w14:schemeClr w14:val="tx1"/>
                  </w14:solidFill>
                </w14:textFill>
              </w:rPr>
            </w:pPr>
            <w:r>
              <w:rPr>
                <w:rFonts w:eastAsia="黑体"/>
                <w:color w:val="000000" w:themeColor="text1"/>
                <w:kern w:val="0"/>
                <w:szCs w:val="21"/>
                <w:lang w:bidi="ar"/>
                <w14:textFill>
                  <w14:solidFill>
                    <w14:schemeClr w14:val="tx1"/>
                  </w14:solidFill>
                </w14:textFill>
              </w:rPr>
              <w:t>完成率</w:t>
            </w:r>
          </w:p>
          <w:p>
            <w:pPr>
              <w:widowControl/>
              <w:snapToGrid w:val="0"/>
              <w:jc w:val="center"/>
              <w:textAlignment w:val="center"/>
              <w:rPr>
                <w:rFonts w:eastAsia="黑体"/>
                <w:color w:val="000000" w:themeColor="text1"/>
                <w:kern w:val="0"/>
                <w:szCs w:val="21"/>
                <w:lang w:bidi="ar"/>
                <w14:textFill>
                  <w14:solidFill>
                    <w14:schemeClr w14:val="tx1"/>
                  </w14:solidFill>
                </w14:textFill>
              </w:rPr>
            </w:pPr>
            <w:r>
              <w:rPr>
                <w:rFonts w:eastAsia="黑体"/>
                <w:color w:val="000000" w:themeColor="text1"/>
                <w:kern w:val="0"/>
                <w:szCs w:val="21"/>
                <w:lang w:bidi="ar"/>
                <w14:textFill>
                  <w14:solidFill>
                    <w14:schemeClr w14:val="tx1"/>
                  </w14:solidFill>
                </w14:textFill>
              </w:rPr>
              <w:t>（%）</w:t>
            </w:r>
          </w:p>
        </w:tc>
        <w:tc>
          <w:tcPr>
            <w:tcW w:w="937" w:type="pct"/>
            <w:tcBorders>
              <w:top w:val="single" w:color="000000" w:sz="8" w:space="0"/>
              <w:bottom w:val="single" w:color="000000" w:sz="8" w:space="0"/>
            </w:tcBorders>
            <w:noWrap/>
            <w:vAlign w:val="center"/>
          </w:tcPr>
          <w:p>
            <w:pPr>
              <w:widowControl/>
              <w:snapToGrid w:val="0"/>
              <w:jc w:val="center"/>
              <w:textAlignment w:val="center"/>
              <w:rPr>
                <w:rFonts w:eastAsia="黑体"/>
                <w:color w:val="000000" w:themeColor="text1"/>
                <w:szCs w:val="21"/>
                <w14:textFill>
                  <w14:solidFill>
                    <w14:schemeClr w14:val="tx1"/>
                  </w14:solidFill>
                </w14:textFill>
              </w:rPr>
            </w:pPr>
            <w:r>
              <w:rPr>
                <w:rFonts w:eastAsia="黑体"/>
                <w:color w:val="000000" w:themeColor="text1"/>
                <w:kern w:val="0"/>
                <w:szCs w:val="21"/>
                <w:lang w:bidi="ar"/>
                <w14:textFill>
                  <w14:solidFill>
                    <w14:schemeClr w14:val="tx1"/>
                  </w14:solidFill>
                </w14:textFill>
              </w:rPr>
              <w:t>未能完成预期值的原因</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9" w:type="pct"/>
            <w:vMerge w:val="restart"/>
            <w:tcBorders>
              <w:top w:val="single" w:color="000000" w:sz="8" w:space="0"/>
            </w:tcBorders>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社会效益指标</w:t>
            </w:r>
          </w:p>
        </w:tc>
        <w:tc>
          <w:tcPr>
            <w:tcW w:w="1465" w:type="pct"/>
            <w:tcBorders>
              <w:top w:val="single" w:color="000000" w:sz="8" w:space="0"/>
            </w:tcBorders>
            <w:vAlign w:val="center"/>
          </w:tcPr>
          <w:p>
            <w:pPr>
              <w:widowControl/>
              <w:snapToGrid w:val="0"/>
              <w:jc w:val="center"/>
              <w:textAlignment w:val="center"/>
              <w:rPr>
                <w:color w:val="000000" w:themeColor="text1"/>
                <w:szCs w:val="21"/>
                <w14:textFill>
                  <w14:solidFill>
                    <w14:schemeClr w14:val="tx1"/>
                  </w14:solidFill>
                </w14:textFill>
              </w:rPr>
            </w:pPr>
            <w:r>
              <w:t>平均运行无故障（%）</w:t>
            </w:r>
          </w:p>
        </w:tc>
        <w:tc>
          <w:tcPr>
            <w:tcW w:w="705" w:type="pct"/>
            <w:tcBorders>
              <w:top w:val="single" w:color="000000" w:sz="8" w:space="0"/>
            </w:tcBorders>
            <w:vAlign w:val="center"/>
          </w:tcPr>
          <w:p>
            <w:pPr>
              <w:widowControl/>
              <w:snapToGrid w:val="0"/>
              <w:jc w:val="center"/>
              <w:textAlignment w:val="center"/>
              <w:rPr>
                <w:color w:val="000000" w:themeColor="text1"/>
                <w:szCs w:val="21"/>
                <w14:textFill>
                  <w14:solidFill>
                    <w14:schemeClr w14:val="tx1"/>
                  </w14:solidFill>
                </w14:textFill>
              </w:rPr>
            </w:pPr>
            <w:r>
              <w:t>≥96%</w:t>
            </w:r>
          </w:p>
        </w:tc>
        <w:tc>
          <w:tcPr>
            <w:tcW w:w="707" w:type="pct"/>
            <w:tcBorders>
              <w:top w:val="single" w:color="000000" w:sz="8" w:space="0"/>
            </w:tcBorders>
            <w:vAlign w:val="center"/>
          </w:tcPr>
          <w:p>
            <w:pPr>
              <w:widowControl/>
              <w:snapToGrid w:val="0"/>
              <w:jc w:val="center"/>
              <w:textAlignment w:val="center"/>
              <w:rPr>
                <w:color w:val="000000" w:themeColor="text1"/>
                <w:szCs w:val="21"/>
                <w14:textFill>
                  <w14:solidFill>
                    <w14:schemeClr w14:val="tx1"/>
                  </w14:solidFill>
                </w14:textFill>
              </w:rPr>
            </w:pPr>
            <w:r>
              <w:t>100%</w:t>
            </w:r>
          </w:p>
        </w:tc>
        <w:tc>
          <w:tcPr>
            <w:tcW w:w="707" w:type="pct"/>
            <w:tcBorders>
              <w:top w:val="single" w:color="000000" w:sz="8" w:space="0"/>
            </w:tcBorders>
            <w:vAlign w:val="center"/>
          </w:tcPr>
          <w:p>
            <w:pPr>
              <w:widowControl/>
              <w:snapToGrid w:val="0"/>
              <w:jc w:val="center"/>
              <w:textAlignment w:val="center"/>
              <w:rPr>
                <w:color w:val="000000" w:themeColor="text1"/>
                <w:kern w:val="0"/>
                <w:szCs w:val="21"/>
                <w:lang w:bidi="ar"/>
                <w14:textFill>
                  <w14:solidFill>
                    <w14:schemeClr w14:val="tx1"/>
                  </w14:solidFill>
                </w14:textFill>
              </w:rPr>
            </w:pPr>
            <w:r>
              <w:t>100%</w:t>
            </w:r>
          </w:p>
        </w:tc>
        <w:tc>
          <w:tcPr>
            <w:tcW w:w="937" w:type="pct"/>
            <w:tcBorders>
              <w:top w:val="single" w:color="000000" w:sz="8" w:space="0"/>
            </w:tcBorders>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9" w:type="pct"/>
            <w:vMerge w:val="continue"/>
            <w:vAlign w:val="center"/>
          </w:tcPr>
          <w:p>
            <w:pPr>
              <w:widowControl/>
              <w:snapToGrid w:val="0"/>
              <w:jc w:val="center"/>
              <w:rPr>
                <w:color w:val="000000" w:themeColor="text1"/>
                <w:szCs w:val="21"/>
                <w14:textFill>
                  <w14:solidFill>
                    <w14:schemeClr w14:val="tx1"/>
                  </w14:solidFill>
                </w14:textFill>
              </w:rPr>
            </w:pPr>
          </w:p>
        </w:tc>
        <w:tc>
          <w:tcPr>
            <w:tcW w:w="1465" w:type="pct"/>
            <w:vAlign w:val="center"/>
          </w:tcPr>
          <w:p>
            <w:pPr>
              <w:widowControl/>
              <w:snapToGrid w:val="0"/>
              <w:jc w:val="center"/>
              <w:textAlignment w:val="center"/>
              <w:rPr>
                <w:color w:val="000000" w:themeColor="text1"/>
                <w:szCs w:val="21"/>
                <w14:textFill>
                  <w14:solidFill>
                    <w14:schemeClr w14:val="tx1"/>
                  </w14:solidFill>
                </w14:textFill>
              </w:rPr>
            </w:pPr>
            <w:r>
              <w:t>安全事故发生数（起）</w:t>
            </w:r>
          </w:p>
        </w:tc>
        <w:tc>
          <w:tcPr>
            <w:tcW w:w="705" w:type="pct"/>
            <w:vAlign w:val="center"/>
          </w:tcPr>
          <w:p>
            <w:pPr>
              <w:widowControl/>
              <w:snapToGrid w:val="0"/>
              <w:jc w:val="center"/>
              <w:textAlignment w:val="center"/>
              <w:rPr>
                <w:color w:val="000000" w:themeColor="text1"/>
                <w:szCs w:val="21"/>
                <w14:textFill>
                  <w14:solidFill>
                    <w14:schemeClr w14:val="tx1"/>
                  </w14:solidFill>
                </w14:textFill>
              </w:rPr>
            </w:pPr>
            <w:r>
              <w:t>0</w:t>
            </w:r>
          </w:p>
        </w:tc>
        <w:tc>
          <w:tcPr>
            <w:tcW w:w="707" w:type="pct"/>
            <w:vAlign w:val="center"/>
          </w:tcPr>
          <w:p>
            <w:pPr>
              <w:widowControl/>
              <w:snapToGrid w:val="0"/>
              <w:jc w:val="center"/>
              <w:textAlignment w:val="center"/>
              <w:rPr>
                <w:color w:val="000000" w:themeColor="text1"/>
                <w:szCs w:val="21"/>
                <w14:textFill>
                  <w14:solidFill>
                    <w14:schemeClr w14:val="tx1"/>
                  </w14:solidFill>
                </w14:textFill>
              </w:rPr>
            </w:pPr>
            <w:r>
              <w:t>0</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100%</w:t>
            </w:r>
          </w:p>
        </w:tc>
        <w:tc>
          <w:tcPr>
            <w:tcW w:w="937" w:type="pct"/>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9" w:type="pct"/>
            <w:vMerge w:val="continue"/>
            <w:vAlign w:val="center"/>
          </w:tcPr>
          <w:p>
            <w:pPr>
              <w:widowControl/>
              <w:snapToGrid w:val="0"/>
              <w:jc w:val="center"/>
              <w:rPr>
                <w:color w:val="000000" w:themeColor="text1"/>
                <w:szCs w:val="21"/>
                <w14:textFill>
                  <w14:solidFill>
                    <w14:schemeClr w14:val="tx1"/>
                  </w14:solidFill>
                </w14:textFill>
              </w:rPr>
            </w:pPr>
          </w:p>
        </w:tc>
        <w:tc>
          <w:tcPr>
            <w:tcW w:w="1465" w:type="pct"/>
            <w:vAlign w:val="center"/>
          </w:tcPr>
          <w:p>
            <w:pPr>
              <w:widowControl/>
              <w:snapToGrid w:val="0"/>
              <w:jc w:val="center"/>
              <w:textAlignment w:val="center"/>
              <w:rPr>
                <w:color w:val="000000" w:themeColor="text1"/>
                <w:szCs w:val="21"/>
                <w14:textFill>
                  <w14:solidFill>
                    <w14:schemeClr w14:val="tx1"/>
                  </w14:solidFill>
                </w14:textFill>
              </w:rPr>
            </w:pPr>
            <w:r>
              <w:t>政策执行跟踪反馈覆盖率（%）</w:t>
            </w:r>
          </w:p>
        </w:tc>
        <w:tc>
          <w:tcPr>
            <w:tcW w:w="705" w:type="pct"/>
            <w:vAlign w:val="center"/>
          </w:tcPr>
          <w:p>
            <w:pPr>
              <w:widowControl/>
              <w:snapToGrid w:val="0"/>
              <w:jc w:val="center"/>
              <w:textAlignment w:val="center"/>
              <w:rPr>
                <w:color w:val="000000" w:themeColor="text1"/>
                <w:szCs w:val="21"/>
                <w14:textFill>
                  <w14:solidFill>
                    <w14:schemeClr w14:val="tx1"/>
                  </w14:solidFill>
                </w14:textFill>
              </w:rPr>
            </w:pPr>
            <w:r>
              <w:t>100%</w:t>
            </w:r>
          </w:p>
        </w:tc>
        <w:tc>
          <w:tcPr>
            <w:tcW w:w="707" w:type="pct"/>
            <w:vAlign w:val="center"/>
          </w:tcPr>
          <w:p>
            <w:pPr>
              <w:widowControl/>
              <w:snapToGrid w:val="0"/>
              <w:jc w:val="center"/>
              <w:textAlignment w:val="center"/>
              <w:rPr>
                <w:color w:val="000000" w:themeColor="text1"/>
                <w:szCs w:val="21"/>
                <w14:textFill>
                  <w14:solidFill>
                    <w14:schemeClr w14:val="tx1"/>
                  </w14:solidFill>
                </w14:textFill>
              </w:rPr>
            </w:pPr>
            <w:r>
              <w:t>100%</w:t>
            </w:r>
          </w:p>
        </w:tc>
        <w:tc>
          <w:tcPr>
            <w:tcW w:w="707" w:type="pct"/>
            <w:vAlign w:val="center"/>
          </w:tcPr>
          <w:p>
            <w:pPr>
              <w:widowControl/>
              <w:snapToGrid w:val="0"/>
              <w:jc w:val="center"/>
              <w:textAlignment w:val="center"/>
              <w:rPr>
                <w:color w:val="000000" w:themeColor="text1"/>
                <w:kern w:val="0"/>
                <w:szCs w:val="21"/>
                <w:lang w:bidi="ar"/>
                <w14:textFill>
                  <w14:solidFill>
                    <w14:schemeClr w14:val="tx1"/>
                  </w14:solidFill>
                </w14:textFill>
              </w:rPr>
            </w:pPr>
            <w:r>
              <w:t>100%</w:t>
            </w:r>
          </w:p>
        </w:tc>
        <w:tc>
          <w:tcPr>
            <w:tcW w:w="937" w:type="pct"/>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9" w:type="pct"/>
            <w:vMerge w:val="continue"/>
            <w:tcBorders>
              <w:bottom w:val="single" w:color="auto" w:sz="8" w:space="0"/>
            </w:tcBorders>
            <w:vAlign w:val="center"/>
          </w:tcPr>
          <w:p>
            <w:pPr>
              <w:widowControl/>
              <w:snapToGrid w:val="0"/>
              <w:jc w:val="center"/>
              <w:rPr>
                <w:color w:val="000000" w:themeColor="text1"/>
                <w:szCs w:val="21"/>
                <w14:textFill>
                  <w14:solidFill>
                    <w14:schemeClr w14:val="tx1"/>
                  </w14:solidFill>
                </w14:textFill>
              </w:rPr>
            </w:pPr>
          </w:p>
        </w:tc>
        <w:tc>
          <w:tcPr>
            <w:tcW w:w="1465" w:type="pct"/>
            <w:tcBorders>
              <w:bottom w:val="single" w:color="auto" w:sz="8" w:space="0"/>
            </w:tcBorders>
            <w:vAlign w:val="center"/>
          </w:tcPr>
          <w:p>
            <w:pPr>
              <w:widowControl/>
              <w:snapToGrid w:val="0"/>
              <w:jc w:val="center"/>
              <w:textAlignment w:val="center"/>
              <w:rPr>
                <w:color w:val="000000" w:themeColor="text1"/>
                <w:szCs w:val="21"/>
                <w14:textFill>
                  <w14:solidFill>
                    <w14:schemeClr w14:val="tx1"/>
                  </w14:solidFill>
                </w14:textFill>
              </w:rPr>
            </w:pPr>
            <w:r>
              <w:t>有利于提高工作效率（是/否）</w:t>
            </w:r>
          </w:p>
        </w:tc>
        <w:tc>
          <w:tcPr>
            <w:tcW w:w="705" w:type="pct"/>
            <w:tcBorders>
              <w:bottom w:val="single" w:color="auto" w:sz="8" w:space="0"/>
            </w:tcBorders>
            <w:vAlign w:val="center"/>
          </w:tcPr>
          <w:p>
            <w:pPr>
              <w:widowControl/>
              <w:snapToGrid w:val="0"/>
              <w:jc w:val="center"/>
              <w:textAlignment w:val="center"/>
              <w:rPr>
                <w:color w:val="000000" w:themeColor="text1"/>
                <w:szCs w:val="21"/>
                <w14:textFill>
                  <w14:solidFill>
                    <w14:schemeClr w14:val="tx1"/>
                  </w14:solidFill>
                </w14:textFill>
              </w:rPr>
            </w:pPr>
            <w:r>
              <w:t>是</w:t>
            </w:r>
          </w:p>
        </w:tc>
        <w:tc>
          <w:tcPr>
            <w:tcW w:w="707" w:type="pct"/>
            <w:tcBorders>
              <w:bottom w:val="single" w:color="auto" w:sz="8" w:space="0"/>
            </w:tcBorders>
            <w:vAlign w:val="center"/>
          </w:tcPr>
          <w:p>
            <w:pPr>
              <w:widowControl/>
              <w:snapToGrid w:val="0"/>
              <w:jc w:val="center"/>
              <w:textAlignment w:val="center"/>
              <w:rPr>
                <w:color w:val="000000" w:themeColor="text1"/>
                <w:szCs w:val="21"/>
                <w14:textFill>
                  <w14:solidFill>
                    <w14:schemeClr w14:val="tx1"/>
                  </w14:solidFill>
                </w14:textFill>
              </w:rPr>
            </w:pPr>
            <w:r>
              <w:t>是</w:t>
            </w:r>
          </w:p>
        </w:tc>
        <w:tc>
          <w:tcPr>
            <w:tcW w:w="707" w:type="pct"/>
            <w:tcBorders>
              <w:bottom w:val="single" w:color="auto" w:sz="8" w:space="0"/>
            </w:tcBorders>
            <w:vAlign w:val="center"/>
          </w:tcPr>
          <w:p>
            <w:pPr>
              <w:widowControl/>
              <w:snapToGrid w:val="0"/>
              <w:jc w:val="center"/>
              <w:textAlignment w:val="center"/>
              <w:rPr>
                <w:color w:val="000000" w:themeColor="text1"/>
                <w:kern w:val="0"/>
                <w:szCs w:val="21"/>
                <w:lang w:bidi="ar"/>
                <w14:textFill>
                  <w14:solidFill>
                    <w14:schemeClr w14:val="tx1"/>
                  </w14:solidFill>
                </w14:textFill>
              </w:rPr>
            </w:pPr>
            <w:r>
              <w:t>100%</w:t>
            </w:r>
          </w:p>
        </w:tc>
        <w:tc>
          <w:tcPr>
            <w:tcW w:w="937" w:type="pct"/>
            <w:tcBorders>
              <w:bottom w:val="single" w:color="auto" w:sz="8" w:space="0"/>
            </w:tcBorders>
            <w:vAlign w:val="center"/>
          </w:tcPr>
          <w:p>
            <w:pPr>
              <w:widowControl/>
              <w:snapToGrid w:val="0"/>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w:t>
            </w:r>
          </w:p>
        </w:tc>
      </w:tr>
    </w:tbl>
    <w:p>
      <w:pPr>
        <w:pStyle w:val="5"/>
        <w:spacing w:line="579" w:lineRule="exact"/>
        <w:ind w:firstLine="642" w:firstLineChars="200"/>
        <w:jc w:val="both"/>
        <w:outlineLvl w:val="2"/>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2．项目效能</w:t>
      </w:r>
    </w:p>
    <w:p>
      <w:pPr>
        <w:pStyle w:val="5"/>
        <w:spacing w:line="579" w:lineRule="exact"/>
        <w:ind w:firstLine="642" w:firstLineChars="200"/>
        <w:jc w:val="both"/>
        <w:outlineLvl w:val="3"/>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（1）“百千万工程”指挥部办公室任务完成率</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百千万工程”指挥部办公室年初共设置18项任务目标，主要目标有调研、督导次数（2周1次）；成立督导工作组（1组）；拍摄江门市“百县千镇万村”工作成效宣传片时长（≥15分钟）；省级纸媒版面（≥1版）；市级纸媒版面（≥2版）等。其中已完成任务共11项；未完成任务2项（调研、督导次数（2024年完成9次，未实现2周1次的目标）、开设“奋战百千万镇街勇争先”专栏）；未见相关佐证材料或已提供材料不能佐证任务完成情况的5项。</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该指标总分值为2分，得分=11/18*2=1.22分。</w:t>
      </w:r>
    </w:p>
    <w:p>
      <w:pPr>
        <w:pStyle w:val="5"/>
        <w:spacing w:line="579" w:lineRule="exact"/>
        <w:ind w:firstLine="642" w:firstLineChars="200"/>
        <w:jc w:val="both"/>
        <w:outlineLvl w:val="3"/>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（2）“百千万工程”指挥部办公室任务战略目标匹配率</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①</w:t>
      </w:r>
      <w:r>
        <w:rPr>
          <w:rFonts w:ascii="Times New Roman" w:cs="Times New Roman"/>
          <w:color w:val="000000" w:themeColor="text1"/>
          <w:sz w:val="32"/>
          <w:szCs w:val="32"/>
          <w14:textFill>
            <w14:solidFill>
              <w14:schemeClr w14:val="tx1"/>
            </w14:solidFill>
          </w14:textFill>
        </w:rPr>
        <w:t>2024年</w:t>
      </w:r>
      <w:bookmarkStart w:id="73" w:name="OLE_LINK4"/>
      <w:r>
        <w:rPr>
          <w:rFonts w:ascii="Times New Roman" w:cs="Times New Roman"/>
          <w:color w:val="000000" w:themeColor="text1"/>
          <w:sz w:val="32"/>
          <w:szCs w:val="32"/>
          <w14:textFill>
            <w14:solidFill>
              <w14:schemeClr w14:val="tx1"/>
            </w14:solidFill>
          </w14:textFill>
        </w:rPr>
        <w:t>“百千万工程”指挥部办公室</w:t>
      </w:r>
      <w:bookmarkEnd w:id="73"/>
      <w:r>
        <w:rPr>
          <w:rFonts w:ascii="Times New Roman" w:cs="Times New Roman"/>
          <w:color w:val="000000" w:themeColor="text1"/>
          <w:sz w:val="32"/>
          <w:szCs w:val="32"/>
          <w14:textFill>
            <w14:solidFill>
              <w14:schemeClr w14:val="tx1"/>
            </w14:solidFill>
          </w14:textFill>
        </w:rPr>
        <w:t>各组工作均围绕市全面推进“百千万工程”促进城乡区域协调发展工作要点展开，主要为“坚持以习近平新时代中国特色社会主义思想为指导，全面落实党的二十大精神，深入学习贯彻习近平总书记视察广东重要讲话、重要指示精神，细化落实省委“1310”具体部署和市委“1+6+3”工作安排，深化运用“千万工程”经验，乘势而上、攻坚克难，多方协同、全面突破，统筹推进县域高质量发展、城镇提能升级、和美丽乡村建设和城乡融合发展，全面兴起“百千万工程”建设热潮，加快培育发展新质生产力，切实打赢打好几场事关全局的大仗硬仗，力争三年目标两年实现，奋力开创江门城乡区域协调发展新局面。</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②</w:t>
      </w:r>
      <w:r>
        <w:rPr>
          <w:rFonts w:ascii="Times New Roman" w:cs="Times New Roman"/>
          <w:color w:val="000000" w:themeColor="text1"/>
          <w:sz w:val="32"/>
          <w:szCs w:val="32"/>
          <w14:textFill>
            <w14:solidFill>
              <w14:schemeClr w14:val="tx1"/>
            </w14:solidFill>
          </w14:textFill>
        </w:rPr>
        <w:t>江门市“百千万工程”具体工作内容主要根据《江门市推动“百千万工程”实现“三年初见成效”标志性成果统计表》进行推进，工作主要包含26项县域高质量发展目标、9项乡镇提能升级目标、20项乡村全面振兴目标、12项城乡融合发展目标和7项各方力量动员目标。</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③</w:t>
      </w:r>
      <w:r>
        <w:rPr>
          <w:rFonts w:ascii="Times New Roman" w:cs="Times New Roman"/>
          <w:color w:val="000000" w:themeColor="text1"/>
          <w:sz w:val="32"/>
          <w:szCs w:val="32"/>
          <w14:textFill>
            <w14:solidFill>
              <w14:schemeClr w14:val="tx1"/>
            </w14:solidFill>
          </w14:textFill>
        </w:rPr>
        <w:t>结合“百千万工程”指挥部办公室各组2024年工作总结，“百千万工程”指挥部办公室各项任务及支出均与国家、省级、市级战略目标匹配。</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该指标总分值为4分，得4分。</w:t>
      </w:r>
    </w:p>
    <w:p>
      <w:pPr>
        <w:pStyle w:val="5"/>
        <w:spacing w:line="579" w:lineRule="exact"/>
        <w:ind w:firstLine="642" w:firstLineChars="200"/>
        <w:jc w:val="both"/>
        <w:outlineLvl w:val="3"/>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（3）“百千万工程”统筹督查有效性</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①</w:t>
      </w:r>
      <w:r>
        <w:rPr>
          <w:rFonts w:ascii="Times New Roman" w:cs="Times New Roman"/>
          <w:color w:val="000000" w:themeColor="text1"/>
          <w:sz w:val="32"/>
          <w:szCs w:val="32"/>
          <w14:textFill>
            <w14:solidFill>
              <w14:schemeClr w14:val="tx1"/>
            </w14:solidFill>
          </w14:textFill>
        </w:rPr>
        <w:t>《江门市“百县千镇万村高质量发展工程”指挥部办公室关于印发〈江门市“百县千镇万村高质量发展工程”指挥部办公室工作规则（试行）〉的通知》（江“百千万工程”指挥办发〔2023〕7号）明确了“百千万工程”指挥部办公室总体职责任务和各组具体职责。此项分值2分，得2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②</w:t>
      </w:r>
      <w:r>
        <w:rPr>
          <w:rFonts w:ascii="Times New Roman" w:cs="Times New Roman"/>
          <w:color w:val="000000" w:themeColor="text1"/>
          <w:sz w:val="32"/>
          <w:szCs w:val="32"/>
          <w14:textFill>
            <w14:solidFill>
              <w14:schemeClr w14:val="tx1"/>
            </w14:solidFill>
          </w14:textFill>
        </w:rPr>
        <w:t>“百千万工程”指挥部办公室制定了《2024年度江门市实施“百县千镇万村高质量发展工程”考核评分细则（市有关单位）》和《2024年度江门市实施“百县千镇万村高质量发展工程”考核评分细则（县市区）》，部门督促指导、考核评估等方式多样；</w:t>
      </w:r>
      <w:bookmarkStart w:id="74" w:name="OLE_LINK32"/>
      <w:r>
        <w:rPr>
          <w:rFonts w:ascii="Times New Roman" w:cs="Times New Roman"/>
          <w:color w:val="000000" w:themeColor="text1"/>
          <w:sz w:val="32"/>
          <w:szCs w:val="32"/>
          <w14:textFill>
            <w14:solidFill>
              <w14:schemeClr w14:val="tx1"/>
            </w14:solidFill>
          </w14:textFill>
        </w:rPr>
        <w:t>但根据已收集到的统筹督查材料，2024年上半年工作开展情况待完善</w:t>
      </w:r>
      <w:bookmarkEnd w:id="74"/>
      <w:r>
        <w:rPr>
          <w:rFonts w:ascii="Times New Roman" w:cs="Times New Roman"/>
          <w:color w:val="000000" w:themeColor="text1"/>
          <w:sz w:val="32"/>
          <w:szCs w:val="32"/>
          <w14:textFill>
            <w14:solidFill>
              <w14:schemeClr w14:val="tx1"/>
            </w14:solidFill>
          </w14:textFill>
        </w:rPr>
        <w:t>。此项分值1分，得0.5分。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③</w:t>
      </w:r>
      <w:r>
        <w:rPr>
          <w:rFonts w:ascii="Times New Roman" w:cs="Times New Roman"/>
          <w:color w:val="000000" w:themeColor="text1"/>
          <w:sz w:val="32"/>
          <w:szCs w:val="32"/>
          <w14:textFill>
            <w14:solidFill>
              <w14:schemeClr w14:val="tx1"/>
            </w14:solidFill>
          </w14:textFill>
        </w:rPr>
        <w:t>根据《江门市“百千万工程”全覆盖大督查工作简报》和《全覆盖大督查记录清单》等督查考评记录，“百千万工程”指挥部办公室基本能够落实对实施部门的相关职责并及时督促整改，但对江门市“百县千镇万村高质量发展工程”考核奖励资金的指导监督工作中，仍有未落实到位的情况，例如：江门市级财政已下达考核奖励资金377.5万元，但截至2025年5月，各镇村仍有95.63万元尚未支出，督促指导工作落实不到位。此项分值2分，得1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该指标总分值为5分，得3.5分。</w:t>
      </w:r>
    </w:p>
    <w:p>
      <w:pPr>
        <w:pStyle w:val="5"/>
        <w:spacing w:line="579" w:lineRule="exact"/>
        <w:ind w:firstLine="642" w:firstLineChars="200"/>
        <w:jc w:val="both"/>
        <w:outlineLvl w:val="3"/>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（4）采购、购买服务任务完成率</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根据《2024年政府采购项目计划》，市委政研室2024年计划政府集中采供项目共23项，实际完成政府集中采供项目23项，完成率100%。</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该指标总分值为2分，得2分。</w:t>
      </w:r>
    </w:p>
    <w:p>
      <w:pPr>
        <w:pStyle w:val="5"/>
        <w:spacing w:line="579" w:lineRule="exact"/>
        <w:ind w:firstLine="642" w:firstLineChars="200"/>
        <w:jc w:val="both"/>
        <w:outlineLvl w:val="3"/>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（5）采购、购买服务验收通过率</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①</w:t>
      </w:r>
      <w:r>
        <w:rPr>
          <w:rFonts w:ascii="Times New Roman" w:cs="Times New Roman"/>
          <w:color w:val="000000" w:themeColor="text1"/>
          <w:sz w:val="32"/>
          <w:szCs w:val="32"/>
          <w14:textFill>
            <w14:solidFill>
              <w14:schemeClr w14:val="tx1"/>
            </w14:solidFill>
          </w14:textFill>
        </w:rPr>
        <w:t>2024年市委政研室共有23项政府集中采购项目，采购项目均在合同中体现了验收标准，且验收标准比较明确；2024年市委政研室共有4项课题委托验收项目，合同中规定了按照《市委政研室委托课题管理暂行办法（修订）》进行验收，验收标准明确</w:t>
      </w:r>
      <w:r>
        <w:rPr>
          <w:rFonts w:hint="eastAsia" w:ascii="Times New Roman" w:cs="Times New Roman"/>
          <w:color w:val="000000" w:themeColor="text1"/>
          <w:sz w:val="32"/>
          <w:szCs w:val="32"/>
          <w14:textFill>
            <w14:solidFill>
              <w14:schemeClr w14:val="tx1"/>
            </w14:solidFill>
          </w14:textFill>
        </w:rPr>
        <w:t>。</w:t>
      </w:r>
      <w:r>
        <w:rPr>
          <w:rFonts w:ascii="Times New Roman" w:cs="Times New Roman"/>
          <w:color w:val="000000" w:themeColor="text1"/>
          <w:sz w:val="32"/>
          <w:szCs w:val="32"/>
          <w14:textFill>
            <w14:solidFill>
              <w14:schemeClr w14:val="tx1"/>
            </w14:solidFill>
          </w14:textFill>
        </w:rPr>
        <w:t>此项分值2分，</w:t>
      </w:r>
      <w:bookmarkStart w:id="75" w:name="OLE_LINK33"/>
      <w:r>
        <w:rPr>
          <w:rFonts w:ascii="Times New Roman" w:cs="Times New Roman"/>
          <w:color w:val="000000" w:themeColor="text1"/>
          <w:sz w:val="32"/>
          <w:szCs w:val="32"/>
          <w14:textFill>
            <w14:solidFill>
              <w14:schemeClr w14:val="tx1"/>
            </w14:solidFill>
          </w14:textFill>
        </w:rPr>
        <w:t>得2分</w:t>
      </w:r>
      <w:bookmarkEnd w:id="75"/>
      <w:r>
        <w:rPr>
          <w:rFonts w:ascii="Times New Roman" w:cs="Times New Roman"/>
          <w:color w:val="000000" w:themeColor="text1"/>
          <w:sz w:val="32"/>
          <w:szCs w:val="32"/>
          <w14:textFill>
            <w14:solidFill>
              <w14:schemeClr w14:val="tx1"/>
            </w14:solidFill>
          </w14:textFill>
        </w:rPr>
        <w:t>。</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②</w:t>
      </w:r>
      <w:r>
        <w:rPr>
          <w:rFonts w:ascii="Times New Roman" w:cs="Times New Roman"/>
          <w:color w:val="000000" w:themeColor="text1"/>
          <w:sz w:val="32"/>
          <w:szCs w:val="32"/>
          <w14:textFill>
            <w14:solidFill>
              <w14:schemeClr w14:val="tx1"/>
            </w14:solidFill>
          </w14:textFill>
        </w:rPr>
        <w:t>23项政府集中采购项目，部门提供的资料中共包含23个项目的履约验收结果资料；4项课题委托项目均有《市委政研室委托课题管理暂行办法（修订）》中规定的委托课题成果验收流程中的验收资料。此项分值2分，得2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该指标总分值为4分，得4分。</w:t>
      </w:r>
    </w:p>
    <w:p>
      <w:pPr>
        <w:pStyle w:val="5"/>
        <w:spacing w:line="579" w:lineRule="exact"/>
        <w:ind w:firstLine="642" w:firstLineChars="200"/>
        <w:jc w:val="both"/>
        <w:outlineLvl w:val="3"/>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（6）刊物编发数量</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市委政研室2024年编印6期《江门调研》、8期《决策参考》、1期《财经专报》、29期《决策信息》，</w:t>
      </w:r>
      <w:bookmarkStart w:id="76" w:name="OLE_LINK21"/>
      <w:r>
        <w:rPr>
          <w:rFonts w:ascii="Times New Roman" w:cs="Times New Roman"/>
          <w:color w:val="000000" w:themeColor="text1"/>
          <w:sz w:val="32"/>
          <w:szCs w:val="32"/>
          <w14:textFill>
            <w14:solidFill>
              <w14:schemeClr w14:val="tx1"/>
            </w14:solidFill>
          </w14:textFill>
        </w:rPr>
        <w:t>13期《江门市“百千万工程”全覆盖大督查简报》</w:t>
      </w:r>
      <w:r>
        <w:rPr>
          <w:rFonts w:hint="eastAsia" w:ascii="Times New Roman" w:cs="Times New Roman"/>
          <w:color w:val="000000" w:themeColor="text1"/>
          <w:sz w:val="32"/>
          <w:szCs w:val="32"/>
          <w14:textFill>
            <w14:solidFill>
              <w14:schemeClr w14:val="tx1"/>
            </w14:solidFill>
          </w14:textFill>
        </w:rPr>
        <w:t>（</w:t>
      </w:r>
      <w:r>
        <w:rPr>
          <w:rFonts w:ascii="Times New Roman" w:cs="Times New Roman"/>
          <w:color w:val="000000" w:themeColor="text1"/>
          <w:sz w:val="32"/>
          <w:szCs w:val="32"/>
          <w14:textFill>
            <w14:solidFill>
              <w14:schemeClr w14:val="tx1"/>
            </w14:solidFill>
          </w14:textFill>
        </w:rPr>
        <w:t>《江门改革督查情况》已并入《江门市“百千万工程”全覆盖大督查简报》，不再单独刊发《江门改革督查情况》</w:t>
      </w:r>
      <w:r>
        <w:rPr>
          <w:rFonts w:hint="eastAsia" w:ascii="Times New Roman" w:cs="Times New Roman"/>
          <w:color w:val="000000" w:themeColor="text1"/>
          <w:sz w:val="32"/>
          <w:szCs w:val="32"/>
          <w14:textFill>
            <w14:solidFill>
              <w14:schemeClr w14:val="tx1"/>
            </w14:solidFill>
          </w14:textFill>
        </w:rPr>
        <w:t>）</w:t>
      </w:r>
      <w:bookmarkEnd w:id="76"/>
      <w:r>
        <w:rPr>
          <w:rFonts w:ascii="Times New Roman" w:cs="Times New Roman"/>
          <w:color w:val="000000" w:themeColor="text1"/>
          <w:sz w:val="32"/>
          <w:szCs w:val="32"/>
          <w14:textFill>
            <w14:solidFill>
              <w14:schemeClr w14:val="tx1"/>
            </w14:solidFill>
          </w14:textFill>
        </w:rPr>
        <w:t>。</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该指标总分值为8分，得分=（6+8+1+29+13）/88*8=5.18分。</w:t>
      </w:r>
    </w:p>
    <w:p>
      <w:pPr>
        <w:pStyle w:val="5"/>
        <w:spacing w:line="579" w:lineRule="exact"/>
        <w:ind w:firstLine="642" w:firstLineChars="200"/>
        <w:jc w:val="both"/>
        <w:outlineLvl w:val="3"/>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（7）编印研究成果指导性</w:t>
      </w:r>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2024年市委政研室24篇文稿在《广东调研》等省级以上刊物刊登，1篇在中央政策研究室主办刊物发表，体现出市委政研室在政策研究和决策咨询等方面的专业能力与工作成效。</w:t>
      </w:r>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通过对已收到的刊物领导批示情况进行系统梳理和分析发现，各级领导对编印刊物的内容给予了较高关注，并作出明确、详细的指导部署。例如《财经专报》中《学习借鉴岳阳市“三资”改革经验 激活江门国有资源资产资本增长潜力》，市领导给予了详细批示》：“请世雷同志、财政局、国资委、各县（市、区）阅研，深挖资产盘活潜力。近期重点攻坚任务是人防车位，请世雷通知、国动办、财政局抓紧研究，加快推进。”批示内容体现了刊物内容对实际工作的重要指导价值。</w:t>
      </w:r>
    </w:p>
    <w:p>
      <w:pPr>
        <w:pStyle w:val="5"/>
        <w:spacing w:line="579" w:lineRule="exact"/>
        <w:ind w:firstLine="640" w:firstLineChars="200"/>
        <w:jc w:val="both"/>
        <w:rPr>
          <w:rFonts w:ascii="Times New Roman" w:cs="Times New Roman"/>
          <w:color w:val="000000" w:themeColor="text1"/>
          <w:sz w:val="32"/>
          <w:szCs w:val="32"/>
          <w:highlight w:val="yellow"/>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综合考量市委政研室编印刊物的内容质量、研究成果影响力等多方面因素，从前瞻性、先进性、实用性、指导性等维度进行评分，最终评定得分为7.2分。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该指标总分值为8分，得7.2分。</w:t>
      </w:r>
    </w:p>
    <w:p>
      <w:pPr>
        <w:pStyle w:val="5"/>
        <w:spacing w:line="579" w:lineRule="exact"/>
        <w:ind w:firstLine="642" w:firstLineChars="200"/>
        <w:jc w:val="both"/>
        <w:outlineLvl w:val="3"/>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（8）研究成果实际应用率</w:t>
      </w:r>
    </w:p>
    <w:p>
      <w:pPr>
        <w:pStyle w:val="5"/>
        <w:snapToGrid w:val="0"/>
        <w:spacing w:line="579" w:lineRule="exact"/>
        <w:ind w:firstLine="640" w:firstLineChars="200"/>
        <w:jc w:val="both"/>
        <w:rPr>
          <w:rFonts w:ascii="Cambria Math" w:hAnsi="Cambria Math" w:cs="Cambria Math"/>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①</w:t>
      </w:r>
      <w:r>
        <w:rPr>
          <w:rFonts w:hint="eastAsia" w:ascii="Cambria Math" w:hAnsi="Cambria Math" w:cs="Cambria Math"/>
          <w:color w:val="000000" w:themeColor="text1"/>
          <w:sz w:val="32"/>
          <w:szCs w:val="32"/>
          <w14:textFill>
            <w14:solidFill>
              <w14:schemeClr w14:val="tx1"/>
            </w14:solidFill>
          </w14:textFill>
        </w:rPr>
        <w:t>根据《中共江门市委政策研究室2024年工作情况报告》（江研报〔2025〕1号）：市委政研室全年形成调研报告45篇，其中，《江门做大做强海洋工程装备产业调研报告》等8篇调研成果在省委政研室主办刊物《广东调研》《各地市调研报告摘编》刊登，《关于加快推动江门安全应急产业高质量发展的调研报告》等10篇调研成果获市委主要领导批示。市委政研室分别从以下三个方面推动成果转化：</w:t>
      </w:r>
    </w:p>
    <w:p>
      <w:pPr>
        <w:pStyle w:val="5"/>
        <w:snapToGrid w:val="0"/>
        <w:spacing w:line="579" w:lineRule="exact"/>
        <w:ind w:firstLine="640" w:firstLineChars="200"/>
        <w:jc w:val="both"/>
        <w:rPr>
          <w:rFonts w:hint="eastAsia" w:ascii="Times New Roman" w:cs="Times New Roman"/>
          <w:color w:val="000000" w:themeColor="text1"/>
          <w:sz w:val="32"/>
          <w:szCs w:val="32"/>
          <w14:textFill>
            <w14:solidFill>
              <w14:schemeClr w14:val="tx1"/>
            </w14:solidFill>
          </w14:textFill>
        </w:rPr>
      </w:pPr>
      <w:r>
        <w:rPr>
          <w:rFonts w:hint="eastAsia" w:ascii="Cambria Math" w:hAnsi="Cambria Math" w:cs="Cambria Math"/>
          <w:color w:val="000000" w:themeColor="text1"/>
          <w:sz w:val="32"/>
          <w:szCs w:val="32"/>
          <w14:textFill>
            <w14:solidFill>
              <w14:schemeClr w14:val="tx1"/>
            </w14:solidFill>
          </w14:textFill>
        </w:rPr>
        <w:t>A．</w:t>
      </w:r>
      <w:r>
        <w:rPr>
          <w:rFonts w:hint="eastAsia" w:ascii="Times New Roman" w:cs="Times New Roman"/>
          <w:color w:val="000000" w:themeColor="text1"/>
          <w:sz w:val="32"/>
          <w:szCs w:val="32"/>
          <w14:textFill>
            <w14:solidFill>
              <w14:schemeClr w14:val="tx1"/>
            </w14:solidFill>
          </w14:textFill>
        </w:rPr>
        <w:t>市委政研室围绕重大改革项目需要推动成果转化。《蓬江区良溪村探索“中国历史文化名村”活化利用有效路径》《江门市全面实施村党组织书记分级分档管理改革激发“头雁”奋战“百千万工程”内生动力》入选2024年全省基层推进“百千万工程”集成式改革典型案例，《江门市全面实施村党组织书记分级分档管理改革激发“头雁”奋战“百千万工程”内生动力》获《中国组织人事报》专题报道、《南方日报》头版头条报道，被《广东改革信息专报》刊发上报中央改革办。江门深化发展新型农村集体经济省级试点，推动农村集体经济从“输血”向“造血”转变。全市涌现出新型农村集体经济发展的多种实践模式，1056个行政村集体经营性收入全线突破15万元，60%以上超100万元。</w:t>
      </w:r>
    </w:p>
    <w:p>
      <w:pPr>
        <w:pStyle w:val="5"/>
        <w:snapToGrid w:val="0"/>
        <w:spacing w:line="579" w:lineRule="exact"/>
        <w:ind w:firstLine="640" w:firstLineChars="200"/>
        <w:rPr>
          <w:rFonts w:hint="eastAsia" w:ascii="Times New Roman" w:cs="Times New Roman"/>
          <w:color w:val="000000" w:themeColor="text1"/>
          <w:sz w:val="32"/>
          <w:szCs w:val="32"/>
          <w14:textFill>
            <w14:solidFill>
              <w14:schemeClr w14:val="tx1"/>
            </w14:solidFill>
          </w14:textFill>
        </w:rPr>
      </w:pPr>
      <w:r>
        <w:rPr>
          <w:rFonts w:hint="eastAsia" w:ascii="Cambria Math" w:hAnsi="Cambria Math" w:cs="Cambria Math"/>
          <w:color w:val="000000" w:themeColor="text1"/>
          <w:sz w:val="32"/>
          <w:szCs w:val="32"/>
          <w14:textFill>
            <w14:solidFill>
              <w14:schemeClr w14:val="tx1"/>
            </w14:solidFill>
          </w14:textFill>
        </w:rPr>
        <w:t>B．</w:t>
      </w:r>
      <w:r>
        <w:rPr>
          <w:rFonts w:hint="eastAsia" w:ascii="Times New Roman" w:cs="Times New Roman"/>
          <w:color w:val="000000" w:themeColor="text1"/>
          <w:sz w:val="32"/>
          <w:szCs w:val="32"/>
          <w14:textFill>
            <w14:solidFill>
              <w14:schemeClr w14:val="tx1"/>
            </w14:solidFill>
          </w14:textFill>
        </w:rPr>
        <w:t>市委政研室围绕重大产业决策需要推动成果转化。《关于加快推动江门安全应急产业高质量发展的调研报告》受到市委主要领导重视和批示，助力国家安全应急产业（综合类）示范基地创建顺利验收通过。《推动海工装备产业跨越式发展助力海上新江门建设强势破局》获得市领导肯定性批示，转市有关单位、台山、新会等地参阅、落实。2024年江门船舶与海工装备产业链增加值增速达59.7%，连续3年保持两位数高速增长。</w:t>
      </w:r>
    </w:p>
    <w:p>
      <w:pPr>
        <w:pStyle w:val="5"/>
        <w:snapToGrid w:val="0"/>
        <w:spacing w:line="579" w:lineRule="exact"/>
        <w:ind w:firstLine="640" w:firstLineChars="200"/>
        <w:jc w:val="both"/>
        <w:rPr>
          <w:rFonts w:hint="eastAsia" w:ascii="Times New Roman" w:cs="Times New Roman"/>
          <w:color w:val="000000" w:themeColor="text1"/>
          <w:sz w:val="32"/>
          <w:szCs w:val="32"/>
          <w14:textFill>
            <w14:solidFill>
              <w14:schemeClr w14:val="tx1"/>
            </w14:solidFill>
          </w14:textFill>
        </w:rPr>
      </w:pPr>
      <w:r>
        <w:rPr>
          <w:rFonts w:hint="eastAsia" w:ascii="Cambria Math" w:hAnsi="Cambria Math" w:cs="Cambria Math"/>
          <w:color w:val="000000" w:themeColor="text1"/>
          <w:sz w:val="32"/>
          <w:szCs w:val="32"/>
          <w14:textFill>
            <w14:solidFill>
              <w14:schemeClr w14:val="tx1"/>
            </w14:solidFill>
          </w14:textFill>
        </w:rPr>
        <w:t>C．</w:t>
      </w:r>
      <w:r>
        <w:rPr>
          <w:rFonts w:hint="eastAsia" w:ascii="Times New Roman" w:cs="Times New Roman"/>
          <w:color w:val="000000" w:themeColor="text1"/>
          <w:sz w:val="32"/>
          <w:szCs w:val="32"/>
          <w14:textFill>
            <w14:solidFill>
              <w14:schemeClr w14:val="tx1"/>
            </w14:solidFill>
          </w14:textFill>
        </w:rPr>
        <w:t>市委政研室围绕高质量发展战略决策需要推动成果转化。《江门市推动开平</w:t>
      </w:r>
      <w:bookmarkStart w:id="77" w:name="OLE_LINK19"/>
      <w:r>
        <w:rPr>
          <w:rFonts w:hint="eastAsia" w:ascii="Times New Roman" w:cs="Times New Roman"/>
          <w:color w:val="000000" w:themeColor="text1"/>
          <w:sz w:val="32"/>
          <w:szCs w:val="32"/>
          <w14:textFill>
            <w14:solidFill>
              <w14:schemeClr w14:val="tx1"/>
            </w14:solidFill>
          </w14:textFill>
        </w:rPr>
        <w:t>-</w:t>
      </w:r>
      <w:bookmarkEnd w:id="77"/>
      <w:r>
        <w:rPr>
          <w:rFonts w:hint="eastAsia" w:ascii="Times New Roman" w:cs="Times New Roman"/>
          <w:color w:val="000000" w:themeColor="text1"/>
          <w:sz w:val="32"/>
          <w:szCs w:val="32"/>
          <w14:textFill>
            <w14:solidFill>
              <w14:schemeClr w14:val="tx1"/>
            </w14:solidFill>
          </w14:textFill>
        </w:rPr>
        <w:t>台山农文旅融合发展试点思路报告》，转化为《江门市推进开平-台山农文旅融合发展试点工作实施方案》《江门市“开平-台山”整县推进农文旅融合发展规划》等政策文件。</w:t>
      </w:r>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②</w:t>
      </w:r>
      <w:r>
        <w:rPr>
          <w:rFonts w:hint="eastAsia" w:ascii="Cambria Math" w:hAnsi="Cambria Math" w:cs="Cambria Math"/>
          <w:color w:val="000000" w:themeColor="text1"/>
          <w:sz w:val="32"/>
          <w:szCs w:val="32"/>
          <w14:textFill>
            <w14:solidFill>
              <w14:schemeClr w14:val="tx1"/>
            </w14:solidFill>
          </w14:textFill>
        </w:rPr>
        <w:t>根据</w:t>
      </w:r>
      <w:r>
        <w:rPr>
          <w:rFonts w:ascii="Times New Roman" w:cs="Times New Roman"/>
          <w:color w:val="000000" w:themeColor="text1"/>
          <w:sz w:val="32"/>
          <w:szCs w:val="32"/>
          <w14:textFill>
            <w14:solidFill>
              <w14:schemeClr w14:val="tx1"/>
            </w14:solidFill>
          </w14:textFill>
        </w:rPr>
        <w:t>目前已收集材料，缺少研究成果应用衡量标准。</w:t>
      </w:r>
    </w:p>
    <w:p>
      <w:pPr>
        <w:pStyle w:val="5"/>
        <w:snapToGrid w:val="0"/>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该指标总分值为7分，得</w:t>
      </w:r>
      <w:r>
        <w:rPr>
          <w:rFonts w:hint="eastAsia" w:ascii="Times New Roman" w:cs="Times New Roman"/>
          <w:color w:val="000000" w:themeColor="text1"/>
          <w:sz w:val="32"/>
          <w:szCs w:val="32"/>
          <w14:textFill>
            <w14:solidFill>
              <w14:schemeClr w14:val="tx1"/>
            </w14:solidFill>
          </w14:textFill>
        </w:rPr>
        <w:t>6</w:t>
      </w:r>
      <w:r>
        <w:rPr>
          <w:rFonts w:ascii="Times New Roman" w:cs="Times New Roman"/>
          <w:color w:val="000000" w:themeColor="text1"/>
          <w:sz w:val="32"/>
          <w:szCs w:val="32"/>
          <w14:textFill>
            <w14:solidFill>
              <w14:schemeClr w14:val="tx1"/>
            </w14:solidFill>
          </w14:textFill>
        </w:rPr>
        <w:t>分。</w:t>
      </w:r>
    </w:p>
    <w:p>
      <w:pPr>
        <w:pStyle w:val="5"/>
        <w:spacing w:line="579" w:lineRule="exact"/>
        <w:ind w:firstLine="640" w:firstLineChars="200"/>
        <w:jc w:val="both"/>
        <w:outlineLvl w:val="1"/>
        <w:rPr>
          <w:rFonts w:ascii="Times New Roman" w:eastAsia="楷体_GB2312" w:cs="Times New Roman"/>
          <w:color w:val="000000" w:themeColor="text1"/>
          <w:sz w:val="32"/>
          <w:szCs w:val="32"/>
          <w14:textFill>
            <w14:solidFill>
              <w14:schemeClr w14:val="tx1"/>
            </w14:solidFill>
          </w14:textFill>
        </w:rPr>
      </w:pPr>
      <w:bookmarkStart w:id="78" w:name="_Toc203669505"/>
      <w:r>
        <w:rPr>
          <w:rFonts w:ascii="Times New Roman" w:eastAsia="楷体_GB2312" w:cs="Times New Roman"/>
          <w:color w:val="000000" w:themeColor="text1"/>
          <w:sz w:val="32"/>
          <w:szCs w:val="32"/>
          <w14:textFill>
            <w14:solidFill>
              <w14:schemeClr w14:val="tx1"/>
            </w14:solidFill>
          </w14:textFill>
        </w:rPr>
        <w:t>（二）管理效率</w:t>
      </w:r>
      <w:bookmarkEnd w:id="78"/>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该指标主要从部门预算管理、目标管理、成本管控、财务管理、应用管理5个方面考核论证部门履职情况，包含5个二级指标、10个三级指标。满分50分，</w:t>
      </w:r>
      <w:bookmarkStart w:id="79" w:name="OLE_LINK5"/>
      <w:r>
        <w:rPr>
          <w:rFonts w:ascii="Times New Roman" w:cs="Times New Roman"/>
          <w:color w:val="000000" w:themeColor="text1"/>
          <w:sz w:val="32"/>
          <w:szCs w:val="32"/>
          <w14:textFill>
            <w14:solidFill>
              <w14:schemeClr w14:val="tx1"/>
            </w14:solidFill>
          </w14:textFill>
        </w:rPr>
        <w:t>评价得43.45分，得分率为86.90%。</w:t>
      </w:r>
      <w:bookmarkEnd w:id="79"/>
    </w:p>
    <w:p>
      <w:pPr>
        <w:pStyle w:val="5"/>
        <w:spacing w:line="579" w:lineRule="exact"/>
        <w:ind w:firstLine="642" w:firstLineChars="200"/>
        <w:jc w:val="both"/>
        <w:outlineLvl w:val="2"/>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1．预算管理</w:t>
      </w:r>
    </w:p>
    <w:p>
      <w:pPr>
        <w:pStyle w:val="5"/>
        <w:spacing w:line="579" w:lineRule="exact"/>
        <w:ind w:firstLine="642" w:firstLineChars="200"/>
        <w:jc w:val="both"/>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（1）预算编制合理性</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①</w:t>
      </w:r>
      <w:r>
        <w:rPr>
          <w:rFonts w:ascii="Times New Roman" w:cs="Times New Roman"/>
          <w:color w:val="000000" w:themeColor="text1"/>
          <w:sz w:val="32"/>
          <w:szCs w:val="32"/>
          <w14:textFill>
            <w14:solidFill>
              <w14:schemeClr w14:val="tx1"/>
            </w14:solidFill>
          </w14:textFill>
        </w:rPr>
        <w:t>根据市委政研室部门职责及工作任务要求，市委政研室2024年部门预算编制、分配符合本部门职责、符合市委、市政府方针政策和工作要求。此项分值3分，得3分。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②</w:t>
      </w:r>
      <w:r>
        <w:rPr>
          <w:rFonts w:ascii="Times New Roman" w:cs="Times New Roman"/>
          <w:color w:val="000000" w:themeColor="text1"/>
          <w:sz w:val="32"/>
          <w:szCs w:val="32"/>
          <w14:textFill>
            <w14:solidFill>
              <w14:schemeClr w14:val="tx1"/>
            </w14:solidFill>
          </w14:textFill>
        </w:rPr>
        <w:t>市委政研室预算支出中包含6项项目支出，项目支出资金基本能够根据各项目工作任务合理分配，但各项目中存在同类用途分配模糊情况。此项分值3分，得2分。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③</w:t>
      </w:r>
      <w:r>
        <w:rPr>
          <w:rFonts w:ascii="Times New Roman" w:cs="Times New Roman"/>
          <w:color w:val="000000" w:themeColor="text1"/>
          <w:sz w:val="32"/>
          <w:szCs w:val="32"/>
          <w14:textFill>
            <w14:solidFill>
              <w14:schemeClr w14:val="tx1"/>
            </w14:solidFill>
          </w14:textFill>
        </w:rPr>
        <w:t>市委政研室预算基本能够保证分配不固化，根据实际情况合理调整。此项分值2分，得2分。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该指标总分值为8分，得7分。</w:t>
      </w:r>
    </w:p>
    <w:p>
      <w:pPr>
        <w:pStyle w:val="5"/>
        <w:spacing w:line="579" w:lineRule="exact"/>
        <w:ind w:firstLine="642" w:firstLineChars="200"/>
        <w:jc w:val="both"/>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（2）预算编制约束性</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根据部门提供的预算调剂明细表，市委政研室2024年预算调剂金额为52.30万元，预算调剂发生率=52.30/1,160.82=4.5%。市委政研室年中无追加资金情况。本指标综合得分=（1-4.5%）*2*0.6+1*2*0.4=1.95分。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该指标总分值为2分，得1.95分。</w:t>
      </w:r>
    </w:p>
    <w:p>
      <w:pPr>
        <w:pStyle w:val="5"/>
        <w:spacing w:line="579" w:lineRule="exact"/>
        <w:ind w:firstLine="642" w:firstLineChars="200"/>
        <w:jc w:val="both"/>
        <w:outlineLvl w:val="2"/>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2．目标管理</w:t>
      </w:r>
    </w:p>
    <w:p>
      <w:pPr>
        <w:pStyle w:val="5"/>
        <w:spacing w:line="579" w:lineRule="exact"/>
        <w:ind w:firstLine="642" w:firstLineChars="200"/>
        <w:jc w:val="both"/>
        <w:outlineLvl w:val="3"/>
        <w:rPr>
          <w:rFonts w:ascii="Times New Roman" w:cs="Times New Roman"/>
          <w:b/>
          <w:bCs/>
          <w:color w:val="000000" w:themeColor="text1"/>
          <w:sz w:val="32"/>
          <w:szCs w:val="32"/>
          <w14:textFill>
            <w14:solidFill>
              <w14:schemeClr w14:val="tx1"/>
            </w14:solidFill>
          </w14:textFill>
        </w:rPr>
      </w:pPr>
      <w:bookmarkStart w:id="80" w:name="OLE_LINK1"/>
      <w:r>
        <w:rPr>
          <w:rFonts w:ascii="Times New Roman" w:cs="Times New Roman"/>
          <w:b/>
          <w:bCs/>
          <w:color w:val="000000" w:themeColor="text1"/>
          <w:sz w:val="32"/>
          <w:szCs w:val="32"/>
          <w14:textFill>
            <w14:solidFill>
              <w14:schemeClr w14:val="tx1"/>
            </w14:solidFill>
          </w14:textFill>
        </w:rPr>
        <w:t>（1）绩效目标合理性</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①</w:t>
      </w:r>
      <w:r>
        <w:rPr>
          <w:rFonts w:ascii="Times New Roman" w:cs="Times New Roman"/>
          <w:color w:val="000000" w:themeColor="text1"/>
          <w:sz w:val="32"/>
          <w:szCs w:val="32"/>
          <w14:textFill>
            <w14:solidFill>
              <w14:schemeClr w14:val="tx1"/>
            </w14:solidFill>
          </w14:textFill>
        </w:rPr>
        <w:t>市委政研室部门整体绩效目标共包含8类工作内容，可以体现部门“三定”方案规定的部门职能，此项分值1分，得1分。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②</w:t>
      </w:r>
      <w:r>
        <w:rPr>
          <w:rFonts w:ascii="Times New Roman" w:cs="Times New Roman"/>
          <w:color w:val="000000" w:themeColor="text1"/>
          <w:sz w:val="32"/>
          <w:szCs w:val="32"/>
          <w14:textFill>
            <w14:solidFill>
              <w14:schemeClr w14:val="tx1"/>
            </w14:solidFill>
          </w14:textFill>
        </w:rPr>
        <w:t>市委政研室部门整体绩效目标基本能体现部门（单位）中长期规划和年度工作计划，此项分值1分，得1分。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③</w:t>
      </w:r>
      <w:r>
        <w:rPr>
          <w:rFonts w:ascii="Times New Roman" w:cs="Times New Roman"/>
          <w:color w:val="000000" w:themeColor="text1"/>
          <w:sz w:val="32"/>
          <w:szCs w:val="32"/>
          <w14:textFill>
            <w14:solidFill>
              <w14:schemeClr w14:val="tx1"/>
            </w14:solidFill>
          </w14:textFill>
        </w:rPr>
        <w:t>市委政研室部门整体绩效目标能分解成具体工作任务，此项分值1分，得1分。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④</w:t>
      </w:r>
      <w:r>
        <w:rPr>
          <w:rFonts w:ascii="Times New Roman" w:cs="Times New Roman"/>
          <w:color w:val="000000" w:themeColor="text1"/>
          <w:sz w:val="32"/>
          <w:szCs w:val="32"/>
          <w14:textFill>
            <w14:solidFill>
              <w14:schemeClr w14:val="tx1"/>
            </w14:solidFill>
          </w14:textFill>
        </w:rPr>
        <w:t>市委政研室部门整体绩效目标与本年度部门预算资金相匹配，此项分值1分，得1分。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⑤</w:t>
      </w:r>
      <w:r>
        <w:rPr>
          <w:rFonts w:ascii="Times New Roman" w:cs="Times New Roman"/>
          <w:color w:val="000000" w:themeColor="text1"/>
          <w:sz w:val="32"/>
          <w:szCs w:val="32"/>
          <w14:textFill>
            <w14:solidFill>
              <w14:schemeClr w14:val="tx1"/>
            </w14:solidFill>
          </w14:textFill>
        </w:rPr>
        <w:t>未见市委政研室进行项目申报可行性研究和充分论证相关材料，此项分值1分，不得分。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该指标总分值为5分，得4分。</w:t>
      </w:r>
    </w:p>
    <w:p>
      <w:pPr>
        <w:pStyle w:val="5"/>
        <w:spacing w:line="579" w:lineRule="exact"/>
        <w:ind w:firstLine="642" w:firstLineChars="200"/>
        <w:jc w:val="both"/>
        <w:outlineLvl w:val="3"/>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（2）绩效指标明确性</w:t>
      </w:r>
    </w:p>
    <w:bookmarkEnd w:id="80"/>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①</w:t>
      </w:r>
      <w:r>
        <w:rPr>
          <w:rFonts w:ascii="Times New Roman" w:cs="Times New Roman"/>
          <w:color w:val="000000" w:themeColor="text1"/>
          <w:sz w:val="32"/>
          <w:szCs w:val="32"/>
          <w14:textFill>
            <w14:solidFill>
              <w14:schemeClr w14:val="tx1"/>
            </w14:solidFill>
          </w14:textFill>
        </w:rPr>
        <w:t>市委政研室共设置4项社会效益指标，分别是“平均运行无故障（%），指标值≥96”“安全事故发生数（起），0”“政策执行跟踪反馈覆盖率（%），100%”“有利于提高工作效率（是/否），是”，未能明确体现部门履职效果</w:t>
      </w:r>
      <w:bookmarkStart w:id="81" w:name="OLE_LINK25"/>
      <w:r>
        <w:rPr>
          <w:rFonts w:ascii="Times New Roman" w:cs="Times New Roman"/>
          <w:color w:val="000000" w:themeColor="text1"/>
          <w:sz w:val="32"/>
          <w:szCs w:val="32"/>
          <w14:textFill>
            <w14:solidFill>
              <w14:schemeClr w14:val="tx1"/>
            </w14:solidFill>
          </w14:textFill>
        </w:rPr>
        <w:t>，此项分值2分，得1分</w:t>
      </w:r>
      <w:bookmarkEnd w:id="81"/>
      <w:r>
        <w:rPr>
          <w:rFonts w:ascii="Times New Roman" w:cs="Times New Roman"/>
          <w:color w:val="000000" w:themeColor="text1"/>
          <w:sz w:val="32"/>
          <w:szCs w:val="32"/>
          <w14:textFill>
            <w14:solidFill>
              <w14:schemeClr w14:val="tx1"/>
            </w14:solidFill>
          </w14:textFill>
        </w:rPr>
        <w:t>。</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②</w:t>
      </w:r>
      <w:r>
        <w:rPr>
          <w:rFonts w:ascii="Times New Roman" w:cs="Times New Roman"/>
          <w:color w:val="000000" w:themeColor="text1"/>
          <w:sz w:val="32"/>
          <w:szCs w:val="32"/>
          <w14:textFill>
            <w14:solidFill>
              <w14:schemeClr w14:val="tx1"/>
            </w14:solidFill>
          </w14:textFill>
        </w:rPr>
        <w:t>市委政研室设置的绩效指标值基本清晰、可衡量，此项分值1分，得1分。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③</w:t>
      </w:r>
      <w:r>
        <w:rPr>
          <w:rFonts w:ascii="Times New Roman" w:cs="Times New Roman"/>
          <w:color w:val="000000" w:themeColor="text1"/>
          <w:sz w:val="32"/>
          <w:szCs w:val="32"/>
          <w14:textFill>
            <w14:solidFill>
              <w14:schemeClr w14:val="tx1"/>
            </w14:solidFill>
          </w14:textFill>
        </w:rPr>
        <w:t>市委政研室设置的绩效指标以可量化指标为主，此项分值1分，得1分。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④</w:t>
      </w:r>
      <w:r>
        <w:rPr>
          <w:rFonts w:ascii="Times New Roman" w:cs="Times New Roman"/>
          <w:color w:val="000000" w:themeColor="text1"/>
          <w:sz w:val="32"/>
          <w:szCs w:val="32"/>
          <w14:textFill>
            <w14:solidFill>
              <w14:schemeClr w14:val="tx1"/>
            </w14:solidFill>
          </w14:textFill>
        </w:rPr>
        <w:t>市委政研室设置的绩效目标的目标值测算符合客观实际情况，此项分值1分，得1分。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该指标总分值为5分，得4分。</w:t>
      </w:r>
    </w:p>
    <w:p>
      <w:pPr>
        <w:pStyle w:val="5"/>
        <w:spacing w:line="579" w:lineRule="exact"/>
        <w:ind w:firstLine="642" w:firstLineChars="200"/>
        <w:jc w:val="both"/>
        <w:outlineLvl w:val="2"/>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3．成本管控</w:t>
      </w:r>
    </w:p>
    <w:p>
      <w:pPr>
        <w:pStyle w:val="5"/>
        <w:spacing w:line="579" w:lineRule="exact"/>
        <w:ind w:firstLine="642" w:firstLineChars="200"/>
        <w:jc w:val="both"/>
        <w:outlineLvl w:val="3"/>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（1）投入成本合理性</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市委政研室各项目投入成本均符合部门“三定”方案。</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该指标总分值为5分，得5分。</w:t>
      </w:r>
    </w:p>
    <w:p>
      <w:pPr>
        <w:pStyle w:val="5"/>
        <w:spacing w:line="579" w:lineRule="exact"/>
        <w:ind w:firstLine="642" w:firstLineChars="200"/>
        <w:jc w:val="both"/>
        <w:outlineLvl w:val="3"/>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（2）成本管控措施</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①</w:t>
      </w:r>
      <w:r>
        <w:rPr>
          <w:rFonts w:ascii="Times New Roman" w:cs="Times New Roman"/>
          <w:color w:val="000000" w:themeColor="text1"/>
          <w:sz w:val="32"/>
          <w:szCs w:val="32"/>
          <w14:textFill>
            <w14:solidFill>
              <w14:schemeClr w14:val="tx1"/>
            </w14:solidFill>
          </w14:textFill>
        </w:rPr>
        <w:t>市委政研室2024年无新增项目，此项分值2分，得2分。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②</w:t>
      </w:r>
      <w:r>
        <w:rPr>
          <w:rFonts w:ascii="Times New Roman" w:cs="Times New Roman"/>
          <w:color w:val="000000" w:themeColor="text1"/>
          <w:sz w:val="32"/>
          <w:szCs w:val="32"/>
          <w14:textFill>
            <w14:solidFill>
              <w14:schemeClr w14:val="tx1"/>
            </w14:solidFill>
          </w14:textFill>
        </w:rPr>
        <w:t>市委政研室2024年各项目成本基本采用历史成本预测预算编制法和零基-绩效成本预算编制法，但存在部分同类支出内容在多个项目中碎片化预测，如“文具、硒鼓粉盒耗材”在市委财经办工作经费、市决咨委工作经费、专项业务支出中均有支出，且测算依据不够详细，预算科学性不完善，此项分值5分，得4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③</w:t>
      </w:r>
      <w:r>
        <w:rPr>
          <w:rFonts w:ascii="Times New Roman" w:cs="Times New Roman"/>
          <w:color w:val="000000" w:themeColor="text1"/>
          <w:sz w:val="32"/>
          <w:szCs w:val="32"/>
          <w14:textFill>
            <w14:solidFill>
              <w14:schemeClr w14:val="tx1"/>
            </w14:solidFill>
          </w14:textFill>
        </w:rPr>
        <w:t>市委政研室2024年无新增委托课题，仅对2023年委托课题的结题尾款进行支付。2024年市委政研室共有4项课题委托验收项目，已收到其中3个的课题委托协议书，分别是《发挥企二代作用，推动民营经济高质量发展》《发展壮大镇域经济 推进区域协调发展》《建设现代化海洋牧场对策研究》，未收集到《坚持制造业当家 加快打造万亿工业强市》课题委托协议书。根据已收集到的3个课题的委托协议书，3项课题合同额均为5万元，且均涉及劳务费，但劳务费仅列示总金额，且劳务费差异较大，例如《发挥企二代作用，推动民营经济高质量发展》中劳务费为3.5万元、《发展壮大镇域经济 推进区域协调发展》《建设现代化海洋牧场对策研究》劳务费为0.5万元，劳务费金额无相关测算标准和测算方案，此项分值3分，得1分。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④</w:t>
      </w:r>
      <w:r>
        <w:rPr>
          <w:rFonts w:ascii="Times New Roman" w:cs="Times New Roman"/>
          <w:color w:val="000000" w:themeColor="text1"/>
          <w:sz w:val="32"/>
          <w:szCs w:val="32"/>
          <w14:textFill>
            <w14:solidFill>
              <w14:schemeClr w14:val="tx1"/>
            </w14:solidFill>
          </w14:textFill>
        </w:rPr>
        <w:t>市委政研室2024年政府集中采购支出共包含23项内容，支出总金额33.73万元，主要包括采购复印机、复印纸、办公家具、印刷费、绿化管理费等，根据部门提供的比价资料，各项采购支出标准符合政府采购价格要求。此项分值3分，得3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该指标总分值13分，得10分。</w:t>
      </w:r>
    </w:p>
    <w:p>
      <w:pPr>
        <w:pStyle w:val="5"/>
        <w:spacing w:line="579" w:lineRule="exact"/>
        <w:ind w:firstLine="642" w:firstLineChars="200"/>
        <w:jc w:val="both"/>
        <w:outlineLvl w:val="2"/>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4．财务管理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①</w:t>
      </w:r>
      <w:r>
        <w:rPr>
          <w:rFonts w:ascii="Times New Roman" w:cs="Times New Roman"/>
          <w:color w:val="000000" w:themeColor="text1"/>
          <w:sz w:val="32"/>
          <w:szCs w:val="32"/>
          <w14:textFill>
            <w14:solidFill>
              <w14:schemeClr w14:val="tx1"/>
            </w14:solidFill>
          </w14:textFill>
        </w:rPr>
        <w:t>根据广东恒生会计师事务所有限公司2024年11月25日出具的《中国共产党江门市委政策研究室工会委员会2022-2023年工会经费收支审计及绩效评价报告》（广恒生会专审字〔2024〕303号），共发现市委政研室工会经费收支6个问题，分别是预算执行率较低、超比例列支节日慰问支出、现金管理不规范、经费支出手续不完善、个别报账票据不规范、个别会计科目未能规范使用。市委政研室制定了相应的整改措施，已完成整改并长期坚持，此项扣0.5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②</w:t>
      </w:r>
      <w:r>
        <w:rPr>
          <w:rFonts w:ascii="Times New Roman" w:cs="Times New Roman"/>
          <w:color w:val="000000" w:themeColor="text1"/>
          <w:sz w:val="32"/>
          <w:szCs w:val="32"/>
          <w14:textFill>
            <w14:solidFill>
              <w14:schemeClr w14:val="tx1"/>
            </w14:solidFill>
          </w14:textFill>
        </w:rPr>
        <w:t>根据市委政研室提供的资料，市委政研室无因主管部门制度设计缺陷或失职等造成资金套取、冒领、挪用的，此项不扣分。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③</w:t>
      </w:r>
      <w:r>
        <w:rPr>
          <w:rFonts w:ascii="Times New Roman" w:cs="Times New Roman"/>
          <w:color w:val="000000" w:themeColor="text1"/>
          <w:sz w:val="32"/>
          <w:szCs w:val="32"/>
          <w14:textFill>
            <w14:solidFill>
              <w14:schemeClr w14:val="tx1"/>
            </w14:solidFill>
          </w14:textFill>
        </w:rPr>
        <w:t>根据市委政研室提供的资料，市委政研室无连续两年对因业务主管部门责任引发的同一问题提出意见,或主管部门未落实相关审计和财会监督整改意见的情况，此项不扣分。</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该指标总分值为4分，得3.5分。</w:t>
      </w:r>
    </w:p>
    <w:p>
      <w:pPr>
        <w:pStyle w:val="5"/>
        <w:spacing w:line="579" w:lineRule="exact"/>
        <w:ind w:firstLine="642" w:firstLineChars="200"/>
        <w:jc w:val="both"/>
        <w:outlineLvl w:val="2"/>
        <w:rPr>
          <w:rFonts w:ascii="Times New Roman" w:cs="Times New Roman"/>
          <w:b/>
          <w:bCs/>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5．应用管理</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（1）绩效结果应用</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市委政研室未涉及财政部门事前评估（审）、事中监控、绩效重点评价、自评复核等意见对本部门项目进行整改情况。</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该指标总分值为6分，得6分。</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（2）预决算公开合规性</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①</w:t>
      </w:r>
      <w:r>
        <w:rPr>
          <w:rFonts w:ascii="Times New Roman" w:cs="Times New Roman"/>
          <w:color w:val="000000" w:themeColor="text1"/>
          <w:sz w:val="32"/>
          <w:szCs w:val="32"/>
          <w14:textFill>
            <w14:solidFill>
              <w14:schemeClr w14:val="tx1"/>
            </w14:solidFill>
          </w14:textFill>
        </w:rPr>
        <w:t>财政部门批复市委政研室2024年预算时间为2024年2月20日，市委政研室向社会公开时间为2024年3月5日；财政部门批复市委政研室2023年预算时间为2024年9月13日，市委政研室向社会公开时间为2024年9月25日。预算、决算公开及时性均符合时间要求。</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②</w:t>
      </w:r>
      <w:r>
        <w:rPr>
          <w:rFonts w:ascii="Times New Roman" w:cs="Times New Roman"/>
          <w:color w:val="000000" w:themeColor="text1"/>
          <w:sz w:val="32"/>
          <w:szCs w:val="32"/>
          <w14:textFill>
            <w14:solidFill>
              <w14:schemeClr w14:val="tx1"/>
            </w14:solidFill>
          </w14:textFill>
        </w:rPr>
        <w:t>市委政研室检查指标均合规。</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该指标总分值为1分，得1分。</w:t>
      </w:r>
    </w:p>
    <w:p>
      <w:pPr>
        <w:pStyle w:val="5"/>
        <w:spacing w:line="579" w:lineRule="exact"/>
        <w:ind w:firstLine="642"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b/>
          <w:bCs/>
          <w:color w:val="000000" w:themeColor="text1"/>
          <w:sz w:val="32"/>
          <w:szCs w:val="32"/>
          <w14:textFill>
            <w14:solidFill>
              <w14:schemeClr w14:val="tx1"/>
            </w14:solidFill>
          </w14:textFill>
        </w:rPr>
        <w:t>（3）绩效信息公开情况</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①</w:t>
      </w:r>
      <w:r>
        <w:rPr>
          <w:rFonts w:ascii="Times New Roman" w:cs="Times New Roman"/>
          <w:color w:val="000000" w:themeColor="text1"/>
          <w:sz w:val="32"/>
          <w:szCs w:val="32"/>
          <w14:textFill>
            <w14:solidFill>
              <w14:schemeClr w14:val="tx1"/>
            </w14:solidFill>
          </w14:textFill>
        </w:rPr>
        <w:t>市委政研室绩效目标已在规定时间公开。</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Cambria Math" w:hAnsi="Cambria Math" w:cs="Cambria Math"/>
          <w:color w:val="000000" w:themeColor="text1"/>
          <w:sz w:val="32"/>
          <w:szCs w:val="32"/>
          <w14:textFill>
            <w14:solidFill>
              <w14:schemeClr w14:val="tx1"/>
            </w14:solidFill>
          </w14:textFill>
        </w:rPr>
        <w:t>②</w:t>
      </w:r>
      <w:r>
        <w:rPr>
          <w:rFonts w:ascii="Times New Roman" w:cs="Times New Roman"/>
          <w:color w:val="000000" w:themeColor="text1"/>
          <w:sz w:val="32"/>
          <w:szCs w:val="32"/>
          <w14:textFill>
            <w14:solidFill>
              <w14:schemeClr w14:val="tx1"/>
            </w14:solidFill>
          </w14:textFill>
        </w:rPr>
        <w:t>市委政研室绩效自评资料已在规定时间公开。</w:t>
      </w:r>
    </w:p>
    <w:p>
      <w:pPr>
        <w:pStyle w:val="5"/>
        <w:spacing w:line="579" w:lineRule="exact"/>
        <w:ind w:firstLine="640" w:firstLineChars="200"/>
        <w:jc w:val="both"/>
        <w:rPr>
          <w:rFonts w:ascii="Times New Roman" w:cs="Times New Roman"/>
          <w:color w:val="000000" w:themeColor="text1"/>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t>该指标总分值为1分，得1分。</w:t>
      </w:r>
    </w:p>
    <w:p>
      <w:pPr>
        <w:pStyle w:val="5"/>
        <w:snapToGrid w:val="0"/>
        <w:spacing w:line="579" w:lineRule="exact"/>
        <w:ind w:firstLine="640" w:firstLineChars="200"/>
        <w:jc w:val="both"/>
        <w:outlineLvl w:val="1"/>
        <w:rPr>
          <w:rFonts w:ascii="Times New Roman" w:cs="Times New Roman"/>
          <w:color w:val="000000" w:themeColor="text1"/>
          <w:sz w:val="32"/>
          <w:szCs w:val="32"/>
          <w14:textFill>
            <w14:solidFill>
              <w14:schemeClr w14:val="tx1"/>
            </w14:solidFill>
          </w14:textFill>
        </w:rPr>
      </w:pPr>
      <w:bookmarkStart w:id="82" w:name="_Toc203669506"/>
      <w:r>
        <w:rPr>
          <w:rFonts w:ascii="Times New Roman" w:eastAsia="黑体" w:cs="Times New Roman"/>
          <w:color w:val="000000" w:themeColor="text1"/>
          <w:sz w:val="32"/>
          <w:szCs w:val="32"/>
          <w14:textFill>
            <w14:solidFill>
              <w14:schemeClr w14:val="tx1"/>
            </w14:solidFill>
          </w14:textFill>
        </w:rPr>
        <w:t>三、评价结论</w:t>
      </w:r>
      <w:bookmarkEnd w:id="82"/>
    </w:p>
    <w:p>
      <w:pPr>
        <w:snapToGrid w:val="0"/>
        <w:spacing w:line="579"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通过对自评材料的分析和现场评价，综合履职效能、管理效率两方面对部门资金使用分析显示：2024年，市委政研室在履职效能和管理效率方面存在一定的不足。主要问题是部分绩效指标值设置过于保守；“百千万工程”指挥部办公室在工作任务分解、执行以及跟踪监督方面存在欠缺；预算编制的精细化程度不够；成本管控措施不严格等。经综合分析评价，2024年市委政研室部门整体绩效评价得分为8</w:t>
      </w:r>
      <w:r>
        <w:rPr>
          <w:rFonts w:hint="eastAsia" w:eastAsia="仿宋_GB2312"/>
          <w:color w:val="000000" w:themeColor="text1"/>
          <w:kern w:val="0"/>
          <w:sz w:val="32"/>
          <w:szCs w:val="32"/>
          <w14:textFill>
            <w14:solidFill>
              <w14:schemeClr w14:val="tx1"/>
            </w14:solidFill>
          </w14:textFill>
        </w:rPr>
        <w:t>6</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14:textFill>
            <w14:solidFill>
              <w14:schemeClr w14:val="tx1"/>
            </w14:solidFill>
          </w14:textFill>
        </w:rPr>
        <w:t>3</w:t>
      </w:r>
      <w:r>
        <w:rPr>
          <w:rFonts w:eastAsia="仿宋_GB2312"/>
          <w:color w:val="000000" w:themeColor="text1"/>
          <w:kern w:val="0"/>
          <w:sz w:val="32"/>
          <w:szCs w:val="32"/>
          <w14:textFill>
            <w14:solidFill>
              <w14:schemeClr w14:val="tx1"/>
            </w14:solidFill>
          </w14:textFill>
        </w:rPr>
        <w:t>8分，绩效等级为“良”。</w:t>
      </w:r>
    </w:p>
    <w:p>
      <w:pPr>
        <w:adjustRightInd w:val="0"/>
        <w:snapToGrid w:val="0"/>
        <w:spacing w:before="156" w:beforeLines="50" w:after="156" w:afterLines="50"/>
        <w:jc w:val="center"/>
        <w:rPr>
          <w:rFonts w:eastAsia="黑体"/>
          <w:color w:val="000000" w:themeColor="text1"/>
          <w:kern w:val="0"/>
          <w:sz w:val="24"/>
          <w14:textFill>
            <w14:solidFill>
              <w14:schemeClr w14:val="tx1"/>
            </w14:solidFill>
          </w14:textFill>
        </w:rPr>
      </w:pPr>
      <w:r>
        <w:rPr>
          <w:rFonts w:eastAsia="黑体"/>
          <w:color w:val="000000" w:themeColor="text1"/>
          <w:kern w:val="0"/>
          <w:sz w:val="24"/>
          <w14:textFill>
            <w14:solidFill>
              <w14:schemeClr w14:val="tx1"/>
            </w14:solidFill>
          </w14:textFill>
        </w:rPr>
        <w:t>表4  评价情况总表</w:t>
      </w:r>
    </w:p>
    <w:tbl>
      <w:tblPr>
        <w:tblStyle w:val="18"/>
        <w:tblW w:w="7993" w:type="dxa"/>
        <w:jc w:val="center"/>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
      <w:tblGrid>
        <w:gridCol w:w="1701"/>
        <w:gridCol w:w="1288"/>
        <w:gridCol w:w="1668"/>
        <w:gridCol w:w="1668"/>
        <w:gridCol w:w="1668"/>
      </w:tblGrid>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tblHeader/>
          <w:jc w:val="center"/>
        </w:trPr>
        <w:tc>
          <w:tcPr>
            <w:tcW w:w="2989" w:type="dxa"/>
            <w:gridSpan w:val="2"/>
            <w:tcBorders>
              <w:top w:val="single" w:color="auto" w:sz="8" w:space="0"/>
              <w:bottom w:val="single" w:color="auto" w:sz="8" w:space="0"/>
              <w:tl2br w:val="nil"/>
              <w:tr2bl w:val="nil"/>
            </w:tcBorders>
            <w:shd w:val="clear" w:color="auto" w:fill="auto"/>
            <w:vAlign w:val="center"/>
          </w:tcPr>
          <w:p>
            <w:pPr>
              <w:widowControl/>
              <w:jc w:val="center"/>
              <w:textAlignment w:val="center"/>
              <w:rPr>
                <w:rFonts w:eastAsia="黑体"/>
                <w:color w:val="000000" w:themeColor="text1"/>
                <w:sz w:val="24"/>
                <w14:textFill>
                  <w14:solidFill>
                    <w14:schemeClr w14:val="tx1"/>
                  </w14:solidFill>
                </w14:textFill>
              </w:rPr>
            </w:pPr>
            <w:r>
              <w:rPr>
                <w:rFonts w:eastAsia="黑体"/>
                <w:color w:val="000000" w:themeColor="text1"/>
                <w:kern w:val="0"/>
                <w:sz w:val="24"/>
                <w:lang w:bidi="ar"/>
                <w14:textFill>
                  <w14:solidFill>
                    <w14:schemeClr w14:val="tx1"/>
                  </w14:solidFill>
                </w14:textFill>
              </w:rPr>
              <w:t>评价因素</w:t>
            </w:r>
          </w:p>
        </w:tc>
        <w:tc>
          <w:tcPr>
            <w:tcW w:w="1668" w:type="dxa"/>
            <w:tcBorders>
              <w:top w:val="single" w:color="auto" w:sz="8" w:space="0"/>
              <w:bottom w:val="single" w:color="auto" w:sz="8" w:space="0"/>
              <w:tl2br w:val="nil"/>
              <w:tr2bl w:val="nil"/>
            </w:tcBorders>
            <w:shd w:val="clear" w:color="auto" w:fill="auto"/>
            <w:vAlign w:val="center"/>
          </w:tcPr>
          <w:p>
            <w:pPr>
              <w:widowControl/>
              <w:jc w:val="center"/>
              <w:textAlignment w:val="center"/>
              <w:rPr>
                <w:rFonts w:eastAsia="黑体"/>
                <w:color w:val="000000" w:themeColor="text1"/>
                <w:sz w:val="24"/>
                <w14:textFill>
                  <w14:solidFill>
                    <w14:schemeClr w14:val="tx1"/>
                  </w14:solidFill>
                </w14:textFill>
              </w:rPr>
            </w:pPr>
            <w:r>
              <w:rPr>
                <w:rFonts w:eastAsia="黑体"/>
                <w:color w:val="000000" w:themeColor="text1"/>
                <w:kern w:val="0"/>
                <w:sz w:val="24"/>
                <w:lang w:bidi="ar"/>
                <w14:textFill>
                  <w14:solidFill>
                    <w14:schemeClr w14:val="tx1"/>
                  </w14:solidFill>
                </w14:textFill>
              </w:rPr>
              <w:t>二级指标</w:t>
            </w:r>
          </w:p>
        </w:tc>
        <w:tc>
          <w:tcPr>
            <w:tcW w:w="1668" w:type="dxa"/>
            <w:tcBorders>
              <w:top w:val="single" w:color="auto" w:sz="8" w:space="0"/>
              <w:bottom w:val="single" w:color="auto" w:sz="8" w:space="0"/>
              <w:tl2br w:val="nil"/>
              <w:tr2bl w:val="nil"/>
            </w:tcBorders>
            <w:shd w:val="clear" w:color="auto" w:fill="auto"/>
            <w:vAlign w:val="center"/>
          </w:tcPr>
          <w:p>
            <w:pPr>
              <w:widowControl/>
              <w:jc w:val="center"/>
              <w:textAlignment w:val="center"/>
              <w:rPr>
                <w:rFonts w:eastAsia="黑体"/>
                <w:color w:val="000000" w:themeColor="text1"/>
                <w:sz w:val="24"/>
                <w14:textFill>
                  <w14:solidFill>
                    <w14:schemeClr w14:val="tx1"/>
                  </w14:solidFill>
                </w14:textFill>
              </w:rPr>
            </w:pPr>
            <w:r>
              <w:rPr>
                <w:rFonts w:eastAsia="黑体"/>
                <w:color w:val="000000" w:themeColor="text1"/>
                <w:kern w:val="0"/>
                <w:sz w:val="24"/>
                <w:lang w:bidi="ar"/>
                <w14:textFill>
                  <w14:solidFill>
                    <w14:schemeClr w14:val="tx1"/>
                  </w14:solidFill>
                </w14:textFill>
              </w:rPr>
              <w:t>评价得分</w:t>
            </w:r>
          </w:p>
        </w:tc>
        <w:tc>
          <w:tcPr>
            <w:tcW w:w="1668" w:type="dxa"/>
            <w:tcBorders>
              <w:top w:val="single" w:color="auto" w:sz="8" w:space="0"/>
              <w:bottom w:val="single" w:color="auto" w:sz="8" w:space="0"/>
              <w:tl2br w:val="nil"/>
              <w:tr2bl w:val="nil"/>
            </w:tcBorders>
            <w:shd w:val="clear" w:color="auto" w:fill="auto"/>
            <w:vAlign w:val="center"/>
          </w:tcPr>
          <w:p>
            <w:pPr>
              <w:widowControl/>
              <w:jc w:val="center"/>
              <w:textAlignment w:val="center"/>
              <w:rPr>
                <w:rFonts w:eastAsia="黑体"/>
                <w:color w:val="000000" w:themeColor="text1"/>
                <w:sz w:val="24"/>
                <w14:textFill>
                  <w14:solidFill>
                    <w14:schemeClr w14:val="tx1"/>
                  </w14:solidFill>
                </w14:textFill>
              </w:rPr>
            </w:pPr>
            <w:r>
              <w:rPr>
                <w:rFonts w:eastAsia="黑体"/>
                <w:color w:val="000000" w:themeColor="text1"/>
                <w:kern w:val="0"/>
                <w:sz w:val="24"/>
                <w:lang w:bidi="ar"/>
                <w14:textFill>
                  <w14:solidFill>
                    <w14:schemeClr w14:val="tx1"/>
                  </w14:solidFill>
                </w14:textFill>
              </w:rPr>
              <w:t>得分率</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2989" w:type="dxa"/>
            <w:gridSpan w:val="2"/>
            <w:tcBorders>
              <w:top w:val="single" w:color="auto" w:sz="8" w:space="0"/>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评价总得分</w:t>
            </w:r>
          </w:p>
        </w:tc>
        <w:tc>
          <w:tcPr>
            <w:tcW w:w="1668" w:type="dxa"/>
            <w:tcBorders>
              <w:top w:val="single" w:color="auto" w:sz="8" w:space="0"/>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100</w:t>
            </w:r>
          </w:p>
        </w:tc>
        <w:tc>
          <w:tcPr>
            <w:tcW w:w="1668" w:type="dxa"/>
            <w:tcBorders>
              <w:top w:val="single" w:color="auto" w:sz="8" w:space="0"/>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8</w:t>
            </w:r>
            <w:r>
              <w:rPr>
                <w:rFonts w:hint="eastAsia"/>
                <w:color w:val="000000" w:themeColor="text1"/>
                <w:kern w:val="0"/>
                <w:sz w:val="24"/>
                <w:lang w:bidi="ar"/>
                <w14:textFill>
                  <w14:solidFill>
                    <w14:schemeClr w14:val="tx1"/>
                  </w14:solidFill>
                </w14:textFill>
              </w:rPr>
              <w:t>6</w:t>
            </w:r>
            <w:r>
              <w:rPr>
                <w:color w:val="000000" w:themeColor="text1"/>
                <w:kern w:val="0"/>
                <w:sz w:val="24"/>
                <w:lang w:bidi="ar"/>
                <w14:textFill>
                  <w14:solidFill>
                    <w14:schemeClr w14:val="tx1"/>
                  </w14:solidFill>
                </w14:textFill>
              </w:rPr>
              <w:t>.</w:t>
            </w:r>
            <w:r>
              <w:rPr>
                <w:rFonts w:hint="eastAsia"/>
                <w:color w:val="000000" w:themeColor="text1"/>
                <w:kern w:val="0"/>
                <w:sz w:val="24"/>
                <w:lang w:bidi="ar"/>
                <w14:textFill>
                  <w14:solidFill>
                    <w14:schemeClr w14:val="tx1"/>
                  </w14:solidFill>
                </w14:textFill>
              </w:rPr>
              <w:t>3</w:t>
            </w:r>
            <w:r>
              <w:rPr>
                <w:color w:val="000000" w:themeColor="text1"/>
                <w:kern w:val="0"/>
                <w:sz w:val="24"/>
                <w:lang w:bidi="ar"/>
                <w14:textFill>
                  <w14:solidFill>
                    <w14:schemeClr w14:val="tx1"/>
                  </w14:solidFill>
                </w14:textFill>
              </w:rPr>
              <w:t>8</w:t>
            </w:r>
          </w:p>
        </w:tc>
        <w:tc>
          <w:tcPr>
            <w:tcW w:w="1668" w:type="dxa"/>
            <w:tcBorders>
              <w:top w:val="single" w:color="auto" w:sz="8" w:space="0"/>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8</w:t>
            </w:r>
            <w:r>
              <w:rPr>
                <w:rFonts w:hint="eastAsia"/>
                <w:color w:val="000000" w:themeColor="text1"/>
                <w:kern w:val="0"/>
                <w:sz w:val="24"/>
                <w:lang w:bidi="ar"/>
                <w14:textFill>
                  <w14:solidFill>
                    <w14:schemeClr w14:val="tx1"/>
                  </w14:solidFill>
                </w14:textFill>
              </w:rPr>
              <w:t>6</w:t>
            </w:r>
            <w:r>
              <w:rPr>
                <w:color w:val="000000" w:themeColor="text1"/>
                <w:kern w:val="0"/>
                <w:sz w:val="24"/>
                <w:lang w:bidi="ar"/>
                <w14:textFill>
                  <w14:solidFill>
                    <w14:schemeClr w14:val="tx1"/>
                  </w14:solidFill>
                </w14:textFill>
              </w:rPr>
              <w:t>.</w:t>
            </w:r>
            <w:r>
              <w:rPr>
                <w:rFonts w:hint="eastAsia"/>
                <w:color w:val="000000" w:themeColor="text1"/>
                <w:kern w:val="0"/>
                <w:sz w:val="24"/>
                <w:lang w:bidi="ar"/>
                <w14:textFill>
                  <w14:solidFill>
                    <w14:schemeClr w14:val="tx1"/>
                  </w14:solidFill>
                </w14:textFill>
              </w:rPr>
              <w:t>3</w:t>
            </w:r>
            <w:r>
              <w:rPr>
                <w:color w:val="000000" w:themeColor="text1"/>
                <w:kern w:val="0"/>
                <w:sz w:val="24"/>
                <w:lang w:bidi="ar"/>
                <w14:textFill>
                  <w14:solidFill>
                    <w14:schemeClr w14:val="tx1"/>
                  </w14:solidFill>
                </w14:textFill>
              </w:rPr>
              <w:t>8%</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701" w:type="dxa"/>
            <w:vMerge w:val="restart"/>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一、履职效能</w:t>
            </w:r>
          </w:p>
        </w:tc>
        <w:tc>
          <w:tcPr>
            <w:tcW w:w="128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整体效能</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10</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9.83</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98.30%</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701" w:type="dxa"/>
            <w:vMerge w:val="continue"/>
            <w:tcBorders>
              <w:tl2br w:val="nil"/>
              <w:tr2bl w:val="nil"/>
            </w:tcBorders>
            <w:shd w:val="clear" w:color="auto" w:fill="auto"/>
            <w:vAlign w:val="center"/>
          </w:tcPr>
          <w:p>
            <w:pPr>
              <w:widowControl/>
              <w:jc w:val="center"/>
              <w:rPr>
                <w:color w:val="000000" w:themeColor="text1"/>
                <w:sz w:val="24"/>
                <w14:textFill>
                  <w14:solidFill>
                    <w14:schemeClr w14:val="tx1"/>
                  </w14:solidFill>
                </w14:textFill>
              </w:rPr>
            </w:pPr>
          </w:p>
        </w:tc>
        <w:tc>
          <w:tcPr>
            <w:tcW w:w="128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项目效能</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40</w:t>
            </w:r>
          </w:p>
        </w:tc>
        <w:tc>
          <w:tcPr>
            <w:tcW w:w="1668" w:type="dxa"/>
            <w:tcBorders>
              <w:tl2br w:val="nil"/>
              <w:tr2bl w:val="nil"/>
            </w:tcBorders>
            <w:shd w:val="clear" w:color="auto" w:fill="auto"/>
            <w:vAlign w:val="center"/>
          </w:tcPr>
          <w:p>
            <w:pPr>
              <w:widowControl/>
              <w:jc w:val="center"/>
              <w:textAlignment w:val="center"/>
              <w:rPr>
                <w:rFonts w:hint="eastAsia"/>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3</w:t>
            </w:r>
            <w:r>
              <w:rPr>
                <w:rFonts w:hint="eastAsia"/>
                <w:color w:val="000000" w:themeColor="text1"/>
                <w:kern w:val="0"/>
                <w:sz w:val="24"/>
                <w:lang w:bidi="ar"/>
                <w14:textFill>
                  <w14:solidFill>
                    <w14:schemeClr w14:val="tx1"/>
                  </w14:solidFill>
                </w14:textFill>
              </w:rPr>
              <w:t>3</w:t>
            </w:r>
            <w:r>
              <w:rPr>
                <w:color w:val="000000" w:themeColor="text1"/>
                <w:kern w:val="0"/>
                <w:sz w:val="24"/>
                <w:lang w:bidi="ar"/>
                <w14:textFill>
                  <w14:solidFill>
                    <w14:schemeClr w14:val="tx1"/>
                  </w14:solidFill>
                </w14:textFill>
              </w:rPr>
              <w:t>.</w:t>
            </w:r>
            <w:r>
              <w:rPr>
                <w:rFonts w:hint="eastAsia"/>
                <w:color w:val="000000" w:themeColor="text1"/>
                <w:kern w:val="0"/>
                <w:sz w:val="24"/>
                <w:lang w:bidi="ar"/>
                <w14:textFill>
                  <w14:solidFill>
                    <w14:schemeClr w14:val="tx1"/>
                  </w14:solidFill>
                </w14:textFill>
              </w:rPr>
              <w:t>1</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8</w:t>
            </w:r>
            <w:r>
              <w:rPr>
                <w:rFonts w:hint="eastAsia"/>
                <w:color w:val="000000" w:themeColor="text1"/>
                <w:kern w:val="0"/>
                <w:sz w:val="24"/>
                <w:lang w:bidi="ar"/>
                <w14:textFill>
                  <w14:solidFill>
                    <w14:schemeClr w14:val="tx1"/>
                  </w14:solidFill>
                </w14:textFill>
              </w:rPr>
              <w:t>2</w:t>
            </w:r>
            <w:r>
              <w:rPr>
                <w:color w:val="000000" w:themeColor="text1"/>
                <w:kern w:val="0"/>
                <w:sz w:val="24"/>
                <w:lang w:bidi="ar"/>
                <w14:textFill>
                  <w14:solidFill>
                    <w14:schemeClr w14:val="tx1"/>
                  </w14:solidFill>
                </w14:textFill>
              </w:rPr>
              <w:t>.75%</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701" w:type="dxa"/>
            <w:vMerge w:val="restart"/>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二、管理效率</w:t>
            </w:r>
          </w:p>
        </w:tc>
        <w:tc>
          <w:tcPr>
            <w:tcW w:w="128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预算管理</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10</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8.95</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89.50%</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701" w:type="dxa"/>
            <w:vMerge w:val="continue"/>
            <w:tcBorders>
              <w:tl2br w:val="nil"/>
              <w:tr2bl w:val="nil"/>
            </w:tcBorders>
            <w:shd w:val="clear" w:color="auto" w:fill="auto"/>
            <w:vAlign w:val="center"/>
          </w:tcPr>
          <w:p>
            <w:pPr>
              <w:widowControl/>
              <w:jc w:val="center"/>
              <w:rPr>
                <w:color w:val="000000" w:themeColor="text1"/>
                <w:sz w:val="24"/>
                <w14:textFill>
                  <w14:solidFill>
                    <w14:schemeClr w14:val="tx1"/>
                  </w14:solidFill>
                </w14:textFill>
              </w:rPr>
            </w:pPr>
          </w:p>
        </w:tc>
        <w:tc>
          <w:tcPr>
            <w:tcW w:w="128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目标管理</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10</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8</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80.00%</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701" w:type="dxa"/>
            <w:vMerge w:val="continue"/>
            <w:tcBorders>
              <w:tl2br w:val="nil"/>
              <w:tr2bl w:val="nil"/>
            </w:tcBorders>
            <w:shd w:val="clear" w:color="auto" w:fill="auto"/>
            <w:vAlign w:val="center"/>
          </w:tcPr>
          <w:p>
            <w:pPr>
              <w:widowControl/>
              <w:jc w:val="center"/>
              <w:rPr>
                <w:color w:val="000000" w:themeColor="text1"/>
                <w:sz w:val="24"/>
                <w14:textFill>
                  <w14:solidFill>
                    <w14:schemeClr w14:val="tx1"/>
                  </w14:solidFill>
                </w14:textFill>
              </w:rPr>
            </w:pPr>
          </w:p>
        </w:tc>
        <w:tc>
          <w:tcPr>
            <w:tcW w:w="128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成本管控</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18</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15</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83.33%</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701" w:type="dxa"/>
            <w:vMerge w:val="continue"/>
            <w:tcBorders>
              <w:tl2br w:val="nil"/>
              <w:tr2bl w:val="nil"/>
            </w:tcBorders>
            <w:shd w:val="clear" w:color="auto" w:fill="auto"/>
            <w:vAlign w:val="center"/>
          </w:tcPr>
          <w:p>
            <w:pPr>
              <w:widowControl/>
              <w:jc w:val="center"/>
              <w:rPr>
                <w:color w:val="000000" w:themeColor="text1"/>
                <w:sz w:val="24"/>
                <w14:textFill>
                  <w14:solidFill>
                    <w14:schemeClr w14:val="tx1"/>
                  </w14:solidFill>
                </w14:textFill>
              </w:rPr>
            </w:pPr>
          </w:p>
        </w:tc>
        <w:tc>
          <w:tcPr>
            <w:tcW w:w="128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财务管理</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4</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3.5</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87.50%</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701" w:type="dxa"/>
            <w:vMerge w:val="continue"/>
            <w:tcBorders>
              <w:tl2br w:val="nil"/>
              <w:tr2bl w:val="nil"/>
            </w:tcBorders>
            <w:shd w:val="clear" w:color="auto" w:fill="auto"/>
            <w:vAlign w:val="center"/>
          </w:tcPr>
          <w:p>
            <w:pPr>
              <w:widowControl/>
              <w:jc w:val="center"/>
              <w:rPr>
                <w:color w:val="000000" w:themeColor="text1"/>
                <w:sz w:val="24"/>
                <w14:textFill>
                  <w14:solidFill>
                    <w14:schemeClr w14:val="tx1"/>
                  </w14:solidFill>
                </w14:textFill>
              </w:rPr>
            </w:pPr>
          </w:p>
        </w:tc>
        <w:tc>
          <w:tcPr>
            <w:tcW w:w="128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应用管理</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8</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8</w:t>
            </w:r>
          </w:p>
        </w:tc>
        <w:tc>
          <w:tcPr>
            <w:tcW w:w="1668" w:type="dxa"/>
            <w:tcBorders>
              <w:tl2br w:val="nil"/>
              <w:tr2bl w:val="nil"/>
            </w:tcBorders>
            <w:shd w:val="clear" w:color="auto" w:fill="auto"/>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100.00%</w:t>
            </w:r>
          </w:p>
        </w:tc>
      </w:tr>
    </w:tbl>
    <w:p>
      <w:pPr>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附件：中国共产党江门市委员会政策研究室2024年度部门整体支出绩效评价指标评分表</w:t>
      </w:r>
    </w:p>
    <w:p>
      <w:pPr>
        <w:rPr>
          <w:rFonts w:eastAsia="仿宋_GB2312"/>
          <w:color w:val="000000" w:themeColor="text1"/>
          <w:kern w:val="0"/>
          <w:sz w:val="32"/>
          <w:szCs w:val="32"/>
          <w14:textFill>
            <w14:solidFill>
              <w14:schemeClr w14:val="tx1"/>
            </w14:solidFill>
          </w14:textFill>
        </w:rPr>
        <w:sectPr>
          <w:pgSz w:w="11906" w:h="16838"/>
          <w:pgMar w:top="2098" w:right="1474" w:bottom="1985" w:left="1588" w:header="851" w:footer="992" w:gutter="0"/>
          <w:pgNumType w:start="1"/>
          <w:cols w:space="425" w:num="1"/>
          <w:docGrid w:type="lines" w:linePitch="312" w:charSpace="0"/>
        </w:sectPr>
      </w:pPr>
    </w:p>
    <w:p>
      <w:pPr>
        <w:outlineLvl w:val="0"/>
        <w:rPr>
          <w:rFonts w:eastAsia="方正小标宋_GBK"/>
          <w:color w:val="000000" w:themeColor="text1"/>
          <w:kern w:val="0"/>
          <w:sz w:val="32"/>
          <w:szCs w:val="32"/>
          <w14:textFill>
            <w14:solidFill>
              <w14:schemeClr w14:val="tx1"/>
            </w14:solidFill>
          </w14:textFill>
        </w:rPr>
      </w:pPr>
      <w:bookmarkStart w:id="83" w:name="_Toc203669507"/>
      <w:r>
        <w:rPr>
          <w:rFonts w:eastAsia="方正小标宋_GBK"/>
          <w:color w:val="000000" w:themeColor="text1"/>
          <w:kern w:val="0"/>
          <w:sz w:val="32"/>
          <w:szCs w:val="32"/>
          <w14:textFill>
            <w14:solidFill>
              <w14:schemeClr w14:val="tx1"/>
            </w14:solidFill>
          </w14:textFill>
        </w:rPr>
        <w:t>附件  中国共产党江门市委员会政策研究室2024年度部门整体支出绩效评价指标评分表</w:t>
      </w:r>
      <w:bookmarkEnd w:id="83"/>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630"/>
        <w:gridCol w:w="710"/>
        <w:gridCol w:w="567"/>
        <w:gridCol w:w="708"/>
        <w:gridCol w:w="567"/>
        <w:gridCol w:w="851"/>
        <w:gridCol w:w="2409"/>
        <w:gridCol w:w="710"/>
        <w:gridCol w:w="3403"/>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32" w:type="pct"/>
            <w:shd w:val="clear" w:color="auto" w:fill="auto"/>
            <w:vAlign w:val="center"/>
          </w:tcPr>
          <w:p>
            <w:pPr>
              <w:widowControl/>
              <w:jc w:val="center"/>
              <w:rPr>
                <w:rFonts w:eastAsia="黑体"/>
                <w:b/>
                <w:bCs/>
                <w:kern w:val="0"/>
                <w:sz w:val="20"/>
                <w:szCs w:val="20"/>
              </w:rPr>
            </w:pPr>
            <w:r>
              <w:rPr>
                <w:rFonts w:eastAsia="黑体"/>
                <w:b/>
                <w:bCs/>
                <w:kern w:val="0"/>
                <w:sz w:val="20"/>
                <w:szCs w:val="20"/>
              </w:rPr>
              <w:t>一级指标</w:t>
            </w:r>
          </w:p>
        </w:tc>
        <w:tc>
          <w:tcPr>
            <w:tcW w:w="229" w:type="pct"/>
            <w:shd w:val="clear" w:color="auto" w:fill="auto"/>
            <w:vAlign w:val="center"/>
          </w:tcPr>
          <w:p>
            <w:pPr>
              <w:widowControl/>
              <w:jc w:val="center"/>
              <w:rPr>
                <w:rFonts w:eastAsia="黑体"/>
                <w:b/>
                <w:bCs/>
                <w:kern w:val="0"/>
                <w:sz w:val="20"/>
                <w:szCs w:val="20"/>
              </w:rPr>
            </w:pPr>
            <w:r>
              <w:rPr>
                <w:rFonts w:eastAsia="黑体"/>
                <w:b/>
                <w:bCs/>
                <w:kern w:val="0"/>
                <w:sz w:val="20"/>
                <w:szCs w:val="20"/>
              </w:rPr>
              <w:t>分值</w:t>
            </w:r>
          </w:p>
        </w:tc>
        <w:tc>
          <w:tcPr>
            <w:tcW w:w="258" w:type="pct"/>
            <w:shd w:val="clear" w:color="auto" w:fill="auto"/>
            <w:vAlign w:val="center"/>
          </w:tcPr>
          <w:p>
            <w:pPr>
              <w:widowControl/>
              <w:jc w:val="center"/>
              <w:rPr>
                <w:rFonts w:eastAsia="黑体"/>
                <w:b/>
                <w:bCs/>
                <w:kern w:val="0"/>
                <w:sz w:val="20"/>
                <w:szCs w:val="20"/>
              </w:rPr>
            </w:pPr>
            <w:r>
              <w:rPr>
                <w:rFonts w:eastAsia="黑体"/>
                <w:b/>
                <w:bCs/>
                <w:kern w:val="0"/>
                <w:sz w:val="20"/>
                <w:szCs w:val="20"/>
              </w:rPr>
              <w:t>二级指标</w:t>
            </w:r>
          </w:p>
        </w:tc>
        <w:tc>
          <w:tcPr>
            <w:tcW w:w="206" w:type="pct"/>
            <w:shd w:val="clear" w:color="auto" w:fill="auto"/>
            <w:vAlign w:val="center"/>
          </w:tcPr>
          <w:p>
            <w:pPr>
              <w:widowControl/>
              <w:jc w:val="center"/>
              <w:rPr>
                <w:rFonts w:eastAsia="黑体"/>
                <w:b/>
                <w:bCs/>
                <w:kern w:val="0"/>
                <w:sz w:val="20"/>
                <w:szCs w:val="20"/>
              </w:rPr>
            </w:pPr>
            <w:r>
              <w:rPr>
                <w:rFonts w:eastAsia="黑体"/>
                <w:b/>
                <w:bCs/>
                <w:kern w:val="0"/>
                <w:sz w:val="20"/>
                <w:szCs w:val="20"/>
              </w:rPr>
              <w:t>分值</w:t>
            </w:r>
          </w:p>
        </w:tc>
        <w:tc>
          <w:tcPr>
            <w:tcW w:w="257" w:type="pct"/>
            <w:shd w:val="clear" w:color="auto" w:fill="auto"/>
            <w:vAlign w:val="center"/>
          </w:tcPr>
          <w:p>
            <w:pPr>
              <w:widowControl/>
              <w:jc w:val="center"/>
              <w:rPr>
                <w:rFonts w:eastAsia="黑体"/>
                <w:b/>
                <w:bCs/>
                <w:kern w:val="0"/>
                <w:sz w:val="20"/>
                <w:szCs w:val="20"/>
              </w:rPr>
            </w:pPr>
            <w:r>
              <w:rPr>
                <w:rFonts w:eastAsia="黑体"/>
                <w:b/>
                <w:bCs/>
                <w:kern w:val="0"/>
                <w:sz w:val="20"/>
                <w:szCs w:val="20"/>
              </w:rPr>
              <w:t>三级指标</w:t>
            </w:r>
          </w:p>
        </w:tc>
        <w:tc>
          <w:tcPr>
            <w:tcW w:w="206" w:type="pct"/>
            <w:shd w:val="clear" w:color="auto" w:fill="auto"/>
            <w:vAlign w:val="center"/>
          </w:tcPr>
          <w:p>
            <w:pPr>
              <w:widowControl/>
              <w:jc w:val="center"/>
              <w:rPr>
                <w:rFonts w:eastAsia="黑体"/>
                <w:b/>
                <w:bCs/>
                <w:kern w:val="0"/>
                <w:sz w:val="20"/>
                <w:szCs w:val="20"/>
              </w:rPr>
            </w:pPr>
            <w:r>
              <w:rPr>
                <w:rFonts w:eastAsia="黑体"/>
                <w:b/>
                <w:bCs/>
                <w:kern w:val="0"/>
                <w:sz w:val="20"/>
                <w:szCs w:val="20"/>
              </w:rPr>
              <w:t>分值</w:t>
            </w:r>
          </w:p>
        </w:tc>
        <w:tc>
          <w:tcPr>
            <w:tcW w:w="309" w:type="pct"/>
            <w:shd w:val="clear" w:color="auto" w:fill="auto"/>
            <w:vAlign w:val="center"/>
          </w:tcPr>
          <w:p>
            <w:pPr>
              <w:widowControl/>
              <w:jc w:val="center"/>
              <w:rPr>
                <w:rFonts w:eastAsia="黑体"/>
                <w:b/>
                <w:bCs/>
                <w:kern w:val="0"/>
                <w:sz w:val="20"/>
                <w:szCs w:val="20"/>
              </w:rPr>
            </w:pPr>
            <w:r>
              <w:rPr>
                <w:rFonts w:eastAsia="黑体"/>
                <w:b/>
                <w:bCs/>
                <w:kern w:val="0"/>
                <w:sz w:val="20"/>
                <w:szCs w:val="20"/>
              </w:rPr>
              <w:t>指标解释</w:t>
            </w:r>
          </w:p>
        </w:tc>
        <w:tc>
          <w:tcPr>
            <w:tcW w:w="875" w:type="pct"/>
            <w:shd w:val="clear" w:color="auto" w:fill="auto"/>
            <w:vAlign w:val="center"/>
          </w:tcPr>
          <w:p>
            <w:pPr>
              <w:widowControl/>
              <w:jc w:val="center"/>
              <w:rPr>
                <w:rFonts w:eastAsia="黑体"/>
                <w:b/>
                <w:bCs/>
                <w:kern w:val="0"/>
                <w:sz w:val="20"/>
                <w:szCs w:val="20"/>
              </w:rPr>
            </w:pPr>
            <w:r>
              <w:rPr>
                <w:rFonts w:eastAsia="黑体"/>
                <w:b/>
                <w:bCs/>
                <w:kern w:val="0"/>
                <w:sz w:val="20"/>
                <w:szCs w:val="20"/>
              </w:rPr>
              <w:t>评分标准</w:t>
            </w:r>
          </w:p>
        </w:tc>
        <w:tc>
          <w:tcPr>
            <w:tcW w:w="258" w:type="pct"/>
            <w:shd w:val="clear" w:color="auto" w:fill="auto"/>
            <w:vAlign w:val="center"/>
          </w:tcPr>
          <w:p>
            <w:pPr>
              <w:widowControl/>
              <w:jc w:val="center"/>
              <w:rPr>
                <w:rFonts w:eastAsia="黑体"/>
                <w:b/>
                <w:bCs/>
                <w:kern w:val="0"/>
                <w:sz w:val="20"/>
                <w:szCs w:val="20"/>
              </w:rPr>
            </w:pPr>
            <w:r>
              <w:rPr>
                <w:rFonts w:eastAsia="黑体"/>
                <w:b/>
                <w:bCs/>
                <w:kern w:val="0"/>
                <w:sz w:val="20"/>
                <w:szCs w:val="20"/>
              </w:rPr>
              <w:t>得分</w:t>
            </w:r>
          </w:p>
        </w:tc>
        <w:tc>
          <w:tcPr>
            <w:tcW w:w="1236" w:type="pct"/>
            <w:shd w:val="clear" w:color="auto" w:fill="auto"/>
            <w:vAlign w:val="center"/>
          </w:tcPr>
          <w:p>
            <w:pPr>
              <w:widowControl/>
              <w:jc w:val="center"/>
              <w:rPr>
                <w:rFonts w:eastAsia="黑体"/>
                <w:b/>
                <w:bCs/>
                <w:kern w:val="0"/>
                <w:sz w:val="20"/>
                <w:szCs w:val="20"/>
              </w:rPr>
            </w:pPr>
            <w:r>
              <w:rPr>
                <w:rFonts w:eastAsia="黑体"/>
                <w:b/>
                <w:bCs/>
                <w:kern w:val="0"/>
                <w:sz w:val="20"/>
                <w:szCs w:val="20"/>
              </w:rPr>
              <w:t>原因分析</w:t>
            </w:r>
          </w:p>
        </w:tc>
        <w:tc>
          <w:tcPr>
            <w:tcW w:w="934" w:type="pct"/>
            <w:shd w:val="clear" w:color="auto" w:fill="auto"/>
            <w:vAlign w:val="center"/>
          </w:tcPr>
          <w:p>
            <w:pPr>
              <w:widowControl/>
              <w:jc w:val="center"/>
              <w:rPr>
                <w:rFonts w:eastAsia="黑体"/>
                <w:b/>
                <w:bCs/>
                <w:kern w:val="0"/>
                <w:sz w:val="20"/>
                <w:szCs w:val="20"/>
              </w:rPr>
            </w:pPr>
            <w:r>
              <w:rPr>
                <w:rFonts w:eastAsia="黑体"/>
                <w:b/>
                <w:bCs/>
                <w:kern w:val="0"/>
                <w:sz w:val="20"/>
                <w:szCs w:val="20"/>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restart"/>
            <w:shd w:val="clear" w:color="auto" w:fill="auto"/>
            <w:vAlign w:val="center"/>
          </w:tcPr>
          <w:p>
            <w:pPr>
              <w:widowControl/>
              <w:jc w:val="center"/>
              <w:rPr>
                <w:kern w:val="0"/>
                <w:sz w:val="20"/>
                <w:szCs w:val="20"/>
              </w:rPr>
            </w:pPr>
            <w:r>
              <w:rPr>
                <w:kern w:val="0"/>
                <w:sz w:val="20"/>
                <w:szCs w:val="20"/>
              </w:rPr>
              <w:t>履职效能</w:t>
            </w:r>
          </w:p>
        </w:tc>
        <w:tc>
          <w:tcPr>
            <w:tcW w:w="229" w:type="pct"/>
            <w:vMerge w:val="restart"/>
            <w:shd w:val="clear" w:color="auto" w:fill="auto"/>
            <w:vAlign w:val="center"/>
          </w:tcPr>
          <w:p>
            <w:pPr>
              <w:widowControl/>
              <w:jc w:val="center"/>
              <w:rPr>
                <w:kern w:val="0"/>
                <w:sz w:val="20"/>
                <w:szCs w:val="20"/>
              </w:rPr>
            </w:pPr>
            <w:r>
              <w:rPr>
                <w:kern w:val="0"/>
                <w:sz w:val="20"/>
                <w:szCs w:val="20"/>
              </w:rPr>
              <w:t>50</w:t>
            </w:r>
          </w:p>
        </w:tc>
        <w:tc>
          <w:tcPr>
            <w:tcW w:w="258" w:type="pct"/>
            <w:vMerge w:val="restart"/>
            <w:shd w:val="clear" w:color="auto" w:fill="auto"/>
            <w:vAlign w:val="center"/>
          </w:tcPr>
          <w:p>
            <w:pPr>
              <w:widowControl/>
              <w:jc w:val="center"/>
              <w:rPr>
                <w:kern w:val="0"/>
                <w:sz w:val="20"/>
                <w:szCs w:val="20"/>
              </w:rPr>
            </w:pPr>
            <w:r>
              <w:rPr>
                <w:kern w:val="0"/>
                <w:sz w:val="20"/>
                <w:szCs w:val="20"/>
              </w:rPr>
              <w:t>整体效能</w:t>
            </w:r>
          </w:p>
        </w:tc>
        <w:tc>
          <w:tcPr>
            <w:tcW w:w="206" w:type="pct"/>
            <w:vMerge w:val="restart"/>
            <w:shd w:val="clear" w:color="auto" w:fill="auto"/>
            <w:vAlign w:val="center"/>
          </w:tcPr>
          <w:p>
            <w:pPr>
              <w:widowControl/>
              <w:jc w:val="center"/>
              <w:rPr>
                <w:kern w:val="0"/>
                <w:sz w:val="20"/>
                <w:szCs w:val="20"/>
              </w:rPr>
            </w:pPr>
            <w:r>
              <w:rPr>
                <w:kern w:val="0"/>
                <w:sz w:val="20"/>
                <w:szCs w:val="20"/>
              </w:rPr>
              <w:t>10</w:t>
            </w:r>
          </w:p>
        </w:tc>
        <w:tc>
          <w:tcPr>
            <w:tcW w:w="257" w:type="pct"/>
            <w:shd w:val="clear" w:color="auto" w:fill="auto"/>
            <w:vAlign w:val="center"/>
          </w:tcPr>
          <w:p>
            <w:pPr>
              <w:widowControl/>
              <w:jc w:val="center"/>
              <w:rPr>
                <w:kern w:val="0"/>
                <w:sz w:val="20"/>
                <w:szCs w:val="20"/>
              </w:rPr>
            </w:pPr>
            <w:r>
              <w:rPr>
                <w:kern w:val="0"/>
                <w:sz w:val="20"/>
                <w:szCs w:val="20"/>
              </w:rPr>
              <w:t>部门整体绩效目标产出指标完成情况</w:t>
            </w:r>
          </w:p>
        </w:tc>
        <w:tc>
          <w:tcPr>
            <w:tcW w:w="206" w:type="pct"/>
            <w:shd w:val="clear" w:color="auto" w:fill="auto"/>
            <w:vAlign w:val="center"/>
          </w:tcPr>
          <w:p>
            <w:pPr>
              <w:widowControl/>
              <w:jc w:val="center"/>
              <w:rPr>
                <w:kern w:val="0"/>
                <w:sz w:val="20"/>
                <w:szCs w:val="20"/>
              </w:rPr>
            </w:pPr>
            <w:r>
              <w:rPr>
                <w:kern w:val="0"/>
                <w:sz w:val="20"/>
                <w:szCs w:val="20"/>
              </w:rPr>
              <w:t>5</w:t>
            </w:r>
          </w:p>
        </w:tc>
        <w:tc>
          <w:tcPr>
            <w:tcW w:w="309" w:type="pct"/>
            <w:shd w:val="clear" w:color="auto" w:fill="auto"/>
            <w:vAlign w:val="center"/>
          </w:tcPr>
          <w:p>
            <w:pPr>
              <w:widowControl/>
              <w:rPr>
                <w:kern w:val="0"/>
                <w:sz w:val="20"/>
                <w:szCs w:val="20"/>
              </w:rPr>
            </w:pPr>
            <w:r>
              <w:rPr>
                <w:kern w:val="0"/>
                <w:sz w:val="20"/>
                <w:szCs w:val="20"/>
              </w:rPr>
              <w:t>反映年度预算编报时确定的部门整体预算绩效目标中产出指标完成情况。</w:t>
            </w:r>
          </w:p>
        </w:tc>
        <w:tc>
          <w:tcPr>
            <w:tcW w:w="875" w:type="pct"/>
            <w:shd w:val="clear" w:color="auto" w:fill="auto"/>
            <w:vAlign w:val="center"/>
          </w:tcPr>
          <w:p>
            <w:pPr>
              <w:widowControl/>
              <w:rPr>
                <w:kern w:val="0"/>
                <w:sz w:val="20"/>
                <w:szCs w:val="20"/>
              </w:rPr>
            </w:pPr>
            <w:r>
              <w:rPr>
                <w:kern w:val="0"/>
                <w:sz w:val="20"/>
                <w:szCs w:val="20"/>
              </w:rPr>
              <w:t>1．首先根据绩效目标表（实际完成值/年初目标值）计算产出指标完成率。按完成率计分，并设置及格门槛：</w:t>
            </w:r>
            <w:r>
              <w:rPr>
                <w:kern w:val="0"/>
                <w:sz w:val="20"/>
                <w:szCs w:val="20"/>
              </w:rPr>
              <w:br w:type="textWrapping"/>
            </w:r>
            <w:r>
              <w:rPr>
                <w:kern w:val="0"/>
                <w:sz w:val="20"/>
                <w:szCs w:val="20"/>
              </w:rPr>
              <w:t>（1）完成率60%以下为不及格，不得分；</w:t>
            </w:r>
            <w:r>
              <w:rPr>
                <w:kern w:val="0"/>
                <w:sz w:val="20"/>
                <w:szCs w:val="20"/>
              </w:rPr>
              <w:br w:type="textWrapping"/>
            </w:r>
            <w:r>
              <w:rPr>
                <w:kern w:val="0"/>
                <w:sz w:val="20"/>
                <w:szCs w:val="20"/>
              </w:rPr>
              <w:t>（2）完成率为60%-100%的，得分=完成率×本指标分值；</w:t>
            </w:r>
            <w:r>
              <w:rPr>
                <w:kern w:val="0"/>
                <w:sz w:val="20"/>
                <w:szCs w:val="20"/>
              </w:rPr>
              <w:br w:type="textWrapping"/>
            </w:r>
            <w:r>
              <w:rPr>
                <w:kern w:val="0"/>
                <w:sz w:val="20"/>
                <w:szCs w:val="20"/>
              </w:rPr>
              <w:t>（3）完成率为100-150%的，得满分；</w:t>
            </w:r>
            <w:r>
              <w:rPr>
                <w:kern w:val="0"/>
                <w:sz w:val="20"/>
                <w:szCs w:val="20"/>
              </w:rPr>
              <w:br w:type="textWrapping"/>
            </w:r>
            <w:r>
              <w:rPr>
                <w:kern w:val="0"/>
                <w:sz w:val="20"/>
                <w:szCs w:val="20"/>
              </w:rPr>
              <w:t>（4）完成率高于150%的，得一半分。</w:t>
            </w:r>
            <w:r>
              <w:rPr>
                <w:kern w:val="0"/>
                <w:sz w:val="20"/>
                <w:szCs w:val="20"/>
              </w:rPr>
              <w:br w:type="textWrapping"/>
            </w:r>
            <w:r>
              <w:rPr>
                <w:kern w:val="0"/>
                <w:sz w:val="20"/>
                <w:szCs w:val="20"/>
              </w:rPr>
              <w:t>2．再计算本评价指标的综合得分=各产出指标得分合计÷产出指标个数。</w:t>
            </w:r>
            <w:r>
              <w:rPr>
                <w:kern w:val="0"/>
                <w:sz w:val="20"/>
                <w:szCs w:val="20"/>
              </w:rPr>
              <w:br w:type="textWrapping"/>
            </w:r>
            <w:r>
              <w:rPr>
                <w:kern w:val="0"/>
                <w:sz w:val="20"/>
                <w:szCs w:val="20"/>
              </w:rPr>
              <w:t>3．如未报整体绩效目标，此项自评不得分。</w:t>
            </w:r>
          </w:p>
        </w:tc>
        <w:tc>
          <w:tcPr>
            <w:tcW w:w="258" w:type="pct"/>
            <w:shd w:val="clear" w:color="auto" w:fill="auto"/>
            <w:vAlign w:val="center"/>
          </w:tcPr>
          <w:p>
            <w:pPr>
              <w:widowControl/>
              <w:jc w:val="center"/>
              <w:rPr>
                <w:kern w:val="0"/>
                <w:sz w:val="20"/>
                <w:szCs w:val="20"/>
              </w:rPr>
            </w:pPr>
            <w:r>
              <w:rPr>
                <w:kern w:val="0"/>
                <w:sz w:val="20"/>
                <w:szCs w:val="20"/>
              </w:rPr>
              <w:t>4.83</w:t>
            </w:r>
          </w:p>
        </w:tc>
        <w:tc>
          <w:tcPr>
            <w:tcW w:w="1236" w:type="pct"/>
            <w:shd w:val="clear" w:color="auto" w:fill="auto"/>
            <w:vAlign w:val="center"/>
          </w:tcPr>
          <w:p>
            <w:pPr>
              <w:widowControl/>
              <w:rPr>
                <w:kern w:val="0"/>
                <w:sz w:val="20"/>
                <w:szCs w:val="20"/>
              </w:rPr>
            </w:pPr>
            <w:r>
              <w:rPr>
                <w:kern w:val="0"/>
                <w:sz w:val="20"/>
                <w:szCs w:val="20"/>
              </w:rPr>
              <w:t>根据《市级部门整体预算绩效目标完成表》和相关佐证材料，市委政研室2024年设置产出指标共15项，其中完成率100-150%的指标14项，完成率高于150%的指标1项。根据评分标准，该项得分=5/15*14+5/15*1*0.5=4.83分。</w:t>
            </w:r>
          </w:p>
        </w:tc>
        <w:tc>
          <w:tcPr>
            <w:tcW w:w="934" w:type="pct"/>
            <w:shd w:val="clear" w:color="auto" w:fill="auto"/>
            <w:vAlign w:val="center"/>
          </w:tcPr>
          <w:p>
            <w:pPr>
              <w:widowControl/>
              <w:rPr>
                <w:kern w:val="0"/>
                <w:sz w:val="20"/>
                <w:szCs w:val="20"/>
              </w:rPr>
            </w:pPr>
            <w:r>
              <w:rPr>
                <w:kern w:val="0"/>
                <w:sz w:val="20"/>
                <w:szCs w:val="20"/>
              </w:rPr>
              <w:t>1．市委政研室《市级部门整体预算绩效目标申报表》</w:t>
            </w:r>
            <w:r>
              <w:rPr>
                <w:kern w:val="0"/>
                <w:sz w:val="20"/>
                <w:szCs w:val="20"/>
              </w:rPr>
              <w:br w:type="textWrapping"/>
            </w:r>
            <w:r>
              <w:rPr>
                <w:kern w:val="0"/>
                <w:sz w:val="20"/>
                <w:szCs w:val="20"/>
              </w:rPr>
              <w:t>2．市委政研室《市级部门整体预算绩效目标完成情况表》</w:t>
            </w:r>
            <w:r>
              <w:rPr>
                <w:kern w:val="0"/>
                <w:sz w:val="20"/>
                <w:szCs w:val="20"/>
              </w:rPr>
              <w:br w:type="textWrapping"/>
            </w:r>
            <w:r>
              <w:rPr>
                <w:kern w:val="0"/>
                <w:sz w:val="20"/>
                <w:szCs w:val="20"/>
              </w:rPr>
              <w:t>3．《市委政研室2024年课题计划完成情况表》</w:t>
            </w:r>
            <w:r>
              <w:rPr>
                <w:kern w:val="0"/>
                <w:sz w:val="20"/>
                <w:szCs w:val="20"/>
              </w:rPr>
              <w:br w:type="textWrapping"/>
            </w:r>
            <w:r>
              <w:rPr>
                <w:kern w:val="0"/>
                <w:sz w:val="20"/>
                <w:szCs w:val="20"/>
              </w:rPr>
              <w:t>4．《2024年会议情况登记表》</w:t>
            </w:r>
            <w:r>
              <w:rPr>
                <w:kern w:val="0"/>
                <w:sz w:val="20"/>
                <w:szCs w:val="20"/>
              </w:rPr>
              <w:br w:type="textWrapping"/>
            </w:r>
            <w:r>
              <w:rPr>
                <w:kern w:val="0"/>
                <w:sz w:val="20"/>
                <w:szCs w:val="20"/>
              </w:rPr>
              <w:t>5．《决策建议数》</w:t>
            </w:r>
            <w:r>
              <w:rPr>
                <w:kern w:val="0"/>
                <w:sz w:val="20"/>
                <w:szCs w:val="20"/>
              </w:rPr>
              <w:br w:type="textWrapping"/>
            </w:r>
            <w:r>
              <w:rPr>
                <w:kern w:val="0"/>
                <w:sz w:val="20"/>
                <w:szCs w:val="20"/>
              </w:rPr>
              <w:t>6．《2024年刊物采纳情况》</w:t>
            </w:r>
            <w:r>
              <w:rPr>
                <w:kern w:val="0"/>
                <w:sz w:val="20"/>
                <w:szCs w:val="20"/>
              </w:rPr>
              <w:br w:type="textWrapping"/>
            </w:r>
            <w:r>
              <w:rPr>
                <w:kern w:val="0"/>
                <w:sz w:val="20"/>
                <w:szCs w:val="20"/>
              </w:rPr>
              <w:t>7．《办公设备维修登记表》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continue"/>
            <w:vAlign w:val="center"/>
          </w:tcPr>
          <w:p>
            <w:pPr>
              <w:widowControl/>
              <w:jc w:val="center"/>
              <w:rPr>
                <w:kern w:val="0"/>
                <w:sz w:val="20"/>
                <w:szCs w:val="20"/>
              </w:rPr>
            </w:pPr>
          </w:p>
        </w:tc>
        <w:tc>
          <w:tcPr>
            <w:tcW w:w="206" w:type="pct"/>
            <w:vMerge w:val="continue"/>
            <w:vAlign w:val="center"/>
          </w:tcPr>
          <w:p>
            <w:pPr>
              <w:widowControl/>
              <w:jc w:val="center"/>
              <w:rPr>
                <w:kern w:val="0"/>
                <w:sz w:val="20"/>
                <w:szCs w:val="20"/>
              </w:rPr>
            </w:pPr>
          </w:p>
        </w:tc>
        <w:tc>
          <w:tcPr>
            <w:tcW w:w="257" w:type="pct"/>
            <w:shd w:val="clear" w:color="auto" w:fill="auto"/>
            <w:vAlign w:val="center"/>
          </w:tcPr>
          <w:p>
            <w:pPr>
              <w:widowControl/>
              <w:jc w:val="center"/>
              <w:rPr>
                <w:kern w:val="0"/>
                <w:sz w:val="20"/>
                <w:szCs w:val="20"/>
              </w:rPr>
            </w:pPr>
            <w:r>
              <w:rPr>
                <w:kern w:val="0"/>
                <w:sz w:val="20"/>
                <w:szCs w:val="20"/>
              </w:rPr>
              <w:t>部门整体绩效目标效益指标完成情况</w:t>
            </w:r>
          </w:p>
        </w:tc>
        <w:tc>
          <w:tcPr>
            <w:tcW w:w="206" w:type="pct"/>
            <w:shd w:val="clear" w:color="auto" w:fill="auto"/>
            <w:vAlign w:val="center"/>
          </w:tcPr>
          <w:p>
            <w:pPr>
              <w:widowControl/>
              <w:jc w:val="center"/>
              <w:rPr>
                <w:kern w:val="0"/>
                <w:sz w:val="20"/>
                <w:szCs w:val="20"/>
              </w:rPr>
            </w:pPr>
            <w:r>
              <w:rPr>
                <w:kern w:val="0"/>
                <w:sz w:val="20"/>
                <w:szCs w:val="20"/>
              </w:rPr>
              <w:t>5</w:t>
            </w:r>
          </w:p>
        </w:tc>
        <w:tc>
          <w:tcPr>
            <w:tcW w:w="309" w:type="pct"/>
            <w:shd w:val="clear" w:color="auto" w:fill="auto"/>
            <w:vAlign w:val="center"/>
          </w:tcPr>
          <w:p>
            <w:pPr>
              <w:widowControl/>
              <w:rPr>
                <w:kern w:val="0"/>
                <w:sz w:val="20"/>
                <w:szCs w:val="20"/>
              </w:rPr>
            </w:pPr>
            <w:r>
              <w:rPr>
                <w:kern w:val="0"/>
                <w:sz w:val="20"/>
                <w:szCs w:val="20"/>
              </w:rPr>
              <w:t>反映年度预算编报时确定的部门预算整体绩效目标中绩效指标完成情况。</w:t>
            </w:r>
          </w:p>
        </w:tc>
        <w:tc>
          <w:tcPr>
            <w:tcW w:w="875" w:type="pct"/>
            <w:shd w:val="clear" w:color="auto" w:fill="auto"/>
            <w:vAlign w:val="center"/>
          </w:tcPr>
          <w:p>
            <w:pPr>
              <w:widowControl/>
              <w:rPr>
                <w:kern w:val="0"/>
                <w:sz w:val="20"/>
                <w:szCs w:val="20"/>
              </w:rPr>
            </w:pPr>
            <w:r>
              <w:rPr>
                <w:kern w:val="0"/>
                <w:sz w:val="20"/>
                <w:szCs w:val="20"/>
              </w:rPr>
              <w:t>1．首先根据绩效目标表（实际完成值/年初目标值）计算效益指标完成率。按完成率计分，并设置及格门槛：</w:t>
            </w:r>
            <w:r>
              <w:rPr>
                <w:kern w:val="0"/>
                <w:sz w:val="20"/>
                <w:szCs w:val="20"/>
              </w:rPr>
              <w:br w:type="textWrapping"/>
            </w:r>
            <w:r>
              <w:rPr>
                <w:kern w:val="0"/>
                <w:sz w:val="20"/>
                <w:szCs w:val="20"/>
              </w:rPr>
              <w:t>（1）完成率60%以下为不及格，不得分；</w:t>
            </w:r>
            <w:r>
              <w:rPr>
                <w:kern w:val="0"/>
                <w:sz w:val="20"/>
                <w:szCs w:val="20"/>
              </w:rPr>
              <w:br w:type="textWrapping"/>
            </w:r>
            <w:r>
              <w:rPr>
                <w:kern w:val="0"/>
                <w:sz w:val="20"/>
                <w:szCs w:val="20"/>
              </w:rPr>
              <w:t>（2）完成率为60%-100%的，得分=完成率×本指标分值；</w:t>
            </w:r>
            <w:r>
              <w:rPr>
                <w:kern w:val="0"/>
                <w:sz w:val="20"/>
                <w:szCs w:val="20"/>
              </w:rPr>
              <w:br w:type="textWrapping"/>
            </w:r>
            <w:r>
              <w:rPr>
                <w:kern w:val="0"/>
                <w:sz w:val="20"/>
                <w:szCs w:val="20"/>
              </w:rPr>
              <w:t>（3）完成率为100-150%的，得满分；</w:t>
            </w:r>
            <w:r>
              <w:rPr>
                <w:kern w:val="0"/>
                <w:sz w:val="20"/>
                <w:szCs w:val="20"/>
              </w:rPr>
              <w:br w:type="textWrapping"/>
            </w:r>
            <w:r>
              <w:rPr>
                <w:kern w:val="0"/>
                <w:sz w:val="20"/>
                <w:szCs w:val="20"/>
              </w:rPr>
              <w:t>（4）完成率高于150%的，得一半分。</w:t>
            </w:r>
            <w:r>
              <w:rPr>
                <w:kern w:val="0"/>
                <w:sz w:val="20"/>
                <w:szCs w:val="20"/>
              </w:rPr>
              <w:br w:type="textWrapping"/>
            </w:r>
            <w:r>
              <w:rPr>
                <w:kern w:val="0"/>
                <w:sz w:val="20"/>
                <w:szCs w:val="20"/>
              </w:rPr>
              <w:t>2．再计算本指标的综合得分=各效益指标得分合计÷效益指标个数。</w:t>
            </w:r>
            <w:r>
              <w:rPr>
                <w:kern w:val="0"/>
                <w:sz w:val="20"/>
                <w:szCs w:val="20"/>
              </w:rPr>
              <w:br w:type="textWrapping"/>
            </w:r>
            <w:r>
              <w:rPr>
                <w:kern w:val="0"/>
                <w:sz w:val="20"/>
                <w:szCs w:val="20"/>
              </w:rPr>
              <w:t>3．非量化效益指标的完成率需提供详细的书面依据。完成率采取评级方式核定，优=95%，良=85%，达标=70%，不达标=50%。</w:t>
            </w:r>
            <w:r>
              <w:rPr>
                <w:kern w:val="0"/>
                <w:sz w:val="20"/>
                <w:szCs w:val="20"/>
              </w:rPr>
              <w:br w:type="textWrapping"/>
            </w:r>
            <w:r>
              <w:rPr>
                <w:kern w:val="0"/>
                <w:sz w:val="20"/>
                <w:szCs w:val="20"/>
              </w:rPr>
              <w:t>4．如未报整体绩效目标，此项自评不得分。</w:t>
            </w:r>
          </w:p>
        </w:tc>
        <w:tc>
          <w:tcPr>
            <w:tcW w:w="258" w:type="pct"/>
            <w:shd w:val="clear" w:color="auto" w:fill="auto"/>
            <w:vAlign w:val="center"/>
          </w:tcPr>
          <w:p>
            <w:pPr>
              <w:widowControl/>
              <w:jc w:val="center"/>
              <w:rPr>
                <w:kern w:val="0"/>
                <w:sz w:val="20"/>
                <w:szCs w:val="20"/>
              </w:rPr>
            </w:pPr>
            <w:r>
              <w:rPr>
                <w:kern w:val="0"/>
                <w:sz w:val="20"/>
                <w:szCs w:val="20"/>
              </w:rPr>
              <w:t>5</w:t>
            </w:r>
          </w:p>
        </w:tc>
        <w:tc>
          <w:tcPr>
            <w:tcW w:w="1236" w:type="pct"/>
            <w:shd w:val="clear" w:color="auto" w:fill="auto"/>
            <w:vAlign w:val="center"/>
          </w:tcPr>
          <w:p>
            <w:pPr>
              <w:widowControl/>
              <w:rPr>
                <w:kern w:val="0"/>
                <w:sz w:val="20"/>
                <w:szCs w:val="20"/>
              </w:rPr>
            </w:pPr>
            <w:r>
              <w:rPr>
                <w:kern w:val="0"/>
                <w:sz w:val="20"/>
                <w:szCs w:val="20"/>
              </w:rPr>
              <w:t>根据《市级部门整体预算绩效目标完成表》和相关佐证材料，市委政研室2024年设置效益指标共4项，其中完成率100的指标4项。根据评分标准，该指标得分=5分。</w:t>
            </w:r>
          </w:p>
        </w:tc>
        <w:tc>
          <w:tcPr>
            <w:tcW w:w="934" w:type="pct"/>
            <w:shd w:val="clear" w:color="auto" w:fill="auto"/>
            <w:vAlign w:val="center"/>
          </w:tcPr>
          <w:p>
            <w:pPr>
              <w:widowControl/>
              <w:rPr>
                <w:kern w:val="0"/>
                <w:sz w:val="20"/>
                <w:szCs w:val="20"/>
              </w:rPr>
            </w:pPr>
            <w:r>
              <w:rPr>
                <w:kern w:val="0"/>
                <w:sz w:val="20"/>
                <w:szCs w:val="20"/>
              </w:rPr>
              <w:t>1．《办公设备维修登记表》</w:t>
            </w:r>
            <w:r>
              <w:rPr>
                <w:kern w:val="0"/>
                <w:sz w:val="20"/>
                <w:szCs w:val="20"/>
              </w:rPr>
              <w:br w:type="textWrapping"/>
            </w:r>
            <w:r>
              <w:rPr>
                <w:kern w:val="0"/>
                <w:sz w:val="20"/>
                <w:szCs w:val="20"/>
              </w:rPr>
              <w:t>2．《2024年领导批示办理情况汇总表》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restart"/>
            <w:shd w:val="clear" w:color="auto" w:fill="auto"/>
            <w:vAlign w:val="center"/>
          </w:tcPr>
          <w:p>
            <w:pPr>
              <w:widowControl/>
              <w:jc w:val="center"/>
              <w:rPr>
                <w:kern w:val="0"/>
                <w:sz w:val="20"/>
                <w:szCs w:val="20"/>
              </w:rPr>
            </w:pPr>
            <w:r>
              <w:rPr>
                <w:kern w:val="0"/>
                <w:sz w:val="20"/>
                <w:szCs w:val="20"/>
              </w:rPr>
              <w:t>项目效能</w:t>
            </w:r>
          </w:p>
        </w:tc>
        <w:tc>
          <w:tcPr>
            <w:tcW w:w="206" w:type="pct"/>
            <w:vMerge w:val="restart"/>
            <w:shd w:val="clear" w:color="auto" w:fill="auto"/>
            <w:vAlign w:val="center"/>
          </w:tcPr>
          <w:p>
            <w:pPr>
              <w:widowControl/>
              <w:jc w:val="center"/>
              <w:rPr>
                <w:kern w:val="0"/>
                <w:sz w:val="20"/>
                <w:szCs w:val="20"/>
              </w:rPr>
            </w:pPr>
            <w:r>
              <w:rPr>
                <w:kern w:val="0"/>
                <w:sz w:val="20"/>
                <w:szCs w:val="20"/>
              </w:rPr>
              <w:t>40</w:t>
            </w:r>
          </w:p>
        </w:tc>
        <w:tc>
          <w:tcPr>
            <w:tcW w:w="257" w:type="pct"/>
            <w:shd w:val="clear" w:color="auto" w:fill="auto"/>
            <w:vAlign w:val="center"/>
          </w:tcPr>
          <w:p>
            <w:pPr>
              <w:widowControl/>
              <w:jc w:val="center"/>
              <w:rPr>
                <w:kern w:val="0"/>
                <w:sz w:val="20"/>
                <w:szCs w:val="20"/>
              </w:rPr>
            </w:pPr>
            <w:r>
              <w:rPr>
                <w:kern w:val="0"/>
                <w:sz w:val="20"/>
                <w:szCs w:val="20"/>
              </w:rPr>
              <w:t>“百千万工程”指挥部办公室任务完成率</w:t>
            </w:r>
          </w:p>
        </w:tc>
        <w:tc>
          <w:tcPr>
            <w:tcW w:w="206" w:type="pct"/>
            <w:shd w:val="clear" w:color="auto" w:fill="auto"/>
            <w:vAlign w:val="center"/>
          </w:tcPr>
          <w:p>
            <w:pPr>
              <w:widowControl/>
              <w:jc w:val="center"/>
              <w:rPr>
                <w:kern w:val="0"/>
                <w:sz w:val="20"/>
                <w:szCs w:val="20"/>
              </w:rPr>
            </w:pPr>
            <w:r>
              <w:rPr>
                <w:kern w:val="0"/>
                <w:sz w:val="20"/>
                <w:szCs w:val="20"/>
              </w:rPr>
              <w:t>2</w:t>
            </w:r>
          </w:p>
        </w:tc>
        <w:tc>
          <w:tcPr>
            <w:tcW w:w="309" w:type="pct"/>
            <w:shd w:val="clear" w:color="auto" w:fill="auto"/>
            <w:vAlign w:val="center"/>
          </w:tcPr>
          <w:p>
            <w:pPr>
              <w:widowControl/>
              <w:rPr>
                <w:kern w:val="0"/>
                <w:sz w:val="20"/>
                <w:szCs w:val="20"/>
              </w:rPr>
            </w:pPr>
            <w:r>
              <w:rPr>
                <w:kern w:val="0"/>
                <w:sz w:val="20"/>
                <w:szCs w:val="20"/>
              </w:rPr>
              <w:t>反映“百千万工程”指挥部办公室实际完成任务情况。</w:t>
            </w:r>
          </w:p>
        </w:tc>
        <w:tc>
          <w:tcPr>
            <w:tcW w:w="875" w:type="pct"/>
            <w:shd w:val="clear" w:color="auto" w:fill="auto"/>
            <w:vAlign w:val="center"/>
          </w:tcPr>
          <w:p>
            <w:pPr>
              <w:widowControl/>
              <w:rPr>
                <w:kern w:val="0"/>
                <w:sz w:val="20"/>
                <w:szCs w:val="20"/>
              </w:rPr>
            </w:pPr>
            <w:r>
              <w:rPr>
                <w:kern w:val="0"/>
                <w:sz w:val="20"/>
                <w:szCs w:val="20"/>
              </w:rPr>
              <w:t>1．任务完成率=实际完成任务数量/年度目标任务数量。按完成率计分，并设置及格门槛：</w:t>
            </w:r>
            <w:r>
              <w:rPr>
                <w:kern w:val="0"/>
                <w:sz w:val="20"/>
                <w:szCs w:val="20"/>
              </w:rPr>
              <w:br w:type="textWrapping"/>
            </w:r>
            <w:r>
              <w:rPr>
                <w:kern w:val="0"/>
                <w:sz w:val="20"/>
                <w:szCs w:val="20"/>
              </w:rPr>
              <w:t>（1）完成率60%以下为不及格，不得分；</w:t>
            </w:r>
            <w:r>
              <w:rPr>
                <w:kern w:val="0"/>
                <w:sz w:val="20"/>
                <w:szCs w:val="20"/>
              </w:rPr>
              <w:br w:type="textWrapping"/>
            </w:r>
            <w:r>
              <w:rPr>
                <w:kern w:val="0"/>
                <w:sz w:val="20"/>
                <w:szCs w:val="20"/>
              </w:rPr>
              <w:t>（2）完成率为60%-100%的，得分=完成率×本指标分值；</w:t>
            </w:r>
            <w:r>
              <w:rPr>
                <w:kern w:val="0"/>
                <w:sz w:val="20"/>
                <w:szCs w:val="20"/>
              </w:rPr>
              <w:br w:type="textWrapping"/>
            </w:r>
            <w:r>
              <w:rPr>
                <w:kern w:val="0"/>
                <w:sz w:val="20"/>
                <w:szCs w:val="20"/>
              </w:rPr>
              <w:t>（3）完成率为100%以上，得满分。</w:t>
            </w:r>
            <w:r>
              <w:rPr>
                <w:kern w:val="0"/>
                <w:sz w:val="20"/>
                <w:szCs w:val="20"/>
              </w:rPr>
              <w:br w:type="textWrapping"/>
            </w:r>
            <w:r>
              <w:rPr>
                <w:kern w:val="0"/>
                <w:sz w:val="20"/>
                <w:szCs w:val="20"/>
              </w:rPr>
              <w:t>2．未提供任务完成情况佐证材料或出现其他影响指标完成情况判定的情况，视情况酌情扣分。</w:t>
            </w:r>
          </w:p>
        </w:tc>
        <w:tc>
          <w:tcPr>
            <w:tcW w:w="258" w:type="pct"/>
            <w:shd w:val="clear" w:color="auto" w:fill="auto"/>
            <w:vAlign w:val="center"/>
          </w:tcPr>
          <w:p>
            <w:pPr>
              <w:widowControl/>
              <w:jc w:val="center"/>
              <w:rPr>
                <w:kern w:val="0"/>
                <w:sz w:val="20"/>
                <w:szCs w:val="20"/>
              </w:rPr>
            </w:pPr>
            <w:r>
              <w:rPr>
                <w:kern w:val="0"/>
                <w:sz w:val="20"/>
                <w:szCs w:val="20"/>
              </w:rPr>
              <w:t>1.22</w:t>
            </w:r>
          </w:p>
        </w:tc>
        <w:tc>
          <w:tcPr>
            <w:tcW w:w="1236" w:type="pct"/>
            <w:shd w:val="clear" w:color="auto" w:fill="auto"/>
            <w:vAlign w:val="center"/>
          </w:tcPr>
          <w:p>
            <w:pPr>
              <w:widowControl/>
              <w:rPr>
                <w:kern w:val="0"/>
                <w:sz w:val="20"/>
                <w:szCs w:val="20"/>
              </w:rPr>
            </w:pPr>
            <w:r>
              <w:rPr>
                <w:kern w:val="0"/>
                <w:sz w:val="20"/>
                <w:szCs w:val="20"/>
              </w:rPr>
              <w:t>“百千万工程”指挥部办公室年初共设置18项任务目标，主要目标有调研、督导次数（2周1次）；成立督导工作组（1组）；拍摄江门市“百县千镇万村”工作成效宣传片时长（≥15分钟）；省级纸媒版面（≥1版）；市级纸媒版面（≥2版）等，其中已完成任务共11项；未完成任务2项（调研、督导次数（2024年完成9次，未实现2周1次的目标）、开设“奋战百千万镇街勇争先”专栏）；未见相关佐证材料或已提供材料不能佐证任务完成情况的5项。综上，该指标得分=11/18*2=1.22分。</w:t>
            </w:r>
          </w:p>
        </w:tc>
        <w:tc>
          <w:tcPr>
            <w:tcW w:w="934" w:type="pct"/>
            <w:shd w:val="clear" w:color="auto" w:fill="auto"/>
            <w:vAlign w:val="center"/>
          </w:tcPr>
          <w:p>
            <w:pPr>
              <w:widowControl/>
              <w:rPr>
                <w:kern w:val="0"/>
                <w:sz w:val="20"/>
                <w:szCs w:val="20"/>
              </w:rPr>
            </w:pPr>
            <w:r>
              <w:rPr>
                <w:kern w:val="0"/>
                <w:sz w:val="20"/>
                <w:szCs w:val="20"/>
              </w:rPr>
              <w:t>1. 江门市“百县千镇万村高质量发展工程”指挥部办公室专项经费绩效目标申报表</w:t>
            </w:r>
            <w:r>
              <w:rPr>
                <w:kern w:val="0"/>
                <w:sz w:val="20"/>
                <w:szCs w:val="20"/>
              </w:rPr>
              <w:br w:type="textWrapping"/>
            </w:r>
            <w:r>
              <w:rPr>
                <w:kern w:val="0"/>
                <w:sz w:val="20"/>
                <w:szCs w:val="20"/>
              </w:rPr>
              <w:t>2. 江门市“百千万工程”全覆盖大督查工作简报</w:t>
            </w:r>
            <w:r>
              <w:rPr>
                <w:kern w:val="0"/>
                <w:sz w:val="20"/>
                <w:szCs w:val="20"/>
              </w:rPr>
              <w:br w:type="textWrapping"/>
            </w:r>
            <w:r>
              <w:rPr>
                <w:kern w:val="0"/>
                <w:sz w:val="20"/>
                <w:szCs w:val="20"/>
              </w:rPr>
              <w:t>3. 采购合同</w:t>
            </w:r>
            <w:r>
              <w:rPr>
                <w:kern w:val="0"/>
                <w:sz w:val="20"/>
                <w:szCs w:val="20"/>
              </w:rPr>
              <w:br w:type="textWrapping"/>
            </w:r>
            <w:r>
              <w:rPr>
                <w:kern w:val="0"/>
                <w:sz w:val="20"/>
                <w:szCs w:val="20"/>
              </w:rPr>
              <w:t>4. 关于江门市2024年深入实施“百县千镇万村高质量发展工程”促进城乡区域协调发展的报告</w:t>
            </w:r>
            <w:r>
              <w:rPr>
                <w:kern w:val="0"/>
                <w:sz w:val="20"/>
                <w:szCs w:val="20"/>
              </w:rPr>
              <w:br w:type="textWrapping"/>
            </w:r>
            <w:r>
              <w:rPr>
                <w:kern w:val="0"/>
                <w:sz w:val="20"/>
                <w:szCs w:val="20"/>
              </w:rPr>
              <w:t>5．江门市“百县千镇万村”工作成效宣传片</w:t>
            </w:r>
            <w:r>
              <w:rPr>
                <w:kern w:val="0"/>
                <w:sz w:val="20"/>
                <w:szCs w:val="20"/>
              </w:rPr>
              <w:br w:type="textWrapping"/>
            </w:r>
            <w:r>
              <w:rPr>
                <w:kern w:val="0"/>
                <w:sz w:val="20"/>
                <w:szCs w:val="20"/>
              </w:rPr>
              <w:t>6．省媒市媒微信公众号宣传报道</w:t>
            </w:r>
            <w:r>
              <w:rPr>
                <w:kern w:val="0"/>
                <w:sz w:val="20"/>
                <w:szCs w:val="20"/>
              </w:rPr>
              <w:br w:type="textWrapping"/>
            </w:r>
            <w:r>
              <w:rPr>
                <w:kern w:val="0"/>
                <w:sz w:val="20"/>
                <w:szCs w:val="20"/>
              </w:rPr>
              <w:t>7．百千万宣传工作总结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continue"/>
            <w:vAlign w:val="center"/>
          </w:tcPr>
          <w:p>
            <w:pPr>
              <w:widowControl/>
              <w:jc w:val="center"/>
              <w:rPr>
                <w:kern w:val="0"/>
                <w:sz w:val="20"/>
                <w:szCs w:val="20"/>
              </w:rPr>
            </w:pPr>
          </w:p>
        </w:tc>
        <w:tc>
          <w:tcPr>
            <w:tcW w:w="206" w:type="pct"/>
            <w:vMerge w:val="continue"/>
            <w:vAlign w:val="center"/>
          </w:tcPr>
          <w:p>
            <w:pPr>
              <w:widowControl/>
              <w:jc w:val="center"/>
              <w:rPr>
                <w:kern w:val="0"/>
                <w:sz w:val="20"/>
                <w:szCs w:val="20"/>
              </w:rPr>
            </w:pPr>
          </w:p>
        </w:tc>
        <w:tc>
          <w:tcPr>
            <w:tcW w:w="257" w:type="pct"/>
            <w:shd w:val="clear" w:color="auto" w:fill="auto"/>
            <w:vAlign w:val="center"/>
          </w:tcPr>
          <w:p>
            <w:pPr>
              <w:widowControl/>
              <w:jc w:val="center"/>
              <w:rPr>
                <w:kern w:val="0"/>
                <w:sz w:val="20"/>
                <w:szCs w:val="20"/>
              </w:rPr>
            </w:pPr>
            <w:r>
              <w:rPr>
                <w:kern w:val="0"/>
                <w:sz w:val="20"/>
                <w:szCs w:val="20"/>
              </w:rPr>
              <w:t>“百千万工程”指挥部办公室任务战略目标匹配率</w:t>
            </w:r>
          </w:p>
        </w:tc>
        <w:tc>
          <w:tcPr>
            <w:tcW w:w="206" w:type="pct"/>
            <w:shd w:val="clear" w:color="auto" w:fill="auto"/>
            <w:vAlign w:val="center"/>
          </w:tcPr>
          <w:p>
            <w:pPr>
              <w:widowControl/>
              <w:jc w:val="center"/>
              <w:rPr>
                <w:kern w:val="0"/>
                <w:sz w:val="20"/>
                <w:szCs w:val="20"/>
              </w:rPr>
            </w:pPr>
            <w:r>
              <w:rPr>
                <w:kern w:val="0"/>
                <w:sz w:val="20"/>
                <w:szCs w:val="20"/>
              </w:rPr>
              <w:t>4</w:t>
            </w:r>
          </w:p>
        </w:tc>
        <w:tc>
          <w:tcPr>
            <w:tcW w:w="309" w:type="pct"/>
            <w:shd w:val="clear" w:color="auto" w:fill="auto"/>
            <w:vAlign w:val="center"/>
          </w:tcPr>
          <w:p>
            <w:pPr>
              <w:widowControl/>
              <w:rPr>
                <w:kern w:val="0"/>
                <w:sz w:val="20"/>
                <w:szCs w:val="20"/>
              </w:rPr>
            </w:pPr>
            <w:r>
              <w:rPr>
                <w:kern w:val="0"/>
                <w:sz w:val="20"/>
                <w:szCs w:val="20"/>
              </w:rPr>
              <w:t>反映“百千万工程”指挥部办公室工作任务与国家/省级战略目标匹配情况。</w:t>
            </w:r>
          </w:p>
        </w:tc>
        <w:tc>
          <w:tcPr>
            <w:tcW w:w="875" w:type="pct"/>
            <w:shd w:val="clear" w:color="auto" w:fill="auto"/>
            <w:vAlign w:val="center"/>
          </w:tcPr>
          <w:p>
            <w:pPr>
              <w:widowControl/>
              <w:rPr>
                <w:kern w:val="0"/>
                <w:sz w:val="20"/>
                <w:szCs w:val="20"/>
              </w:rPr>
            </w:pPr>
            <w:r>
              <w:rPr>
                <w:kern w:val="0"/>
                <w:sz w:val="20"/>
                <w:szCs w:val="20"/>
              </w:rPr>
              <w:t>“百千万工程”指挥部办公室各项任务及支出均与国家/省级战略目标匹配得满分，发现一项不匹配扣1分，扣完为止。</w:t>
            </w:r>
          </w:p>
        </w:tc>
        <w:tc>
          <w:tcPr>
            <w:tcW w:w="258" w:type="pct"/>
            <w:shd w:val="clear" w:color="auto" w:fill="auto"/>
            <w:vAlign w:val="center"/>
          </w:tcPr>
          <w:p>
            <w:pPr>
              <w:widowControl/>
              <w:jc w:val="center"/>
              <w:rPr>
                <w:kern w:val="0"/>
                <w:sz w:val="20"/>
                <w:szCs w:val="20"/>
              </w:rPr>
            </w:pPr>
            <w:r>
              <w:rPr>
                <w:kern w:val="0"/>
                <w:sz w:val="20"/>
                <w:szCs w:val="20"/>
              </w:rPr>
              <w:t>4</w:t>
            </w:r>
          </w:p>
        </w:tc>
        <w:tc>
          <w:tcPr>
            <w:tcW w:w="1236" w:type="pct"/>
            <w:shd w:val="clear" w:color="auto" w:fill="auto"/>
            <w:vAlign w:val="center"/>
          </w:tcPr>
          <w:p>
            <w:pPr>
              <w:widowControl/>
              <w:rPr>
                <w:kern w:val="0"/>
                <w:sz w:val="20"/>
                <w:szCs w:val="20"/>
              </w:rPr>
            </w:pPr>
            <w:r>
              <w:rPr>
                <w:kern w:val="0"/>
                <w:sz w:val="20"/>
                <w:szCs w:val="20"/>
              </w:rPr>
              <w:t>1. 2024年“百千万工程”指挥部办公室各组工作均围绕市全面推进“百千万工程”促进城乡区域协调发展工作要点展开，主要为“坚持以习近平新时代中国特色社会主义思想为指导，全面落实党的二十大精神，深入学习贯彻习近平总书记视察广东重要讲话、重要指示精神，细化落实省委“1310”具体部署和市委“1+6+3”工作安排，深化运用“千万工程”经验，乘势而上、攻坚克难，多方协同、全面突破，统筹推进县域高质量发展、城镇提能升级、和美丽乡村建设和城乡融合发展，全面兴起“百千万工程”建设热潮，加快培育发展新质生产力，切实打赢打好几场事关全局的大仗硬仗，力争三年目标两年实现，奋力开创江门城乡区域协调发展新局面”。</w:t>
            </w:r>
            <w:r>
              <w:rPr>
                <w:kern w:val="0"/>
                <w:sz w:val="20"/>
                <w:szCs w:val="20"/>
              </w:rPr>
              <w:br w:type="textWrapping"/>
            </w:r>
            <w:r>
              <w:rPr>
                <w:kern w:val="0"/>
                <w:sz w:val="20"/>
                <w:szCs w:val="20"/>
              </w:rPr>
              <w:t>2. 具体工作内容主要根据《江门市推动“百千万工程”实现“三年初见成效”标志性成果统计表》，工作主要包含26项县域高质量发展目标、9项乡镇提能升级目标、20项乡村全面振兴目标、12项城乡融合发展目标和7项各方力量动员目标。</w:t>
            </w:r>
            <w:r>
              <w:rPr>
                <w:kern w:val="0"/>
                <w:sz w:val="20"/>
                <w:szCs w:val="20"/>
              </w:rPr>
              <w:br w:type="textWrapping"/>
            </w:r>
            <w:r>
              <w:rPr>
                <w:kern w:val="0"/>
                <w:sz w:val="20"/>
                <w:szCs w:val="20"/>
              </w:rPr>
              <w:t>3.结合“百千万工程”指挥部办公室各组2024年工作总结，“百千万工程”指挥部办公室各项任务及支出均与国家/省级战略目标匹配。</w:t>
            </w:r>
            <w:r>
              <w:rPr>
                <w:kern w:val="0"/>
                <w:sz w:val="20"/>
                <w:szCs w:val="20"/>
              </w:rPr>
              <w:br w:type="textWrapping"/>
            </w:r>
            <w:r>
              <w:rPr>
                <w:kern w:val="0"/>
                <w:sz w:val="20"/>
                <w:szCs w:val="20"/>
              </w:rPr>
              <w:t>综上，该指标得满分4分。</w:t>
            </w:r>
          </w:p>
        </w:tc>
        <w:tc>
          <w:tcPr>
            <w:tcW w:w="934" w:type="pct"/>
            <w:shd w:val="clear" w:color="auto" w:fill="auto"/>
            <w:vAlign w:val="center"/>
          </w:tcPr>
          <w:p>
            <w:pPr>
              <w:widowControl/>
              <w:rPr>
                <w:kern w:val="0"/>
                <w:sz w:val="20"/>
                <w:szCs w:val="20"/>
              </w:rPr>
            </w:pPr>
            <w:r>
              <w:rPr>
                <w:kern w:val="0"/>
                <w:sz w:val="20"/>
                <w:szCs w:val="20"/>
              </w:rPr>
              <w:t xml:space="preserve">1.《2024年江门市全面推进“百县千镇万村高质量发展工程”促进城乡区域协调发展工作要点》江“百千万工程”指挥部发〔2024〕2号 </w:t>
            </w:r>
            <w:r>
              <w:rPr>
                <w:kern w:val="0"/>
                <w:sz w:val="20"/>
                <w:szCs w:val="20"/>
              </w:rPr>
              <w:br w:type="textWrapping"/>
            </w:r>
            <w:r>
              <w:rPr>
                <w:kern w:val="0"/>
                <w:sz w:val="20"/>
                <w:szCs w:val="20"/>
              </w:rPr>
              <w:t>2.《江门市推动“百千万工程”实现“三年初见成效”标志性成果统计表》</w:t>
            </w:r>
            <w:r>
              <w:rPr>
                <w:kern w:val="0"/>
                <w:sz w:val="20"/>
                <w:szCs w:val="20"/>
              </w:rPr>
              <w:br w:type="textWrapping"/>
            </w:r>
            <w:r>
              <w:rPr>
                <w:kern w:val="0"/>
                <w:sz w:val="20"/>
                <w:szCs w:val="20"/>
              </w:rPr>
              <w:t>3．“百县千镇万村高质量发展工程”指挥部办公室专项经费绩效目标申报表</w:t>
            </w:r>
            <w:r>
              <w:rPr>
                <w:kern w:val="0"/>
                <w:sz w:val="20"/>
                <w:szCs w:val="20"/>
              </w:rPr>
              <w:br w:type="textWrapping"/>
            </w:r>
            <w:r>
              <w:rPr>
                <w:kern w:val="0"/>
                <w:sz w:val="20"/>
                <w:szCs w:val="20"/>
              </w:rPr>
              <w:t>4． “百千万工程”指挥部办公室各组2024年工作总结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continue"/>
            <w:vAlign w:val="center"/>
          </w:tcPr>
          <w:p>
            <w:pPr>
              <w:widowControl/>
              <w:jc w:val="center"/>
              <w:rPr>
                <w:kern w:val="0"/>
                <w:sz w:val="20"/>
                <w:szCs w:val="20"/>
              </w:rPr>
            </w:pPr>
          </w:p>
        </w:tc>
        <w:tc>
          <w:tcPr>
            <w:tcW w:w="206" w:type="pct"/>
            <w:vMerge w:val="continue"/>
            <w:vAlign w:val="center"/>
          </w:tcPr>
          <w:p>
            <w:pPr>
              <w:widowControl/>
              <w:jc w:val="center"/>
              <w:rPr>
                <w:kern w:val="0"/>
                <w:sz w:val="20"/>
                <w:szCs w:val="20"/>
              </w:rPr>
            </w:pPr>
          </w:p>
        </w:tc>
        <w:tc>
          <w:tcPr>
            <w:tcW w:w="257" w:type="pct"/>
            <w:shd w:val="clear" w:color="auto" w:fill="auto"/>
            <w:vAlign w:val="center"/>
          </w:tcPr>
          <w:p>
            <w:pPr>
              <w:widowControl/>
              <w:jc w:val="center"/>
              <w:rPr>
                <w:kern w:val="0"/>
                <w:sz w:val="20"/>
                <w:szCs w:val="20"/>
              </w:rPr>
            </w:pPr>
            <w:r>
              <w:rPr>
                <w:kern w:val="0"/>
                <w:sz w:val="20"/>
                <w:szCs w:val="20"/>
              </w:rPr>
              <w:t>“百千万工程”统筹督查有效性</w:t>
            </w:r>
          </w:p>
        </w:tc>
        <w:tc>
          <w:tcPr>
            <w:tcW w:w="206" w:type="pct"/>
            <w:shd w:val="clear" w:color="auto" w:fill="auto"/>
            <w:vAlign w:val="center"/>
          </w:tcPr>
          <w:p>
            <w:pPr>
              <w:widowControl/>
              <w:jc w:val="center"/>
              <w:rPr>
                <w:kern w:val="0"/>
                <w:sz w:val="20"/>
                <w:szCs w:val="20"/>
              </w:rPr>
            </w:pPr>
            <w:r>
              <w:rPr>
                <w:kern w:val="0"/>
                <w:sz w:val="20"/>
                <w:szCs w:val="20"/>
              </w:rPr>
              <w:t>5</w:t>
            </w:r>
          </w:p>
        </w:tc>
        <w:tc>
          <w:tcPr>
            <w:tcW w:w="309" w:type="pct"/>
            <w:shd w:val="clear" w:color="auto" w:fill="auto"/>
            <w:vAlign w:val="center"/>
          </w:tcPr>
          <w:p>
            <w:pPr>
              <w:widowControl/>
              <w:rPr>
                <w:kern w:val="0"/>
                <w:sz w:val="20"/>
                <w:szCs w:val="20"/>
              </w:rPr>
            </w:pPr>
            <w:r>
              <w:rPr>
                <w:kern w:val="0"/>
                <w:sz w:val="20"/>
                <w:szCs w:val="20"/>
              </w:rPr>
              <w:t>反映“百千万工程”指挥部办公室统筹谋划、督促指导等工作机制的有效程度。</w:t>
            </w:r>
          </w:p>
        </w:tc>
        <w:tc>
          <w:tcPr>
            <w:tcW w:w="875" w:type="pct"/>
            <w:shd w:val="clear" w:color="auto" w:fill="auto"/>
            <w:vAlign w:val="center"/>
          </w:tcPr>
          <w:p>
            <w:pPr>
              <w:widowControl/>
              <w:rPr>
                <w:kern w:val="0"/>
                <w:sz w:val="20"/>
                <w:szCs w:val="20"/>
              </w:rPr>
            </w:pPr>
            <w:r>
              <w:rPr>
                <w:kern w:val="0"/>
                <w:sz w:val="20"/>
                <w:szCs w:val="20"/>
              </w:rPr>
              <w:t>1．部门以文件形式（含合同）明确统筹谋划、督促指导等职责，得2分，否则不得分。</w:t>
            </w:r>
            <w:r>
              <w:rPr>
                <w:kern w:val="0"/>
                <w:sz w:val="20"/>
                <w:szCs w:val="20"/>
              </w:rPr>
              <w:br w:type="textWrapping"/>
            </w:r>
            <w:r>
              <w:rPr>
                <w:kern w:val="0"/>
                <w:sz w:val="20"/>
                <w:szCs w:val="20"/>
              </w:rPr>
              <w:t>2．部门督促指导、考核评估等方式多样，能定期与不定期相结合、线上线下相结合，得1分，否则不得分。</w:t>
            </w:r>
            <w:r>
              <w:rPr>
                <w:kern w:val="0"/>
                <w:sz w:val="20"/>
                <w:szCs w:val="20"/>
              </w:rPr>
              <w:br w:type="textWrapping"/>
            </w:r>
            <w:r>
              <w:rPr>
                <w:kern w:val="0"/>
                <w:sz w:val="20"/>
                <w:szCs w:val="20"/>
              </w:rPr>
              <w:t>3．部门能够落实对实施部门的相关职责，如有明确的督促指导、考核评估记录，或发现问题及时督促整改，得2分，否则酌情扣分。</w:t>
            </w:r>
          </w:p>
        </w:tc>
        <w:tc>
          <w:tcPr>
            <w:tcW w:w="258" w:type="pct"/>
            <w:shd w:val="clear" w:color="auto" w:fill="auto"/>
            <w:vAlign w:val="center"/>
          </w:tcPr>
          <w:p>
            <w:pPr>
              <w:widowControl/>
              <w:jc w:val="center"/>
              <w:rPr>
                <w:kern w:val="0"/>
                <w:sz w:val="20"/>
                <w:szCs w:val="20"/>
              </w:rPr>
            </w:pPr>
            <w:r>
              <w:rPr>
                <w:kern w:val="0"/>
                <w:sz w:val="20"/>
                <w:szCs w:val="20"/>
              </w:rPr>
              <w:t>3.5</w:t>
            </w:r>
          </w:p>
        </w:tc>
        <w:tc>
          <w:tcPr>
            <w:tcW w:w="1236" w:type="pct"/>
            <w:shd w:val="clear" w:color="auto" w:fill="auto"/>
            <w:vAlign w:val="center"/>
          </w:tcPr>
          <w:p>
            <w:pPr>
              <w:widowControl/>
              <w:rPr>
                <w:kern w:val="0"/>
                <w:sz w:val="20"/>
                <w:szCs w:val="20"/>
              </w:rPr>
            </w:pPr>
            <w:r>
              <w:rPr>
                <w:kern w:val="0"/>
                <w:sz w:val="20"/>
                <w:szCs w:val="20"/>
              </w:rPr>
              <w:t>1. 《江门市“百县千镇万村高质量发展工程”指挥部办公室关于印发&lt;江门市“百县千镇万村高质量发展工程”指挥部办公室工作规则（试行）&gt;的通知》（江“百千万工程”指挥办发〔2023〕7号）明确了“百千万工程”指挥部办公室总体职责任务和各组具体职责，得2分。</w:t>
            </w:r>
          </w:p>
          <w:p>
            <w:pPr>
              <w:widowControl/>
              <w:rPr>
                <w:kern w:val="0"/>
                <w:sz w:val="20"/>
                <w:szCs w:val="20"/>
              </w:rPr>
            </w:pPr>
            <w:r>
              <w:rPr>
                <w:kern w:val="0"/>
                <w:sz w:val="20"/>
                <w:szCs w:val="20"/>
              </w:rPr>
              <w:t>2. “百千万工程”指挥部办公室制定了《2024年度江门市实施“百县千镇万村高质量发展工程”考核评分细则（市有关单位）》和《2024年度江门市实施“百县千镇万村高质量发展工程”考核评分细则（县市区）》，部门督促指导、考核评估等方式多样；但根据已收集到的统筹督查材料，2024年上半年工作开展情况待完善。结合以上情况，此项得0.5分。</w:t>
            </w:r>
          </w:p>
          <w:p>
            <w:pPr>
              <w:widowControl/>
              <w:rPr>
                <w:kern w:val="0"/>
                <w:sz w:val="20"/>
                <w:szCs w:val="20"/>
              </w:rPr>
            </w:pPr>
            <w:r>
              <w:rPr>
                <w:kern w:val="0"/>
                <w:sz w:val="20"/>
                <w:szCs w:val="20"/>
              </w:rPr>
              <w:t>3. 根据《江门市“百千万工程”全覆盖大督查工作简报》和《全覆盖大督查记录清单》等督查考评记录，“百千万工程”指挥部办公室基本能够落实对实施部门的相关职责并及时督促整改，但对江门市“百县千镇万村高质量发展工程”考核奖励资金的指导监督工作中，仍有未落实不到位的情况，例如：江门市级财政已下达考核奖励资金377.5万元，但截至2025年5月，各镇村仍有95.63万元尚未支出，督促指导工作落实不到位，此项得1分。</w:t>
            </w:r>
          </w:p>
          <w:p>
            <w:pPr>
              <w:widowControl/>
              <w:rPr>
                <w:kern w:val="0"/>
                <w:sz w:val="20"/>
                <w:szCs w:val="20"/>
              </w:rPr>
            </w:pPr>
            <w:r>
              <w:rPr>
                <w:kern w:val="0"/>
                <w:sz w:val="20"/>
                <w:szCs w:val="20"/>
              </w:rPr>
              <w:t>综上，该指标得分3.5分。</w:t>
            </w:r>
          </w:p>
        </w:tc>
        <w:tc>
          <w:tcPr>
            <w:tcW w:w="934" w:type="pct"/>
            <w:shd w:val="clear" w:color="auto" w:fill="auto"/>
            <w:vAlign w:val="center"/>
          </w:tcPr>
          <w:p>
            <w:pPr>
              <w:widowControl/>
              <w:rPr>
                <w:kern w:val="0"/>
                <w:sz w:val="20"/>
                <w:szCs w:val="20"/>
              </w:rPr>
            </w:pPr>
            <w:r>
              <w:rPr>
                <w:kern w:val="0"/>
                <w:sz w:val="20"/>
                <w:szCs w:val="20"/>
              </w:rPr>
              <w:t>1. 《江门市“百县千镇万村高质量发展工程”指挥部办公室关于印发〈江门市“百县千镇万村高质量发展工程”指挥部办公室工作规则（试行）〉的通知》（江“百千万工程”指挥办发〔2023〕7号）</w:t>
            </w:r>
            <w:r>
              <w:rPr>
                <w:kern w:val="0"/>
                <w:sz w:val="20"/>
                <w:szCs w:val="20"/>
              </w:rPr>
              <w:br w:type="textWrapping"/>
            </w:r>
            <w:r>
              <w:rPr>
                <w:kern w:val="0"/>
                <w:sz w:val="20"/>
                <w:szCs w:val="20"/>
              </w:rPr>
              <w:t>2. 《2024年度江门市实施“百县千镇万村高质量发展工程”考核评分细则（市有关单位）》和《2024年度江门市实施“百县千镇万村高质量发展工程”考核评分细则（县市区）》</w:t>
            </w:r>
            <w:r>
              <w:rPr>
                <w:kern w:val="0"/>
                <w:sz w:val="20"/>
                <w:szCs w:val="20"/>
              </w:rPr>
              <w:br w:type="textWrapping"/>
            </w:r>
            <w:r>
              <w:rPr>
                <w:kern w:val="0"/>
                <w:sz w:val="20"/>
                <w:szCs w:val="20"/>
              </w:rPr>
              <w:t>3．市委主要领导批示清单</w:t>
            </w:r>
            <w:r>
              <w:rPr>
                <w:kern w:val="0"/>
                <w:sz w:val="20"/>
                <w:szCs w:val="20"/>
              </w:rPr>
              <w:br w:type="textWrapping"/>
            </w:r>
            <w:r>
              <w:rPr>
                <w:kern w:val="0"/>
                <w:sz w:val="20"/>
                <w:szCs w:val="20"/>
              </w:rPr>
              <w:t>4．关于我市“百县千镇万村高质量发展工程”实地综合调研督查情况的通报</w:t>
            </w:r>
            <w:r>
              <w:rPr>
                <w:kern w:val="0"/>
                <w:sz w:val="20"/>
                <w:szCs w:val="20"/>
              </w:rPr>
              <w:br w:type="textWrapping"/>
            </w:r>
            <w:r>
              <w:rPr>
                <w:kern w:val="0"/>
                <w:sz w:val="20"/>
                <w:szCs w:val="20"/>
              </w:rPr>
              <w:t>5．关于江门市贯彻落实《2024年广东省“百千万工程”重点任务责任分工表》进展情况的报告</w:t>
            </w:r>
            <w:r>
              <w:rPr>
                <w:kern w:val="0"/>
                <w:sz w:val="20"/>
                <w:szCs w:val="20"/>
              </w:rPr>
              <w:br w:type="textWrapping"/>
            </w:r>
            <w:r>
              <w:rPr>
                <w:kern w:val="0"/>
                <w:sz w:val="20"/>
                <w:szCs w:val="20"/>
              </w:rPr>
              <w:t>6．关于我市“百县千镇万村高质量发展工程”典型村实地督查情况的通报</w:t>
            </w:r>
            <w:r>
              <w:rPr>
                <w:kern w:val="0"/>
                <w:sz w:val="20"/>
                <w:szCs w:val="20"/>
              </w:rPr>
              <w:br w:type="textWrapping"/>
            </w:r>
            <w:r>
              <w:rPr>
                <w:kern w:val="0"/>
                <w:sz w:val="20"/>
                <w:szCs w:val="20"/>
              </w:rPr>
              <w:t>7．关于全市“百县千镇万村高质量发展工程”资金项目检查情况的报告</w:t>
            </w:r>
            <w:r>
              <w:rPr>
                <w:kern w:val="0"/>
                <w:sz w:val="20"/>
                <w:szCs w:val="20"/>
              </w:rPr>
              <w:br w:type="textWrapping"/>
            </w:r>
            <w:r>
              <w:rPr>
                <w:kern w:val="0"/>
                <w:sz w:val="20"/>
                <w:szCs w:val="20"/>
              </w:rPr>
              <w:t>8．关于江门市“百县千镇万村高质量发展工程”省、市两级专项资金管理、使用情况的报告</w:t>
            </w:r>
            <w:r>
              <w:rPr>
                <w:kern w:val="0"/>
                <w:sz w:val="20"/>
                <w:szCs w:val="20"/>
              </w:rPr>
              <w:br w:type="textWrapping"/>
            </w:r>
            <w:r>
              <w:rPr>
                <w:kern w:val="0"/>
                <w:sz w:val="20"/>
                <w:szCs w:val="20"/>
              </w:rPr>
              <w:t>9</w:t>
            </w:r>
            <w:bookmarkStart w:id="84" w:name="OLE_LINK23"/>
            <w:r>
              <w:rPr>
                <w:kern w:val="0"/>
                <w:sz w:val="20"/>
                <w:szCs w:val="20"/>
              </w:rPr>
              <w:t>．</w:t>
            </w:r>
            <w:bookmarkEnd w:id="84"/>
            <w:r>
              <w:rPr>
                <w:kern w:val="0"/>
                <w:sz w:val="20"/>
                <w:szCs w:val="20"/>
              </w:rPr>
              <w:t>关于江门市“强村富民公司”合规检查情况的报告</w:t>
            </w:r>
            <w:r>
              <w:rPr>
                <w:kern w:val="0"/>
                <w:sz w:val="20"/>
                <w:szCs w:val="20"/>
              </w:rPr>
              <w:br w:type="textWrapping"/>
            </w:r>
            <w:r>
              <w:rPr>
                <w:kern w:val="0"/>
                <w:sz w:val="20"/>
                <w:szCs w:val="20"/>
              </w:rPr>
              <w:t>10．江门市征收农村集体土地留用地安置工作指引</w:t>
            </w:r>
            <w:r>
              <w:rPr>
                <w:kern w:val="0"/>
                <w:sz w:val="20"/>
                <w:szCs w:val="20"/>
              </w:rPr>
              <w:br w:type="textWrapping"/>
            </w:r>
            <w:r>
              <w:rPr>
                <w:kern w:val="0"/>
                <w:sz w:val="20"/>
                <w:szCs w:val="20"/>
              </w:rPr>
              <w:t>11．江门市2024年度农村生活污水治理情况总结</w:t>
            </w:r>
            <w:r>
              <w:rPr>
                <w:kern w:val="0"/>
                <w:sz w:val="20"/>
                <w:szCs w:val="20"/>
              </w:rPr>
              <w:br w:type="textWrapping"/>
            </w:r>
            <w:r>
              <w:rPr>
                <w:kern w:val="0"/>
                <w:sz w:val="20"/>
                <w:szCs w:val="20"/>
              </w:rPr>
              <w:t>12．关于我市“百县千镇万村高质量发展工程”实地综合调研督查情况的通报</w:t>
            </w:r>
            <w:r>
              <w:rPr>
                <w:kern w:val="0"/>
                <w:sz w:val="20"/>
                <w:szCs w:val="20"/>
              </w:rPr>
              <w:br w:type="textWrapping"/>
            </w:r>
            <w:r>
              <w:rPr>
                <w:kern w:val="0"/>
                <w:sz w:val="20"/>
                <w:szCs w:val="20"/>
              </w:rPr>
              <w:t>13．关于我市“百县千镇万村高质量发展工程”典型村实地督查情况的通报</w:t>
            </w:r>
            <w:r>
              <w:rPr>
                <w:kern w:val="0"/>
                <w:sz w:val="20"/>
                <w:szCs w:val="20"/>
              </w:rPr>
              <w:br w:type="textWrapping"/>
            </w:r>
            <w:r>
              <w:rPr>
                <w:kern w:val="0"/>
                <w:sz w:val="20"/>
                <w:szCs w:val="20"/>
              </w:rPr>
              <w:t>14．黄茅海通道实地督导情况</w:t>
            </w:r>
            <w:r>
              <w:rPr>
                <w:kern w:val="0"/>
                <w:sz w:val="20"/>
                <w:szCs w:val="20"/>
              </w:rPr>
              <w:br w:type="textWrapping"/>
            </w:r>
            <w:r>
              <w:rPr>
                <w:kern w:val="0"/>
                <w:sz w:val="20"/>
                <w:szCs w:val="20"/>
              </w:rPr>
              <w:t>15．关于对“百千万工程”专项资金支出开展“解剖麻雀式”督查的报告等。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continue"/>
            <w:vAlign w:val="center"/>
          </w:tcPr>
          <w:p>
            <w:pPr>
              <w:widowControl/>
              <w:jc w:val="center"/>
              <w:rPr>
                <w:kern w:val="0"/>
                <w:sz w:val="20"/>
                <w:szCs w:val="20"/>
              </w:rPr>
            </w:pPr>
          </w:p>
        </w:tc>
        <w:tc>
          <w:tcPr>
            <w:tcW w:w="206" w:type="pct"/>
            <w:vMerge w:val="continue"/>
            <w:vAlign w:val="center"/>
          </w:tcPr>
          <w:p>
            <w:pPr>
              <w:widowControl/>
              <w:jc w:val="center"/>
              <w:rPr>
                <w:kern w:val="0"/>
                <w:sz w:val="20"/>
                <w:szCs w:val="20"/>
              </w:rPr>
            </w:pPr>
          </w:p>
        </w:tc>
        <w:tc>
          <w:tcPr>
            <w:tcW w:w="257" w:type="pct"/>
            <w:shd w:val="clear" w:color="auto" w:fill="auto"/>
            <w:vAlign w:val="center"/>
          </w:tcPr>
          <w:p>
            <w:pPr>
              <w:widowControl/>
              <w:jc w:val="center"/>
              <w:rPr>
                <w:kern w:val="0"/>
                <w:sz w:val="20"/>
                <w:szCs w:val="20"/>
              </w:rPr>
            </w:pPr>
            <w:r>
              <w:rPr>
                <w:kern w:val="0"/>
                <w:sz w:val="20"/>
                <w:szCs w:val="20"/>
              </w:rPr>
              <w:t>采购、购买服务任务完成率</w:t>
            </w:r>
          </w:p>
        </w:tc>
        <w:tc>
          <w:tcPr>
            <w:tcW w:w="206" w:type="pct"/>
            <w:shd w:val="clear" w:color="auto" w:fill="auto"/>
            <w:vAlign w:val="center"/>
          </w:tcPr>
          <w:p>
            <w:pPr>
              <w:widowControl/>
              <w:jc w:val="center"/>
              <w:rPr>
                <w:kern w:val="0"/>
                <w:sz w:val="20"/>
                <w:szCs w:val="20"/>
              </w:rPr>
            </w:pPr>
            <w:r>
              <w:rPr>
                <w:kern w:val="0"/>
                <w:sz w:val="20"/>
                <w:szCs w:val="20"/>
              </w:rPr>
              <w:t>2</w:t>
            </w:r>
          </w:p>
        </w:tc>
        <w:tc>
          <w:tcPr>
            <w:tcW w:w="309" w:type="pct"/>
            <w:shd w:val="clear" w:color="auto" w:fill="auto"/>
            <w:vAlign w:val="center"/>
          </w:tcPr>
          <w:p>
            <w:pPr>
              <w:widowControl/>
              <w:rPr>
                <w:kern w:val="0"/>
                <w:sz w:val="20"/>
                <w:szCs w:val="20"/>
              </w:rPr>
            </w:pPr>
            <w:r>
              <w:rPr>
                <w:kern w:val="0"/>
                <w:sz w:val="20"/>
                <w:szCs w:val="20"/>
              </w:rPr>
              <w:t>反映部门（单位）采购及购买服务完成情况。</w:t>
            </w:r>
          </w:p>
        </w:tc>
        <w:tc>
          <w:tcPr>
            <w:tcW w:w="875" w:type="pct"/>
            <w:shd w:val="clear" w:color="auto" w:fill="auto"/>
            <w:vAlign w:val="center"/>
          </w:tcPr>
          <w:p>
            <w:pPr>
              <w:widowControl/>
              <w:rPr>
                <w:kern w:val="0"/>
                <w:sz w:val="20"/>
                <w:szCs w:val="20"/>
              </w:rPr>
            </w:pPr>
            <w:r>
              <w:rPr>
                <w:kern w:val="0"/>
                <w:sz w:val="20"/>
                <w:szCs w:val="20"/>
              </w:rPr>
              <w:t>1．任务完成率=实际采购及购买服务数量/年初采购及购买服务目标数量。按完成率计分，并设置及格门槛：</w:t>
            </w:r>
            <w:r>
              <w:rPr>
                <w:kern w:val="0"/>
                <w:sz w:val="20"/>
                <w:szCs w:val="20"/>
              </w:rPr>
              <w:br w:type="textWrapping"/>
            </w:r>
            <w:r>
              <w:rPr>
                <w:kern w:val="0"/>
                <w:sz w:val="20"/>
                <w:szCs w:val="20"/>
              </w:rPr>
              <w:t>（1）完成率60%以下为不及格，不得分；</w:t>
            </w:r>
            <w:r>
              <w:rPr>
                <w:kern w:val="0"/>
                <w:sz w:val="20"/>
                <w:szCs w:val="20"/>
              </w:rPr>
              <w:br w:type="textWrapping"/>
            </w:r>
            <w:r>
              <w:rPr>
                <w:kern w:val="0"/>
                <w:sz w:val="20"/>
                <w:szCs w:val="20"/>
              </w:rPr>
              <w:t>（2）完成率为60%-100%的，得分=完成率×本指标分值；</w:t>
            </w:r>
            <w:r>
              <w:rPr>
                <w:kern w:val="0"/>
                <w:sz w:val="20"/>
                <w:szCs w:val="20"/>
              </w:rPr>
              <w:br w:type="textWrapping"/>
            </w:r>
            <w:r>
              <w:rPr>
                <w:kern w:val="0"/>
                <w:sz w:val="20"/>
                <w:szCs w:val="20"/>
              </w:rPr>
              <w:t>（3）完成率100%以上，得满分。</w:t>
            </w:r>
            <w:r>
              <w:rPr>
                <w:kern w:val="0"/>
                <w:sz w:val="20"/>
                <w:szCs w:val="20"/>
              </w:rPr>
              <w:br w:type="textWrapping"/>
            </w:r>
            <w:r>
              <w:rPr>
                <w:kern w:val="0"/>
                <w:sz w:val="20"/>
                <w:szCs w:val="20"/>
              </w:rPr>
              <w:t>（4）完成率高于150%的，得一半分。</w:t>
            </w:r>
            <w:r>
              <w:rPr>
                <w:kern w:val="0"/>
                <w:sz w:val="20"/>
                <w:szCs w:val="20"/>
              </w:rPr>
              <w:br w:type="textWrapping"/>
            </w:r>
            <w:r>
              <w:rPr>
                <w:kern w:val="0"/>
                <w:sz w:val="20"/>
                <w:szCs w:val="20"/>
              </w:rPr>
              <w:t>2．未提供任务完成情况佐证材料或出现其他影响指标完成情况判定的情况，视情况酌情扣分。</w:t>
            </w:r>
          </w:p>
        </w:tc>
        <w:tc>
          <w:tcPr>
            <w:tcW w:w="258" w:type="pct"/>
            <w:shd w:val="clear" w:color="auto" w:fill="auto"/>
            <w:vAlign w:val="center"/>
          </w:tcPr>
          <w:p>
            <w:pPr>
              <w:widowControl/>
              <w:jc w:val="center"/>
              <w:rPr>
                <w:kern w:val="0"/>
                <w:sz w:val="20"/>
                <w:szCs w:val="20"/>
              </w:rPr>
            </w:pPr>
            <w:r>
              <w:rPr>
                <w:kern w:val="0"/>
                <w:sz w:val="20"/>
                <w:szCs w:val="20"/>
              </w:rPr>
              <w:t>2</w:t>
            </w:r>
          </w:p>
        </w:tc>
        <w:tc>
          <w:tcPr>
            <w:tcW w:w="1236" w:type="pct"/>
            <w:shd w:val="clear" w:color="auto" w:fill="auto"/>
            <w:vAlign w:val="center"/>
          </w:tcPr>
          <w:p>
            <w:pPr>
              <w:widowControl/>
              <w:rPr>
                <w:kern w:val="0"/>
                <w:sz w:val="20"/>
                <w:szCs w:val="20"/>
              </w:rPr>
            </w:pPr>
            <w:r>
              <w:rPr>
                <w:kern w:val="0"/>
                <w:sz w:val="20"/>
                <w:szCs w:val="20"/>
              </w:rPr>
              <w:t>根据《2024年政府采购项目计划》，市委政研室2024年计划政府集中采供项目共23项，实际完成政府集中采供项目23项，完成率100%，该指标得2分。</w:t>
            </w:r>
          </w:p>
        </w:tc>
        <w:tc>
          <w:tcPr>
            <w:tcW w:w="934" w:type="pct"/>
            <w:shd w:val="clear" w:color="auto" w:fill="auto"/>
            <w:vAlign w:val="center"/>
          </w:tcPr>
          <w:p>
            <w:pPr>
              <w:widowControl/>
              <w:rPr>
                <w:kern w:val="0"/>
                <w:sz w:val="20"/>
                <w:szCs w:val="20"/>
              </w:rPr>
            </w:pPr>
            <w:r>
              <w:rPr>
                <w:kern w:val="0"/>
                <w:sz w:val="20"/>
                <w:szCs w:val="20"/>
              </w:rPr>
              <w:t>1．《2024年政府采购项目计划》</w:t>
            </w:r>
            <w:r>
              <w:rPr>
                <w:kern w:val="0"/>
                <w:sz w:val="20"/>
                <w:szCs w:val="20"/>
              </w:rPr>
              <w:br w:type="textWrapping"/>
            </w:r>
            <w:r>
              <w:rPr>
                <w:kern w:val="0"/>
                <w:sz w:val="20"/>
                <w:szCs w:val="20"/>
              </w:rPr>
              <w:t>2．《2024年政府采购项目完成情况》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continue"/>
            <w:vAlign w:val="center"/>
          </w:tcPr>
          <w:p>
            <w:pPr>
              <w:widowControl/>
              <w:jc w:val="center"/>
              <w:rPr>
                <w:kern w:val="0"/>
                <w:sz w:val="20"/>
                <w:szCs w:val="20"/>
              </w:rPr>
            </w:pPr>
          </w:p>
        </w:tc>
        <w:tc>
          <w:tcPr>
            <w:tcW w:w="206" w:type="pct"/>
            <w:vMerge w:val="continue"/>
            <w:vAlign w:val="center"/>
          </w:tcPr>
          <w:p>
            <w:pPr>
              <w:widowControl/>
              <w:jc w:val="center"/>
              <w:rPr>
                <w:kern w:val="0"/>
                <w:sz w:val="20"/>
                <w:szCs w:val="20"/>
              </w:rPr>
            </w:pPr>
          </w:p>
        </w:tc>
        <w:tc>
          <w:tcPr>
            <w:tcW w:w="257" w:type="pct"/>
            <w:shd w:val="clear" w:color="auto" w:fill="auto"/>
            <w:vAlign w:val="center"/>
          </w:tcPr>
          <w:p>
            <w:pPr>
              <w:widowControl/>
              <w:jc w:val="center"/>
              <w:rPr>
                <w:kern w:val="0"/>
                <w:sz w:val="20"/>
                <w:szCs w:val="20"/>
              </w:rPr>
            </w:pPr>
            <w:r>
              <w:rPr>
                <w:kern w:val="0"/>
                <w:sz w:val="20"/>
                <w:szCs w:val="20"/>
              </w:rPr>
              <w:t>采购、购买服务验收通过率</w:t>
            </w:r>
          </w:p>
        </w:tc>
        <w:tc>
          <w:tcPr>
            <w:tcW w:w="206" w:type="pct"/>
            <w:shd w:val="clear" w:color="auto" w:fill="auto"/>
            <w:vAlign w:val="center"/>
          </w:tcPr>
          <w:p>
            <w:pPr>
              <w:widowControl/>
              <w:jc w:val="center"/>
              <w:rPr>
                <w:kern w:val="0"/>
                <w:sz w:val="20"/>
                <w:szCs w:val="20"/>
              </w:rPr>
            </w:pPr>
            <w:r>
              <w:rPr>
                <w:kern w:val="0"/>
                <w:sz w:val="20"/>
                <w:szCs w:val="20"/>
              </w:rPr>
              <w:t>4</w:t>
            </w:r>
          </w:p>
        </w:tc>
        <w:tc>
          <w:tcPr>
            <w:tcW w:w="309" w:type="pct"/>
            <w:shd w:val="clear" w:color="auto" w:fill="auto"/>
            <w:vAlign w:val="center"/>
          </w:tcPr>
          <w:p>
            <w:pPr>
              <w:widowControl/>
              <w:rPr>
                <w:kern w:val="0"/>
                <w:sz w:val="20"/>
                <w:szCs w:val="20"/>
              </w:rPr>
            </w:pPr>
            <w:r>
              <w:rPr>
                <w:kern w:val="0"/>
                <w:sz w:val="20"/>
                <w:szCs w:val="20"/>
              </w:rPr>
              <w:t>反映部门（单位）各项采购及购买服务内容验收通过情况。</w:t>
            </w:r>
          </w:p>
        </w:tc>
        <w:tc>
          <w:tcPr>
            <w:tcW w:w="875" w:type="pct"/>
            <w:shd w:val="clear" w:color="auto" w:fill="auto"/>
            <w:vAlign w:val="center"/>
          </w:tcPr>
          <w:p>
            <w:pPr>
              <w:widowControl/>
              <w:rPr>
                <w:kern w:val="0"/>
                <w:sz w:val="20"/>
                <w:szCs w:val="20"/>
              </w:rPr>
            </w:pPr>
            <w:r>
              <w:rPr>
                <w:kern w:val="0"/>
                <w:sz w:val="20"/>
                <w:szCs w:val="20"/>
              </w:rPr>
              <w:t>1．各项目采购/购买服务均有明确的验收标准，得2分，存在一项未设置验收标准的，扣0.5分；验收标准不明确的，扣0．25分，扣完为止。</w:t>
            </w:r>
            <w:r>
              <w:rPr>
                <w:kern w:val="0"/>
                <w:sz w:val="20"/>
                <w:szCs w:val="20"/>
              </w:rPr>
              <w:br w:type="textWrapping"/>
            </w:r>
            <w:r>
              <w:rPr>
                <w:kern w:val="0"/>
                <w:sz w:val="20"/>
                <w:szCs w:val="20"/>
              </w:rPr>
              <w:t>2．各项目验收材料（验收记录、验收证明/验收书等）完整，得2分，存在一项验收材料不完整的，扣0.5分，扣完为止。</w:t>
            </w:r>
          </w:p>
        </w:tc>
        <w:tc>
          <w:tcPr>
            <w:tcW w:w="258" w:type="pct"/>
            <w:shd w:val="clear" w:color="auto" w:fill="auto"/>
            <w:vAlign w:val="center"/>
          </w:tcPr>
          <w:p>
            <w:pPr>
              <w:widowControl/>
              <w:jc w:val="center"/>
              <w:rPr>
                <w:kern w:val="0"/>
                <w:sz w:val="20"/>
                <w:szCs w:val="20"/>
              </w:rPr>
            </w:pPr>
            <w:r>
              <w:rPr>
                <w:kern w:val="0"/>
                <w:sz w:val="20"/>
                <w:szCs w:val="20"/>
              </w:rPr>
              <w:t>4</w:t>
            </w:r>
          </w:p>
        </w:tc>
        <w:tc>
          <w:tcPr>
            <w:tcW w:w="1236" w:type="pct"/>
            <w:shd w:val="clear" w:color="auto" w:fill="auto"/>
            <w:vAlign w:val="center"/>
          </w:tcPr>
          <w:p>
            <w:pPr>
              <w:widowControl/>
              <w:rPr>
                <w:kern w:val="0"/>
                <w:sz w:val="20"/>
                <w:szCs w:val="20"/>
              </w:rPr>
            </w:pPr>
            <w:r>
              <w:rPr>
                <w:kern w:val="0"/>
                <w:sz w:val="20"/>
                <w:szCs w:val="20"/>
              </w:rPr>
              <w:t>1．2024年市委政研室共有23项政府集中采购项目，采购项目均在合同中体现了验收标准，且验收标准比较明确；2024年市委政研室共有4项课题委托验收项目，合同中规定了按照《市委政研室委托课题管理暂行办法（修订）》进行验收，验收标准明确。此项得2分。</w:t>
            </w:r>
          </w:p>
          <w:p>
            <w:pPr>
              <w:widowControl/>
              <w:rPr>
                <w:kern w:val="0"/>
                <w:sz w:val="20"/>
                <w:szCs w:val="20"/>
              </w:rPr>
            </w:pPr>
            <w:r>
              <w:rPr>
                <w:kern w:val="0"/>
                <w:sz w:val="20"/>
                <w:szCs w:val="20"/>
              </w:rPr>
              <w:t>2．23项政府集中采购项目，部门提供的资料中共包含23个项目的履约验收结果资料；4项课题委托项目均有《市委政研室委托课题管理暂行办法（修订）》中规定的委托课题成果验收流程中的验收资料。此项得2分。</w:t>
            </w:r>
          </w:p>
          <w:p>
            <w:pPr>
              <w:widowControl/>
              <w:rPr>
                <w:kern w:val="0"/>
                <w:sz w:val="20"/>
                <w:szCs w:val="20"/>
              </w:rPr>
            </w:pPr>
            <w:r>
              <w:rPr>
                <w:kern w:val="0"/>
                <w:sz w:val="20"/>
                <w:szCs w:val="20"/>
              </w:rPr>
              <w:t>综上，该指标得4分。</w:t>
            </w:r>
          </w:p>
        </w:tc>
        <w:tc>
          <w:tcPr>
            <w:tcW w:w="934" w:type="pct"/>
            <w:shd w:val="clear" w:color="auto" w:fill="auto"/>
            <w:vAlign w:val="center"/>
          </w:tcPr>
          <w:p>
            <w:pPr>
              <w:widowControl/>
              <w:rPr>
                <w:kern w:val="0"/>
                <w:sz w:val="20"/>
                <w:szCs w:val="20"/>
              </w:rPr>
            </w:pPr>
            <w:r>
              <w:rPr>
                <w:kern w:val="0"/>
                <w:sz w:val="20"/>
                <w:szCs w:val="20"/>
              </w:rPr>
              <w:t>1．采购合同</w:t>
            </w:r>
            <w:r>
              <w:rPr>
                <w:kern w:val="0"/>
                <w:sz w:val="20"/>
                <w:szCs w:val="20"/>
              </w:rPr>
              <w:br w:type="textWrapping"/>
            </w:r>
            <w:r>
              <w:rPr>
                <w:kern w:val="0"/>
                <w:sz w:val="20"/>
                <w:szCs w:val="20"/>
              </w:rPr>
              <w:t>2．江门市市本级政府履约验收结果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continue"/>
            <w:vAlign w:val="center"/>
          </w:tcPr>
          <w:p>
            <w:pPr>
              <w:widowControl/>
              <w:jc w:val="center"/>
              <w:rPr>
                <w:kern w:val="0"/>
                <w:sz w:val="20"/>
                <w:szCs w:val="20"/>
              </w:rPr>
            </w:pPr>
          </w:p>
        </w:tc>
        <w:tc>
          <w:tcPr>
            <w:tcW w:w="206" w:type="pct"/>
            <w:vMerge w:val="continue"/>
            <w:vAlign w:val="center"/>
          </w:tcPr>
          <w:p>
            <w:pPr>
              <w:widowControl/>
              <w:jc w:val="center"/>
              <w:rPr>
                <w:kern w:val="0"/>
                <w:sz w:val="20"/>
                <w:szCs w:val="20"/>
              </w:rPr>
            </w:pPr>
          </w:p>
        </w:tc>
        <w:tc>
          <w:tcPr>
            <w:tcW w:w="257" w:type="pct"/>
            <w:shd w:val="clear" w:color="auto" w:fill="auto"/>
            <w:vAlign w:val="center"/>
          </w:tcPr>
          <w:p>
            <w:pPr>
              <w:widowControl/>
              <w:jc w:val="center"/>
              <w:rPr>
                <w:kern w:val="0"/>
                <w:sz w:val="20"/>
                <w:szCs w:val="20"/>
              </w:rPr>
            </w:pPr>
            <w:r>
              <w:rPr>
                <w:kern w:val="0"/>
                <w:sz w:val="20"/>
                <w:szCs w:val="20"/>
              </w:rPr>
              <w:t>刊物编发数量</w:t>
            </w:r>
          </w:p>
        </w:tc>
        <w:tc>
          <w:tcPr>
            <w:tcW w:w="206" w:type="pct"/>
            <w:shd w:val="clear" w:color="auto" w:fill="auto"/>
            <w:vAlign w:val="center"/>
          </w:tcPr>
          <w:p>
            <w:pPr>
              <w:widowControl/>
              <w:jc w:val="center"/>
              <w:rPr>
                <w:kern w:val="0"/>
                <w:sz w:val="20"/>
                <w:szCs w:val="20"/>
              </w:rPr>
            </w:pPr>
            <w:r>
              <w:rPr>
                <w:kern w:val="0"/>
                <w:sz w:val="20"/>
                <w:szCs w:val="20"/>
              </w:rPr>
              <w:t>8</w:t>
            </w:r>
          </w:p>
        </w:tc>
        <w:tc>
          <w:tcPr>
            <w:tcW w:w="309" w:type="pct"/>
            <w:shd w:val="clear" w:color="auto" w:fill="auto"/>
            <w:vAlign w:val="center"/>
          </w:tcPr>
          <w:p>
            <w:pPr>
              <w:widowControl/>
              <w:rPr>
                <w:kern w:val="0"/>
                <w:sz w:val="20"/>
                <w:szCs w:val="20"/>
              </w:rPr>
            </w:pPr>
            <w:r>
              <w:rPr>
                <w:kern w:val="0"/>
                <w:sz w:val="20"/>
                <w:szCs w:val="20"/>
              </w:rPr>
              <w:t>反映部门（单位）编发机关刊物数量。</w:t>
            </w:r>
          </w:p>
        </w:tc>
        <w:tc>
          <w:tcPr>
            <w:tcW w:w="875" w:type="pct"/>
            <w:shd w:val="clear" w:color="auto" w:fill="auto"/>
            <w:vAlign w:val="center"/>
          </w:tcPr>
          <w:p>
            <w:pPr>
              <w:widowControl/>
              <w:rPr>
                <w:kern w:val="0"/>
                <w:sz w:val="20"/>
                <w:szCs w:val="20"/>
              </w:rPr>
            </w:pPr>
            <w:r>
              <w:rPr>
                <w:kern w:val="0"/>
                <w:sz w:val="20"/>
                <w:szCs w:val="20"/>
              </w:rPr>
              <w:t>1．指标来源：《关于印发〈市委政研室 2024 年工作要点〉的通知》。</w:t>
            </w:r>
            <w:r>
              <w:rPr>
                <w:kern w:val="0"/>
                <w:sz w:val="20"/>
                <w:szCs w:val="20"/>
              </w:rPr>
              <w:br w:type="textWrapping"/>
            </w:r>
            <w:r>
              <w:rPr>
                <w:kern w:val="0"/>
                <w:sz w:val="20"/>
                <w:szCs w:val="20"/>
              </w:rPr>
              <w:t>2．指标值：6+6+24+52=88（《江门改革督查情况》每两个月编印1期、《江门调研》每两月印发 1 期、《决策参考》、《财经专报》每月印发 1 期、《决策信息》每周印发1 期以上）</w:t>
            </w:r>
            <w:r>
              <w:rPr>
                <w:kern w:val="0"/>
                <w:sz w:val="20"/>
                <w:szCs w:val="20"/>
              </w:rPr>
              <w:br w:type="textWrapping"/>
            </w:r>
            <w:r>
              <w:rPr>
                <w:kern w:val="0"/>
                <w:sz w:val="20"/>
                <w:szCs w:val="20"/>
              </w:rPr>
              <w:t>3．按完成情况计分：</w:t>
            </w:r>
            <w:r>
              <w:rPr>
                <w:kern w:val="0"/>
                <w:sz w:val="20"/>
                <w:szCs w:val="20"/>
              </w:rPr>
              <w:br w:type="textWrapping"/>
            </w:r>
            <w:r>
              <w:rPr>
                <w:kern w:val="0"/>
                <w:sz w:val="20"/>
                <w:szCs w:val="20"/>
              </w:rPr>
              <w:t>（1）完成值＜88，得分=实际印刷数量/88×本指标分值；</w:t>
            </w:r>
            <w:r>
              <w:rPr>
                <w:kern w:val="0"/>
                <w:sz w:val="20"/>
                <w:szCs w:val="20"/>
              </w:rPr>
              <w:br w:type="textWrapping"/>
            </w:r>
            <w:r>
              <w:rPr>
                <w:kern w:val="0"/>
                <w:sz w:val="20"/>
                <w:szCs w:val="20"/>
              </w:rPr>
              <w:t>（2）完成值≥88，得满分。</w:t>
            </w:r>
            <w:r>
              <w:rPr>
                <w:kern w:val="0"/>
                <w:sz w:val="20"/>
                <w:szCs w:val="20"/>
              </w:rPr>
              <w:br w:type="textWrapping"/>
            </w:r>
            <w:r>
              <w:rPr>
                <w:kern w:val="0"/>
                <w:sz w:val="20"/>
                <w:szCs w:val="20"/>
              </w:rPr>
              <w:t>4．未提供指标完成情况佐证材料或出现其他影响指标完成情况判定的情况，视情况酌情扣分。</w:t>
            </w:r>
          </w:p>
        </w:tc>
        <w:tc>
          <w:tcPr>
            <w:tcW w:w="258" w:type="pct"/>
            <w:shd w:val="clear" w:color="auto" w:fill="auto"/>
            <w:vAlign w:val="center"/>
          </w:tcPr>
          <w:p>
            <w:pPr>
              <w:widowControl/>
              <w:jc w:val="center"/>
              <w:rPr>
                <w:kern w:val="0"/>
                <w:sz w:val="20"/>
                <w:szCs w:val="20"/>
              </w:rPr>
            </w:pPr>
            <w:r>
              <w:rPr>
                <w:kern w:val="0"/>
                <w:sz w:val="20"/>
                <w:szCs w:val="20"/>
              </w:rPr>
              <w:t>5.18</w:t>
            </w:r>
          </w:p>
        </w:tc>
        <w:tc>
          <w:tcPr>
            <w:tcW w:w="1236" w:type="pct"/>
            <w:shd w:val="clear" w:color="auto" w:fill="auto"/>
            <w:vAlign w:val="center"/>
          </w:tcPr>
          <w:p>
            <w:pPr>
              <w:widowControl/>
              <w:rPr>
                <w:kern w:val="0"/>
                <w:sz w:val="20"/>
                <w:szCs w:val="20"/>
              </w:rPr>
            </w:pPr>
            <w:r>
              <w:rPr>
                <w:rFonts w:hint="eastAsia"/>
                <w:kern w:val="0"/>
                <w:sz w:val="20"/>
                <w:szCs w:val="20"/>
              </w:rPr>
              <w:t>单位2024年编印6期《江门调研》、8期《决策参考》、1期《财经专报》、29期《决策信息》、13期《江门市“百千万工程”全覆盖大督查简报》（《江门改革督查情况》已并入《江门市“百千万工程”全覆盖大督查简报》，不再单独刊发《江门改革督查情况》）。得分=（6+8+1+29+13）/88*8=5.18分。</w:t>
            </w:r>
          </w:p>
        </w:tc>
        <w:tc>
          <w:tcPr>
            <w:tcW w:w="934" w:type="pct"/>
            <w:shd w:val="clear" w:color="auto" w:fill="auto"/>
            <w:vAlign w:val="center"/>
          </w:tcPr>
          <w:p>
            <w:pPr>
              <w:widowControl/>
              <w:rPr>
                <w:kern w:val="0"/>
                <w:sz w:val="20"/>
                <w:szCs w:val="20"/>
              </w:rPr>
            </w:pPr>
            <w:r>
              <w:rPr>
                <w:kern w:val="0"/>
                <w:sz w:val="20"/>
                <w:szCs w:val="20"/>
              </w:rPr>
              <w:t>2024年编发的全部《江门调研》《决策参考》《财经专报》《决策信息》《江门市“百千万工程”全覆盖大督查简报》电子版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continue"/>
            <w:vAlign w:val="center"/>
          </w:tcPr>
          <w:p>
            <w:pPr>
              <w:widowControl/>
              <w:jc w:val="center"/>
              <w:rPr>
                <w:kern w:val="0"/>
                <w:sz w:val="20"/>
                <w:szCs w:val="20"/>
              </w:rPr>
            </w:pPr>
          </w:p>
        </w:tc>
        <w:tc>
          <w:tcPr>
            <w:tcW w:w="206" w:type="pct"/>
            <w:vMerge w:val="continue"/>
            <w:vAlign w:val="center"/>
          </w:tcPr>
          <w:p>
            <w:pPr>
              <w:widowControl/>
              <w:jc w:val="center"/>
              <w:rPr>
                <w:kern w:val="0"/>
                <w:sz w:val="20"/>
                <w:szCs w:val="20"/>
              </w:rPr>
            </w:pPr>
          </w:p>
        </w:tc>
        <w:tc>
          <w:tcPr>
            <w:tcW w:w="257" w:type="pct"/>
            <w:shd w:val="clear" w:color="auto" w:fill="auto"/>
            <w:vAlign w:val="center"/>
          </w:tcPr>
          <w:p>
            <w:pPr>
              <w:widowControl/>
              <w:jc w:val="center"/>
              <w:rPr>
                <w:kern w:val="0"/>
                <w:sz w:val="20"/>
                <w:szCs w:val="20"/>
              </w:rPr>
            </w:pPr>
            <w:r>
              <w:rPr>
                <w:kern w:val="0"/>
                <w:sz w:val="20"/>
                <w:szCs w:val="20"/>
              </w:rPr>
              <w:t>编印研究成果指导性</w:t>
            </w:r>
          </w:p>
        </w:tc>
        <w:tc>
          <w:tcPr>
            <w:tcW w:w="206" w:type="pct"/>
            <w:shd w:val="clear" w:color="auto" w:fill="auto"/>
            <w:vAlign w:val="center"/>
          </w:tcPr>
          <w:p>
            <w:pPr>
              <w:widowControl/>
              <w:jc w:val="center"/>
              <w:rPr>
                <w:kern w:val="0"/>
                <w:sz w:val="20"/>
                <w:szCs w:val="20"/>
              </w:rPr>
            </w:pPr>
            <w:r>
              <w:rPr>
                <w:kern w:val="0"/>
                <w:sz w:val="20"/>
                <w:szCs w:val="20"/>
              </w:rPr>
              <w:t>8</w:t>
            </w:r>
          </w:p>
        </w:tc>
        <w:tc>
          <w:tcPr>
            <w:tcW w:w="309" w:type="pct"/>
            <w:shd w:val="clear" w:color="auto" w:fill="auto"/>
            <w:vAlign w:val="center"/>
          </w:tcPr>
          <w:p>
            <w:pPr>
              <w:widowControl/>
              <w:rPr>
                <w:kern w:val="0"/>
                <w:sz w:val="20"/>
                <w:szCs w:val="20"/>
              </w:rPr>
            </w:pPr>
            <w:r>
              <w:rPr>
                <w:kern w:val="0"/>
                <w:sz w:val="20"/>
                <w:szCs w:val="20"/>
              </w:rPr>
              <w:t>反映部门（单位）编印刊物内容、研究成果的前瞻性、先进性、实用性、适用性。</w:t>
            </w:r>
          </w:p>
        </w:tc>
        <w:tc>
          <w:tcPr>
            <w:tcW w:w="875" w:type="pct"/>
            <w:shd w:val="clear" w:color="auto" w:fill="auto"/>
            <w:vAlign w:val="center"/>
          </w:tcPr>
          <w:p>
            <w:pPr>
              <w:widowControl/>
              <w:rPr>
                <w:kern w:val="0"/>
                <w:sz w:val="20"/>
                <w:szCs w:val="20"/>
              </w:rPr>
            </w:pPr>
            <w:r>
              <w:rPr>
                <w:kern w:val="0"/>
                <w:sz w:val="20"/>
                <w:szCs w:val="20"/>
              </w:rPr>
              <w:t>通过抽取一定比例的刊物，评价刊物内容、研究成果的研究思维、所运用的理论、方式方法、技术手段、提出的实施方案的前瞻性、先进性、实用性、适用性。</w:t>
            </w:r>
            <w:r>
              <w:rPr>
                <w:kern w:val="0"/>
                <w:sz w:val="20"/>
                <w:szCs w:val="20"/>
              </w:rPr>
              <w:br w:type="textWrapping"/>
            </w:r>
            <w:r>
              <w:rPr>
                <w:kern w:val="0"/>
                <w:sz w:val="20"/>
                <w:szCs w:val="20"/>
              </w:rPr>
              <w:t>结合领导批示、专家评审结果，综合评分。</w:t>
            </w:r>
            <w:r>
              <w:rPr>
                <w:kern w:val="0"/>
                <w:sz w:val="20"/>
                <w:szCs w:val="20"/>
              </w:rPr>
              <w:br w:type="textWrapping"/>
            </w:r>
            <w:r>
              <w:rPr>
                <w:kern w:val="0"/>
                <w:sz w:val="20"/>
                <w:szCs w:val="20"/>
              </w:rPr>
              <w:t>最后计算各刊物得分平均值，得出此项综合分值。</w:t>
            </w:r>
          </w:p>
        </w:tc>
        <w:tc>
          <w:tcPr>
            <w:tcW w:w="258" w:type="pct"/>
            <w:shd w:val="clear" w:color="auto" w:fill="auto"/>
            <w:vAlign w:val="center"/>
          </w:tcPr>
          <w:p>
            <w:pPr>
              <w:widowControl/>
              <w:jc w:val="center"/>
              <w:rPr>
                <w:kern w:val="0"/>
                <w:sz w:val="20"/>
                <w:szCs w:val="20"/>
              </w:rPr>
            </w:pPr>
            <w:r>
              <w:rPr>
                <w:kern w:val="0"/>
                <w:sz w:val="20"/>
                <w:szCs w:val="20"/>
              </w:rPr>
              <w:t>7.2</w:t>
            </w:r>
          </w:p>
        </w:tc>
        <w:tc>
          <w:tcPr>
            <w:tcW w:w="1236" w:type="pct"/>
            <w:shd w:val="clear" w:color="auto" w:fill="auto"/>
            <w:vAlign w:val="center"/>
          </w:tcPr>
          <w:p>
            <w:pPr>
              <w:widowControl/>
              <w:rPr>
                <w:kern w:val="0"/>
                <w:sz w:val="20"/>
                <w:szCs w:val="20"/>
              </w:rPr>
            </w:pPr>
            <w:r>
              <w:rPr>
                <w:kern w:val="0"/>
                <w:sz w:val="20"/>
                <w:szCs w:val="20"/>
              </w:rPr>
              <w:t>1.</w:t>
            </w:r>
            <w:r>
              <w:t xml:space="preserve"> </w:t>
            </w:r>
            <w:r>
              <w:rPr>
                <w:kern w:val="0"/>
                <w:sz w:val="20"/>
                <w:szCs w:val="20"/>
              </w:rPr>
              <w:t>2024年市委政研室24篇文稿在《广东调研》等省级以上刊物刊登，1篇在中央政策研究室主办刊物发表，体现出市委政研室在政策研究和决策咨询等方面的专业能力与工作成效。</w:t>
            </w:r>
          </w:p>
          <w:p>
            <w:pPr>
              <w:widowControl/>
              <w:rPr>
                <w:kern w:val="0"/>
                <w:sz w:val="20"/>
                <w:szCs w:val="20"/>
              </w:rPr>
            </w:pPr>
            <w:r>
              <w:rPr>
                <w:kern w:val="0"/>
                <w:sz w:val="20"/>
                <w:szCs w:val="20"/>
              </w:rPr>
              <w:t>2. 通过对已收到的刊物领导批示情况进行系统梳理和分析发现，各级领导对编印刊物的内容给予了较高关注，并作出明确、详细的指导部署。例如《财经专报》中《学习借鉴岳阳市“三资”改革经验 激活江门国有资源资产资本增长潜力》，市领导给予了详细批示：“请世雷同志、财政局、国资委、各县（市、区）阅研，深挖资产盘活潜力。近期重点攻坚任务是人防车位，请世雷通知、国动办、财政局抓紧研究，加快推进。”批示内容体现了刊物内容对实际工作的重要指导价值。</w:t>
            </w:r>
          </w:p>
          <w:p>
            <w:pPr>
              <w:widowControl/>
              <w:rPr>
                <w:kern w:val="0"/>
                <w:sz w:val="20"/>
                <w:szCs w:val="20"/>
              </w:rPr>
            </w:pPr>
            <w:r>
              <w:rPr>
                <w:kern w:val="0"/>
                <w:sz w:val="20"/>
                <w:szCs w:val="20"/>
              </w:rPr>
              <w:t>综合考量市委政研室编印刊物的内容质量、研究成果影响力等多方面因素，从前瞻性、先进性、实用性、指导性等维度进行评分，最终评定得分为 7.2 分。</w:t>
            </w:r>
          </w:p>
        </w:tc>
        <w:tc>
          <w:tcPr>
            <w:tcW w:w="934" w:type="pct"/>
            <w:shd w:val="clear" w:color="auto" w:fill="auto"/>
            <w:vAlign w:val="center"/>
          </w:tcPr>
          <w:p>
            <w:pPr>
              <w:widowControl/>
              <w:rPr>
                <w:kern w:val="0"/>
                <w:sz w:val="20"/>
                <w:szCs w:val="20"/>
              </w:rPr>
            </w:pPr>
            <w:r>
              <w:rPr>
                <w:kern w:val="0"/>
                <w:sz w:val="20"/>
                <w:szCs w:val="20"/>
              </w:rPr>
              <w:t>1. 2024年编发的全部《江门调研》《决策参考》《财经专报》《决策信息》电子版</w:t>
            </w:r>
          </w:p>
          <w:p>
            <w:pPr>
              <w:widowControl/>
              <w:rPr>
                <w:kern w:val="0"/>
                <w:sz w:val="20"/>
                <w:szCs w:val="20"/>
              </w:rPr>
            </w:pPr>
            <w:r>
              <w:rPr>
                <w:kern w:val="0"/>
                <w:sz w:val="20"/>
                <w:szCs w:val="20"/>
              </w:rPr>
              <w:t>2. 领导批示相关佐证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continue"/>
            <w:vAlign w:val="center"/>
          </w:tcPr>
          <w:p>
            <w:pPr>
              <w:widowControl/>
              <w:jc w:val="center"/>
              <w:rPr>
                <w:kern w:val="0"/>
                <w:sz w:val="20"/>
                <w:szCs w:val="20"/>
              </w:rPr>
            </w:pPr>
          </w:p>
        </w:tc>
        <w:tc>
          <w:tcPr>
            <w:tcW w:w="206" w:type="pct"/>
            <w:vMerge w:val="continue"/>
            <w:vAlign w:val="center"/>
          </w:tcPr>
          <w:p>
            <w:pPr>
              <w:widowControl/>
              <w:jc w:val="center"/>
              <w:rPr>
                <w:kern w:val="0"/>
                <w:sz w:val="20"/>
                <w:szCs w:val="20"/>
              </w:rPr>
            </w:pPr>
          </w:p>
        </w:tc>
        <w:tc>
          <w:tcPr>
            <w:tcW w:w="257" w:type="pct"/>
            <w:shd w:val="clear" w:color="auto" w:fill="auto"/>
            <w:vAlign w:val="center"/>
          </w:tcPr>
          <w:p>
            <w:pPr>
              <w:widowControl/>
              <w:jc w:val="center"/>
              <w:rPr>
                <w:kern w:val="0"/>
                <w:sz w:val="20"/>
                <w:szCs w:val="20"/>
              </w:rPr>
            </w:pPr>
            <w:r>
              <w:rPr>
                <w:kern w:val="0"/>
                <w:sz w:val="20"/>
                <w:szCs w:val="20"/>
              </w:rPr>
              <w:t>研究成果实际应用率</w:t>
            </w:r>
          </w:p>
        </w:tc>
        <w:tc>
          <w:tcPr>
            <w:tcW w:w="206" w:type="pct"/>
            <w:shd w:val="clear" w:color="auto" w:fill="auto"/>
            <w:vAlign w:val="center"/>
          </w:tcPr>
          <w:p>
            <w:pPr>
              <w:widowControl/>
              <w:jc w:val="center"/>
              <w:rPr>
                <w:kern w:val="0"/>
                <w:sz w:val="20"/>
                <w:szCs w:val="20"/>
              </w:rPr>
            </w:pPr>
            <w:r>
              <w:rPr>
                <w:kern w:val="0"/>
                <w:sz w:val="20"/>
                <w:szCs w:val="20"/>
              </w:rPr>
              <w:t>7</w:t>
            </w:r>
          </w:p>
        </w:tc>
        <w:tc>
          <w:tcPr>
            <w:tcW w:w="309" w:type="pct"/>
            <w:shd w:val="clear" w:color="auto" w:fill="auto"/>
            <w:vAlign w:val="center"/>
          </w:tcPr>
          <w:p>
            <w:pPr>
              <w:widowControl/>
              <w:rPr>
                <w:kern w:val="0"/>
                <w:sz w:val="20"/>
                <w:szCs w:val="20"/>
              </w:rPr>
            </w:pPr>
            <w:r>
              <w:rPr>
                <w:kern w:val="0"/>
                <w:sz w:val="20"/>
                <w:szCs w:val="20"/>
              </w:rPr>
              <w:t>反映部门（单位）研究成果实际应用情况。</w:t>
            </w:r>
          </w:p>
        </w:tc>
        <w:tc>
          <w:tcPr>
            <w:tcW w:w="875" w:type="pct"/>
            <w:shd w:val="clear" w:color="auto" w:fill="auto"/>
            <w:vAlign w:val="center"/>
          </w:tcPr>
          <w:p>
            <w:pPr>
              <w:widowControl/>
              <w:rPr>
                <w:kern w:val="0"/>
                <w:sz w:val="20"/>
                <w:szCs w:val="20"/>
              </w:rPr>
            </w:pPr>
            <w:r>
              <w:rPr>
                <w:kern w:val="0"/>
                <w:sz w:val="20"/>
                <w:szCs w:val="20"/>
              </w:rPr>
              <w:t>1．研究成果实际应用率=实际应用成果数/成果总量。按应用率计分，并设置及格门槛：</w:t>
            </w:r>
            <w:r>
              <w:rPr>
                <w:kern w:val="0"/>
                <w:sz w:val="20"/>
                <w:szCs w:val="20"/>
              </w:rPr>
              <w:br w:type="textWrapping"/>
            </w:r>
            <w:r>
              <w:rPr>
                <w:kern w:val="0"/>
                <w:sz w:val="20"/>
                <w:szCs w:val="20"/>
              </w:rPr>
              <w:t>（1）应用率60%以下为不及格，不得分；</w:t>
            </w:r>
            <w:r>
              <w:rPr>
                <w:kern w:val="0"/>
                <w:sz w:val="20"/>
                <w:szCs w:val="20"/>
              </w:rPr>
              <w:br w:type="textWrapping"/>
            </w:r>
            <w:r>
              <w:rPr>
                <w:kern w:val="0"/>
                <w:sz w:val="20"/>
                <w:szCs w:val="20"/>
              </w:rPr>
              <w:t>（2）应用率为60%-100%的，得分=应用率×本指标分值；</w:t>
            </w:r>
            <w:r>
              <w:rPr>
                <w:kern w:val="0"/>
                <w:sz w:val="20"/>
                <w:szCs w:val="20"/>
              </w:rPr>
              <w:br w:type="textWrapping"/>
            </w:r>
            <w:r>
              <w:rPr>
                <w:kern w:val="0"/>
                <w:sz w:val="20"/>
                <w:szCs w:val="20"/>
              </w:rPr>
              <w:t>（3）应用率100%以上，得满分。</w:t>
            </w:r>
            <w:r>
              <w:rPr>
                <w:kern w:val="0"/>
                <w:sz w:val="20"/>
                <w:szCs w:val="20"/>
              </w:rPr>
              <w:br w:type="textWrapping"/>
            </w:r>
            <w:r>
              <w:rPr>
                <w:kern w:val="0"/>
                <w:sz w:val="20"/>
                <w:szCs w:val="20"/>
              </w:rPr>
              <w:t>2．未提供项目佐证材料或出现其他影响指标完成情况判定的情况，视情况酌情扣分。</w:t>
            </w:r>
          </w:p>
        </w:tc>
        <w:tc>
          <w:tcPr>
            <w:tcW w:w="258" w:type="pct"/>
            <w:shd w:val="clear" w:color="auto" w:fill="auto"/>
            <w:vAlign w:val="center"/>
          </w:tcPr>
          <w:p>
            <w:pPr>
              <w:widowControl/>
              <w:jc w:val="center"/>
              <w:rPr>
                <w:rFonts w:hint="eastAsia"/>
                <w:kern w:val="0"/>
                <w:sz w:val="20"/>
                <w:szCs w:val="20"/>
              </w:rPr>
            </w:pPr>
            <w:r>
              <w:rPr>
                <w:rFonts w:hint="eastAsia"/>
                <w:kern w:val="0"/>
                <w:sz w:val="20"/>
                <w:szCs w:val="20"/>
              </w:rPr>
              <w:t>6</w:t>
            </w:r>
          </w:p>
        </w:tc>
        <w:tc>
          <w:tcPr>
            <w:tcW w:w="1236" w:type="pct"/>
            <w:shd w:val="clear" w:color="auto" w:fill="auto"/>
            <w:vAlign w:val="center"/>
          </w:tcPr>
          <w:p>
            <w:pPr>
              <w:widowControl/>
              <w:rPr>
                <w:rFonts w:hint="eastAsia"/>
                <w:kern w:val="0"/>
                <w:sz w:val="20"/>
                <w:szCs w:val="20"/>
              </w:rPr>
            </w:pPr>
            <w:r>
              <w:rPr>
                <w:rFonts w:hint="eastAsia"/>
                <w:kern w:val="0"/>
                <w:sz w:val="20"/>
                <w:szCs w:val="20"/>
              </w:rPr>
              <w:t>1. 根据《中共江门市委政策研究室2024年工作情况报告》（江研报〔2025〕1号）：市委政研室全年形成调研报告45篇，其中，《江门做大做强海洋工程装备产业调研报告》等8篇调研成果在省委政研室主办刊物《广东调研》《各地市调研报告摘编》刊登，《关于加快推动江门安全应急产业高质量发展的调研报告》等10篇调研成果获市委主要领导批示。</w:t>
            </w:r>
          </w:p>
          <w:p>
            <w:pPr>
              <w:widowControl/>
              <w:rPr>
                <w:rFonts w:hint="eastAsia"/>
                <w:kern w:val="0"/>
                <w:sz w:val="20"/>
                <w:szCs w:val="20"/>
              </w:rPr>
            </w:pPr>
            <w:r>
              <w:rPr>
                <w:rFonts w:hint="eastAsia"/>
                <w:kern w:val="0"/>
                <w:sz w:val="20"/>
                <w:szCs w:val="20"/>
              </w:rPr>
              <w:t>市委政研室围绕重大改革项目需要推动成果转化。《蓬江区良溪村探索“中国历史文化名村”活化利用有效路径》《江门市全面实施村党组织书记分级分档管理改革激发“头雁”奋战“百千万工程”内生动力》入选2024年全省基层推进“百千万工程”集成式改革典型案例，《江门市全面实施村党组织书记分级分档管理改革激发“头雁”奋战“百千万工程”内生动力》获《中国组织人事报》专题报道、《南方日报》头版头条报道，被《广东改革信息专报》刊发上报中央改革办。江门深化发展新型农村集体经济省级试点，推动农村集体经济从“输血”向“造血”转变。全市涌现出新型农村集体经济发展的多种实践模式，1056个行政村集体经营性收入全线突破15万元，60%以上超100万元。市委政研室围绕重大产业决策需要推动成果转化。《关于加快推动江门安全应急产业高质量发展的调研报告》受到市委主要领导重视和批示，助力国家安全应急产业（综合类）示范基地创建顺利验收通过。《推动海工装备产业跨越式发展助力海上新江门建设强势破局》获得市领导肯定性批示，转市有关单位、台山、新会等地参阅、落实。2024年江门船舶与海工装备产业链增加值增速达59.7%，连续3年保持两位数高速增长。</w:t>
            </w:r>
          </w:p>
          <w:p>
            <w:pPr>
              <w:widowControl/>
              <w:rPr>
                <w:rFonts w:hint="eastAsia"/>
                <w:kern w:val="0"/>
                <w:sz w:val="20"/>
                <w:szCs w:val="20"/>
              </w:rPr>
            </w:pPr>
            <w:r>
              <w:rPr>
                <w:rFonts w:hint="eastAsia"/>
                <w:kern w:val="0"/>
                <w:sz w:val="20"/>
                <w:szCs w:val="20"/>
              </w:rPr>
              <w:t>市委政研室围绕高质量发展战略决策需要推动成果转化。《江门市推动开平-台山农文旅融合发展试点思路报告》，转化为《江门市推进开平—台山农文旅融合发展试点工作实施方案》《江门市“开平-台山”整县推进农文旅融合发展规划》等政策文件。</w:t>
            </w:r>
          </w:p>
          <w:p>
            <w:pPr>
              <w:widowControl/>
              <w:rPr>
                <w:kern w:val="0"/>
                <w:sz w:val="20"/>
                <w:szCs w:val="20"/>
              </w:rPr>
            </w:pPr>
            <w:r>
              <w:rPr>
                <w:rFonts w:hint="eastAsia"/>
                <w:kern w:val="0"/>
                <w:sz w:val="20"/>
                <w:szCs w:val="20"/>
              </w:rPr>
              <w:t>2.目前已收集材料中，缺少研究成果应用衡量标准材料。</w:t>
            </w:r>
          </w:p>
          <w:p>
            <w:pPr>
              <w:widowControl/>
              <w:rPr>
                <w:kern w:val="0"/>
                <w:sz w:val="20"/>
                <w:szCs w:val="20"/>
              </w:rPr>
            </w:pPr>
            <w:r>
              <w:rPr>
                <w:rFonts w:hint="eastAsia"/>
                <w:kern w:val="0"/>
                <w:sz w:val="20"/>
                <w:szCs w:val="20"/>
              </w:rPr>
              <w:t>根据以上情况，酌情得6分。</w:t>
            </w:r>
          </w:p>
        </w:tc>
        <w:tc>
          <w:tcPr>
            <w:tcW w:w="934" w:type="pct"/>
            <w:shd w:val="clear" w:color="auto" w:fill="auto"/>
            <w:vAlign w:val="center"/>
          </w:tcPr>
          <w:p>
            <w:pPr>
              <w:widowControl/>
              <w:rPr>
                <w:kern w:val="0"/>
                <w:sz w:val="20"/>
                <w:szCs w:val="20"/>
              </w:rPr>
            </w:pPr>
            <w:r>
              <w:rPr>
                <w:kern w:val="0"/>
                <w:sz w:val="20"/>
                <w:szCs w:val="20"/>
              </w:rPr>
              <w:t>1. 《中共江门市委政策研究室2024年工作情况报告》（江研报〔2025〕1号）</w:t>
            </w:r>
            <w:r>
              <w:rPr>
                <w:kern w:val="0"/>
                <w:sz w:val="20"/>
                <w:szCs w:val="20"/>
              </w:rPr>
              <w:br w:type="textWrapping"/>
            </w:r>
            <w:r>
              <w:rPr>
                <w:kern w:val="0"/>
                <w:sz w:val="20"/>
                <w:szCs w:val="20"/>
              </w:rPr>
              <w:t>2</w:t>
            </w:r>
            <w:bookmarkStart w:id="85" w:name="OLE_LINK26"/>
            <w:r>
              <w:rPr>
                <w:kern w:val="0"/>
                <w:sz w:val="20"/>
                <w:szCs w:val="20"/>
              </w:rPr>
              <w:t xml:space="preserve">. </w:t>
            </w:r>
            <w:bookmarkEnd w:id="85"/>
            <w:r>
              <w:rPr>
                <w:kern w:val="0"/>
                <w:sz w:val="20"/>
                <w:szCs w:val="20"/>
              </w:rPr>
              <w:t>市委政研室2024年课题计划完成情况表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restart"/>
            <w:shd w:val="clear" w:color="auto" w:fill="auto"/>
            <w:vAlign w:val="center"/>
          </w:tcPr>
          <w:p>
            <w:pPr>
              <w:widowControl/>
              <w:jc w:val="center"/>
              <w:rPr>
                <w:kern w:val="0"/>
                <w:sz w:val="20"/>
                <w:szCs w:val="20"/>
              </w:rPr>
            </w:pPr>
            <w:r>
              <w:rPr>
                <w:kern w:val="0"/>
                <w:sz w:val="20"/>
                <w:szCs w:val="20"/>
              </w:rPr>
              <w:t>管理效率</w:t>
            </w:r>
          </w:p>
        </w:tc>
        <w:tc>
          <w:tcPr>
            <w:tcW w:w="229" w:type="pct"/>
            <w:vMerge w:val="restart"/>
            <w:shd w:val="clear" w:color="auto" w:fill="auto"/>
            <w:vAlign w:val="center"/>
          </w:tcPr>
          <w:p>
            <w:pPr>
              <w:widowControl/>
              <w:jc w:val="center"/>
              <w:rPr>
                <w:kern w:val="0"/>
                <w:sz w:val="20"/>
                <w:szCs w:val="20"/>
              </w:rPr>
            </w:pPr>
            <w:r>
              <w:rPr>
                <w:kern w:val="0"/>
                <w:sz w:val="20"/>
                <w:szCs w:val="20"/>
              </w:rPr>
              <w:t>50</w:t>
            </w:r>
          </w:p>
        </w:tc>
        <w:tc>
          <w:tcPr>
            <w:tcW w:w="258" w:type="pct"/>
            <w:vMerge w:val="restart"/>
            <w:shd w:val="clear" w:color="auto" w:fill="auto"/>
            <w:vAlign w:val="center"/>
          </w:tcPr>
          <w:p>
            <w:pPr>
              <w:widowControl/>
              <w:jc w:val="center"/>
              <w:rPr>
                <w:kern w:val="0"/>
                <w:sz w:val="20"/>
                <w:szCs w:val="20"/>
              </w:rPr>
            </w:pPr>
            <w:r>
              <w:rPr>
                <w:kern w:val="0"/>
                <w:sz w:val="20"/>
                <w:szCs w:val="20"/>
              </w:rPr>
              <w:t>预算管理</w:t>
            </w:r>
          </w:p>
        </w:tc>
        <w:tc>
          <w:tcPr>
            <w:tcW w:w="206" w:type="pct"/>
            <w:vMerge w:val="restart"/>
            <w:shd w:val="clear" w:color="auto" w:fill="auto"/>
            <w:vAlign w:val="center"/>
          </w:tcPr>
          <w:p>
            <w:pPr>
              <w:widowControl/>
              <w:jc w:val="center"/>
              <w:rPr>
                <w:kern w:val="0"/>
                <w:sz w:val="20"/>
                <w:szCs w:val="20"/>
              </w:rPr>
            </w:pPr>
            <w:r>
              <w:rPr>
                <w:kern w:val="0"/>
                <w:sz w:val="20"/>
                <w:szCs w:val="20"/>
              </w:rPr>
              <w:t>10</w:t>
            </w:r>
          </w:p>
        </w:tc>
        <w:tc>
          <w:tcPr>
            <w:tcW w:w="257" w:type="pct"/>
            <w:shd w:val="clear" w:color="auto" w:fill="auto"/>
            <w:vAlign w:val="center"/>
          </w:tcPr>
          <w:p>
            <w:pPr>
              <w:widowControl/>
              <w:jc w:val="center"/>
              <w:rPr>
                <w:kern w:val="0"/>
                <w:sz w:val="20"/>
                <w:szCs w:val="20"/>
              </w:rPr>
            </w:pPr>
            <w:r>
              <w:rPr>
                <w:kern w:val="0"/>
                <w:sz w:val="20"/>
                <w:szCs w:val="20"/>
              </w:rPr>
              <w:t>预算编制合理性</w:t>
            </w:r>
          </w:p>
        </w:tc>
        <w:tc>
          <w:tcPr>
            <w:tcW w:w="206" w:type="pct"/>
            <w:shd w:val="clear" w:color="auto" w:fill="auto"/>
            <w:vAlign w:val="center"/>
          </w:tcPr>
          <w:p>
            <w:pPr>
              <w:widowControl/>
              <w:jc w:val="center"/>
              <w:rPr>
                <w:kern w:val="0"/>
                <w:sz w:val="20"/>
                <w:szCs w:val="20"/>
              </w:rPr>
            </w:pPr>
            <w:r>
              <w:rPr>
                <w:kern w:val="0"/>
                <w:sz w:val="20"/>
                <w:szCs w:val="20"/>
              </w:rPr>
              <w:t>8</w:t>
            </w:r>
          </w:p>
        </w:tc>
        <w:tc>
          <w:tcPr>
            <w:tcW w:w="309" w:type="pct"/>
            <w:shd w:val="clear" w:color="auto" w:fill="auto"/>
            <w:vAlign w:val="center"/>
          </w:tcPr>
          <w:p>
            <w:pPr>
              <w:widowControl/>
              <w:rPr>
                <w:kern w:val="0"/>
                <w:sz w:val="20"/>
                <w:szCs w:val="20"/>
              </w:rPr>
            </w:pPr>
            <w:r>
              <w:rPr>
                <w:kern w:val="0"/>
                <w:sz w:val="20"/>
                <w:szCs w:val="20"/>
              </w:rPr>
              <w:t>反映部门（单位）预算的合理性，即是否符合本部门职责、是否符合市委市政府的方针政策和工作要求，资金有无根据项目的轻重缓急进行分配。</w:t>
            </w:r>
          </w:p>
        </w:tc>
        <w:tc>
          <w:tcPr>
            <w:tcW w:w="875" w:type="pct"/>
            <w:shd w:val="clear" w:color="auto" w:fill="auto"/>
            <w:vAlign w:val="center"/>
          </w:tcPr>
          <w:p>
            <w:pPr>
              <w:widowControl/>
              <w:rPr>
                <w:kern w:val="0"/>
                <w:sz w:val="20"/>
                <w:szCs w:val="20"/>
              </w:rPr>
            </w:pPr>
            <w:r>
              <w:rPr>
                <w:kern w:val="0"/>
                <w:sz w:val="20"/>
                <w:szCs w:val="20"/>
              </w:rPr>
              <w:t>1．部门预算编制、分配符合本部门职责、符合市委市政府方针政策和工作要求的，得3分。</w:t>
            </w:r>
            <w:r>
              <w:rPr>
                <w:kern w:val="0"/>
                <w:sz w:val="20"/>
                <w:szCs w:val="20"/>
              </w:rPr>
              <w:br w:type="textWrapping"/>
            </w:r>
            <w:r>
              <w:rPr>
                <w:kern w:val="0"/>
                <w:sz w:val="20"/>
                <w:szCs w:val="20"/>
              </w:rPr>
              <w:t>2．部门预算资金能根据年度工作重点，在不同项目、不同用途之间分配合理的，得3分。</w:t>
            </w:r>
            <w:r>
              <w:rPr>
                <w:kern w:val="0"/>
                <w:sz w:val="20"/>
                <w:szCs w:val="20"/>
              </w:rPr>
              <w:br w:type="textWrapping"/>
            </w:r>
            <w:r>
              <w:rPr>
                <w:kern w:val="0"/>
                <w:sz w:val="20"/>
                <w:szCs w:val="20"/>
              </w:rPr>
              <w:t>3．部门预算分配不固化，能根据实际情况合理调整（如不存在项目支出完成不理想但连年持续安排预算的情况等），得2分。</w:t>
            </w:r>
          </w:p>
        </w:tc>
        <w:tc>
          <w:tcPr>
            <w:tcW w:w="258" w:type="pct"/>
            <w:shd w:val="clear" w:color="auto" w:fill="auto"/>
            <w:vAlign w:val="center"/>
          </w:tcPr>
          <w:p>
            <w:pPr>
              <w:widowControl/>
              <w:jc w:val="center"/>
              <w:rPr>
                <w:kern w:val="0"/>
                <w:sz w:val="20"/>
                <w:szCs w:val="20"/>
              </w:rPr>
            </w:pPr>
            <w:r>
              <w:rPr>
                <w:kern w:val="0"/>
                <w:sz w:val="20"/>
                <w:szCs w:val="20"/>
              </w:rPr>
              <w:t>7</w:t>
            </w:r>
          </w:p>
        </w:tc>
        <w:tc>
          <w:tcPr>
            <w:tcW w:w="1236" w:type="pct"/>
            <w:shd w:val="clear" w:color="auto" w:fill="auto"/>
            <w:vAlign w:val="center"/>
          </w:tcPr>
          <w:p>
            <w:pPr>
              <w:widowControl/>
              <w:rPr>
                <w:kern w:val="0"/>
                <w:sz w:val="20"/>
                <w:szCs w:val="20"/>
              </w:rPr>
            </w:pPr>
            <w:r>
              <w:rPr>
                <w:kern w:val="0"/>
                <w:sz w:val="20"/>
                <w:szCs w:val="20"/>
              </w:rPr>
              <w:t>1．根据市委政研室部门职责及工作任务要求，市委政研室2024年部门预算编制、分配符合本部门职责、符合市委市政府方针政策和工作要求，得3分。</w:t>
            </w:r>
          </w:p>
          <w:p>
            <w:pPr>
              <w:widowControl/>
              <w:rPr>
                <w:kern w:val="0"/>
                <w:sz w:val="20"/>
                <w:szCs w:val="20"/>
              </w:rPr>
            </w:pPr>
            <w:r>
              <w:rPr>
                <w:kern w:val="0"/>
                <w:sz w:val="20"/>
                <w:szCs w:val="20"/>
              </w:rPr>
              <w:t>2．市委政研室预算支出中包含6项项目支出，项目支出资金基本能够根据各项目工作任务合理分配，但各项目中存在同类用途分配模糊情况，得2分。</w:t>
            </w:r>
          </w:p>
          <w:p>
            <w:pPr>
              <w:widowControl/>
              <w:rPr>
                <w:kern w:val="0"/>
                <w:sz w:val="20"/>
                <w:szCs w:val="20"/>
              </w:rPr>
            </w:pPr>
            <w:r>
              <w:rPr>
                <w:kern w:val="0"/>
                <w:sz w:val="20"/>
                <w:szCs w:val="20"/>
              </w:rPr>
              <w:t>3．市委政研室预算基本能够保证分配不固化，根据实际情况合理调整，此项得2分。</w:t>
            </w:r>
          </w:p>
          <w:p>
            <w:pPr>
              <w:widowControl/>
              <w:rPr>
                <w:kern w:val="0"/>
                <w:sz w:val="20"/>
                <w:szCs w:val="20"/>
              </w:rPr>
            </w:pPr>
            <w:r>
              <w:rPr>
                <w:kern w:val="0"/>
                <w:sz w:val="20"/>
                <w:szCs w:val="20"/>
              </w:rPr>
              <w:t>综上，该指标得7分。</w:t>
            </w:r>
          </w:p>
        </w:tc>
        <w:tc>
          <w:tcPr>
            <w:tcW w:w="934" w:type="pct"/>
            <w:shd w:val="clear" w:color="auto" w:fill="auto"/>
            <w:vAlign w:val="center"/>
          </w:tcPr>
          <w:p>
            <w:pPr>
              <w:widowControl/>
              <w:rPr>
                <w:kern w:val="0"/>
                <w:sz w:val="20"/>
                <w:szCs w:val="20"/>
              </w:rPr>
            </w:pPr>
            <w:r>
              <w:rPr>
                <w:kern w:val="0"/>
                <w:sz w:val="20"/>
                <w:szCs w:val="20"/>
              </w:rPr>
              <w:t>1．市委政研室部门“三定”方案</w:t>
            </w:r>
            <w:r>
              <w:rPr>
                <w:kern w:val="0"/>
                <w:sz w:val="20"/>
                <w:szCs w:val="20"/>
              </w:rPr>
              <w:br w:type="textWrapping"/>
            </w:r>
            <w:r>
              <w:rPr>
                <w:kern w:val="0"/>
                <w:sz w:val="20"/>
                <w:szCs w:val="20"/>
              </w:rPr>
              <w:t>2．市委政研室2024年部门预算“一上”草案</w:t>
            </w:r>
            <w:r>
              <w:rPr>
                <w:kern w:val="0"/>
                <w:sz w:val="20"/>
                <w:szCs w:val="20"/>
              </w:rPr>
              <w:br w:type="textWrapping"/>
            </w:r>
            <w:r>
              <w:rPr>
                <w:kern w:val="0"/>
                <w:sz w:val="20"/>
                <w:szCs w:val="20"/>
              </w:rPr>
              <w:t>3．2025年江门市本级一般公共预算专项支出安排表（市委政研室）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continue"/>
            <w:vAlign w:val="center"/>
          </w:tcPr>
          <w:p>
            <w:pPr>
              <w:widowControl/>
              <w:jc w:val="center"/>
              <w:rPr>
                <w:kern w:val="0"/>
                <w:sz w:val="20"/>
                <w:szCs w:val="20"/>
              </w:rPr>
            </w:pPr>
          </w:p>
        </w:tc>
        <w:tc>
          <w:tcPr>
            <w:tcW w:w="206" w:type="pct"/>
            <w:vMerge w:val="continue"/>
            <w:vAlign w:val="center"/>
          </w:tcPr>
          <w:p>
            <w:pPr>
              <w:widowControl/>
              <w:jc w:val="center"/>
              <w:rPr>
                <w:kern w:val="0"/>
                <w:sz w:val="20"/>
                <w:szCs w:val="20"/>
              </w:rPr>
            </w:pPr>
          </w:p>
        </w:tc>
        <w:tc>
          <w:tcPr>
            <w:tcW w:w="257" w:type="pct"/>
            <w:shd w:val="clear" w:color="auto" w:fill="auto"/>
            <w:vAlign w:val="center"/>
          </w:tcPr>
          <w:p>
            <w:pPr>
              <w:widowControl/>
              <w:jc w:val="center"/>
              <w:rPr>
                <w:kern w:val="0"/>
                <w:sz w:val="20"/>
                <w:szCs w:val="20"/>
              </w:rPr>
            </w:pPr>
            <w:r>
              <w:rPr>
                <w:kern w:val="0"/>
                <w:sz w:val="20"/>
                <w:szCs w:val="20"/>
              </w:rPr>
              <w:t>预算编制约束性</w:t>
            </w:r>
          </w:p>
        </w:tc>
        <w:tc>
          <w:tcPr>
            <w:tcW w:w="206" w:type="pct"/>
            <w:shd w:val="clear" w:color="auto" w:fill="auto"/>
            <w:vAlign w:val="center"/>
          </w:tcPr>
          <w:p>
            <w:pPr>
              <w:widowControl/>
              <w:jc w:val="center"/>
              <w:rPr>
                <w:kern w:val="0"/>
                <w:sz w:val="20"/>
                <w:szCs w:val="20"/>
              </w:rPr>
            </w:pPr>
            <w:r>
              <w:rPr>
                <w:kern w:val="0"/>
                <w:sz w:val="20"/>
                <w:szCs w:val="20"/>
              </w:rPr>
              <w:t>2</w:t>
            </w:r>
          </w:p>
        </w:tc>
        <w:tc>
          <w:tcPr>
            <w:tcW w:w="309" w:type="pct"/>
            <w:shd w:val="clear" w:color="auto" w:fill="auto"/>
            <w:vAlign w:val="center"/>
          </w:tcPr>
          <w:p>
            <w:pPr>
              <w:widowControl/>
              <w:rPr>
                <w:kern w:val="0"/>
                <w:sz w:val="20"/>
                <w:szCs w:val="20"/>
              </w:rPr>
            </w:pPr>
            <w:r>
              <w:rPr>
                <w:kern w:val="0"/>
                <w:sz w:val="20"/>
                <w:szCs w:val="20"/>
              </w:rPr>
              <w:t>反映部门（单位）预算的调剂、年中追加资金情况。</w:t>
            </w:r>
          </w:p>
        </w:tc>
        <w:tc>
          <w:tcPr>
            <w:tcW w:w="875" w:type="pct"/>
            <w:shd w:val="clear" w:color="auto" w:fill="auto"/>
            <w:vAlign w:val="center"/>
          </w:tcPr>
          <w:p>
            <w:pPr>
              <w:widowControl/>
              <w:rPr>
                <w:kern w:val="0"/>
                <w:sz w:val="20"/>
                <w:szCs w:val="20"/>
              </w:rPr>
            </w:pPr>
            <w:r>
              <w:rPr>
                <w:kern w:val="0"/>
                <w:sz w:val="20"/>
                <w:szCs w:val="20"/>
              </w:rPr>
              <w:t>1．本指标综合得分=（1-预算调剂发生率）×分值×60%+（1-年中追加资金占比率）×分值×40%。</w:t>
            </w:r>
            <w:r>
              <w:rPr>
                <w:kern w:val="0"/>
                <w:sz w:val="20"/>
                <w:szCs w:val="20"/>
              </w:rPr>
              <w:br w:type="textWrapping"/>
            </w:r>
            <w:r>
              <w:rPr>
                <w:kern w:val="0"/>
                <w:sz w:val="20"/>
                <w:szCs w:val="20"/>
              </w:rPr>
              <w:t>2．预算调剂发生率，考核预算执行过程中,非因中央、省委省政府、市委市政府政策调整或发生自然灾害等不可抗力因素,部门要求调剂预算资金情况,包括预算科目、级次、项目调剂。</w:t>
            </w:r>
            <w:r>
              <w:rPr>
                <w:kern w:val="0"/>
                <w:sz w:val="20"/>
                <w:szCs w:val="20"/>
              </w:rPr>
              <w:br w:type="textWrapping"/>
            </w:r>
            <w:r>
              <w:rPr>
                <w:kern w:val="0"/>
                <w:sz w:val="20"/>
                <w:szCs w:val="20"/>
              </w:rPr>
              <w:t>3．年中追加资金占比率，考核非因新出台的统一政策（如年中增人增编经费、中央追加资金、非本部门主管的专项资金），当年度年中追加资金占比情况。</w:t>
            </w:r>
          </w:p>
        </w:tc>
        <w:tc>
          <w:tcPr>
            <w:tcW w:w="258" w:type="pct"/>
            <w:shd w:val="clear" w:color="auto" w:fill="auto"/>
            <w:vAlign w:val="center"/>
          </w:tcPr>
          <w:p>
            <w:pPr>
              <w:widowControl/>
              <w:jc w:val="center"/>
              <w:rPr>
                <w:kern w:val="0"/>
                <w:sz w:val="20"/>
                <w:szCs w:val="20"/>
              </w:rPr>
            </w:pPr>
            <w:r>
              <w:rPr>
                <w:kern w:val="0"/>
                <w:sz w:val="20"/>
                <w:szCs w:val="20"/>
              </w:rPr>
              <w:t>1.95</w:t>
            </w:r>
          </w:p>
        </w:tc>
        <w:tc>
          <w:tcPr>
            <w:tcW w:w="1236" w:type="pct"/>
            <w:shd w:val="clear" w:color="auto" w:fill="auto"/>
            <w:vAlign w:val="center"/>
          </w:tcPr>
          <w:p>
            <w:pPr>
              <w:widowControl/>
              <w:rPr>
                <w:kern w:val="0"/>
                <w:sz w:val="20"/>
                <w:szCs w:val="20"/>
              </w:rPr>
            </w:pPr>
            <w:r>
              <w:rPr>
                <w:kern w:val="0"/>
                <w:sz w:val="20"/>
                <w:szCs w:val="20"/>
              </w:rPr>
              <w:t>根据部门提供的预算调剂明细表，市委政研室2024年预算调剂金额为52.30万元，预算调剂发生率=52.30/1160.82=4.5%。市委政研室年中无追加资金情况。综上，本指标综合得分=（1-4.5%）*2*0.6+1*2*0.4=1.95分。</w:t>
            </w:r>
          </w:p>
        </w:tc>
        <w:tc>
          <w:tcPr>
            <w:tcW w:w="934" w:type="pct"/>
            <w:shd w:val="clear" w:color="auto" w:fill="auto"/>
            <w:vAlign w:val="center"/>
          </w:tcPr>
          <w:p>
            <w:pPr>
              <w:widowControl/>
              <w:rPr>
                <w:kern w:val="0"/>
                <w:sz w:val="20"/>
                <w:szCs w:val="20"/>
              </w:rPr>
            </w:pPr>
            <w:r>
              <w:rPr>
                <w:kern w:val="0"/>
                <w:sz w:val="20"/>
                <w:szCs w:val="20"/>
              </w:rPr>
              <w:t>市委政研室预算调剂明细表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restart"/>
            <w:shd w:val="clear" w:color="auto" w:fill="auto"/>
            <w:vAlign w:val="center"/>
          </w:tcPr>
          <w:p>
            <w:pPr>
              <w:widowControl/>
              <w:jc w:val="center"/>
              <w:rPr>
                <w:kern w:val="0"/>
                <w:sz w:val="20"/>
                <w:szCs w:val="20"/>
              </w:rPr>
            </w:pPr>
            <w:r>
              <w:rPr>
                <w:kern w:val="0"/>
                <w:sz w:val="20"/>
                <w:szCs w:val="20"/>
              </w:rPr>
              <w:t>目标管理</w:t>
            </w:r>
          </w:p>
        </w:tc>
        <w:tc>
          <w:tcPr>
            <w:tcW w:w="206" w:type="pct"/>
            <w:vMerge w:val="restart"/>
            <w:shd w:val="clear" w:color="auto" w:fill="auto"/>
            <w:vAlign w:val="center"/>
          </w:tcPr>
          <w:p>
            <w:pPr>
              <w:widowControl/>
              <w:jc w:val="center"/>
              <w:rPr>
                <w:kern w:val="0"/>
                <w:sz w:val="20"/>
                <w:szCs w:val="20"/>
              </w:rPr>
            </w:pPr>
            <w:r>
              <w:rPr>
                <w:kern w:val="0"/>
                <w:sz w:val="20"/>
                <w:szCs w:val="20"/>
              </w:rPr>
              <w:t>10</w:t>
            </w:r>
          </w:p>
        </w:tc>
        <w:tc>
          <w:tcPr>
            <w:tcW w:w="257" w:type="pct"/>
            <w:shd w:val="clear" w:color="auto" w:fill="auto"/>
            <w:vAlign w:val="center"/>
          </w:tcPr>
          <w:p>
            <w:pPr>
              <w:widowControl/>
              <w:jc w:val="center"/>
              <w:rPr>
                <w:kern w:val="0"/>
                <w:sz w:val="20"/>
                <w:szCs w:val="20"/>
              </w:rPr>
            </w:pPr>
            <w:r>
              <w:rPr>
                <w:kern w:val="0"/>
                <w:sz w:val="20"/>
                <w:szCs w:val="20"/>
              </w:rPr>
              <w:t>绩效目标合理性</w:t>
            </w:r>
          </w:p>
        </w:tc>
        <w:tc>
          <w:tcPr>
            <w:tcW w:w="206" w:type="pct"/>
            <w:shd w:val="clear" w:color="auto" w:fill="auto"/>
            <w:vAlign w:val="center"/>
          </w:tcPr>
          <w:p>
            <w:pPr>
              <w:widowControl/>
              <w:jc w:val="center"/>
              <w:rPr>
                <w:kern w:val="0"/>
                <w:sz w:val="20"/>
                <w:szCs w:val="20"/>
              </w:rPr>
            </w:pPr>
            <w:r>
              <w:rPr>
                <w:kern w:val="0"/>
                <w:sz w:val="20"/>
                <w:szCs w:val="20"/>
              </w:rPr>
              <w:t>5</w:t>
            </w:r>
          </w:p>
        </w:tc>
        <w:tc>
          <w:tcPr>
            <w:tcW w:w="309" w:type="pct"/>
            <w:shd w:val="clear" w:color="auto" w:fill="auto"/>
            <w:vAlign w:val="center"/>
          </w:tcPr>
          <w:p>
            <w:pPr>
              <w:widowControl/>
              <w:rPr>
                <w:kern w:val="0"/>
                <w:sz w:val="20"/>
                <w:szCs w:val="20"/>
              </w:rPr>
            </w:pPr>
            <w:r>
              <w:rPr>
                <w:kern w:val="0"/>
                <w:sz w:val="20"/>
                <w:szCs w:val="20"/>
              </w:rPr>
              <w:t>反映部门（单位）所设立的整体绩效目标是否依据充分，是否符合客观实际，用以反映和评价部门（单位）设立的绩效目标与部门履职和年度工作任务的相符性。</w:t>
            </w:r>
          </w:p>
        </w:tc>
        <w:tc>
          <w:tcPr>
            <w:tcW w:w="875" w:type="pct"/>
            <w:shd w:val="clear" w:color="auto" w:fill="auto"/>
            <w:vAlign w:val="center"/>
          </w:tcPr>
          <w:p>
            <w:pPr>
              <w:widowControl/>
              <w:rPr>
                <w:kern w:val="0"/>
                <w:sz w:val="20"/>
                <w:szCs w:val="20"/>
              </w:rPr>
            </w:pPr>
            <w:r>
              <w:rPr>
                <w:kern w:val="0"/>
                <w:sz w:val="20"/>
                <w:szCs w:val="20"/>
              </w:rPr>
              <w:t>1．整体绩效目标能体现部门（单位）“三定”方案规定的部门职能的，得1分。</w:t>
            </w:r>
            <w:r>
              <w:rPr>
                <w:kern w:val="0"/>
                <w:sz w:val="20"/>
                <w:szCs w:val="20"/>
              </w:rPr>
              <w:br w:type="textWrapping"/>
            </w:r>
            <w:r>
              <w:rPr>
                <w:kern w:val="0"/>
                <w:sz w:val="20"/>
                <w:szCs w:val="20"/>
              </w:rPr>
              <w:t>2．整体绩效目标能体现部门（单位）中长期规划和年度工作计划的，得1分。</w:t>
            </w:r>
            <w:r>
              <w:rPr>
                <w:kern w:val="0"/>
                <w:sz w:val="20"/>
                <w:szCs w:val="20"/>
              </w:rPr>
              <w:br w:type="textWrapping"/>
            </w:r>
            <w:r>
              <w:rPr>
                <w:kern w:val="0"/>
                <w:sz w:val="20"/>
                <w:szCs w:val="20"/>
              </w:rPr>
              <w:t>3．整体绩效目标能分解成具体工作任务的，得1分。</w:t>
            </w:r>
            <w:r>
              <w:rPr>
                <w:kern w:val="0"/>
                <w:sz w:val="20"/>
                <w:szCs w:val="20"/>
              </w:rPr>
              <w:br w:type="textWrapping"/>
            </w:r>
            <w:r>
              <w:rPr>
                <w:kern w:val="0"/>
                <w:sz w:val="20"/>
                <w:szCs w:val="20"/>
              </w:rPr>
              <w:t>4．整体绩效目标与本年度部门预算资金相匹配的，得1分。</w:t>
            </w:r>
            <w:r>
              <w:rPr>
                <w:kern w:val="0"/>
                <w:sz w:val="20"/>
                <w:szCs w:val="20"/>
              </w:rPr>
              <w:br w:type="textWrapping"/>
            </w:r>
            <w:r>
              <w:rPr>
                <w:kern w:val="0"/>
                <w:sz w:val="20"/>
                <w:szCs w:val="20"/>
              </w:rPr>
              <w:t>5．部门申报的项目有进行可行性研究和充分论证的，得1分。</w:t>
            </w:r>
            <w:r>
              <w:rPr>
                <w:kern w:val="0"/>
                <w:sz w:val="20"/>
                <w:szCs w:val="20"/>
              </w:rPr>
              <w:br w:type="textWrapping"/>
            </w:r>
            <w:r>
              <w:rPr>
                <w:kern w:val="0"/>
                <w:sz w:val="20"/>
                <w:szCs w:val="20"/>
              </w:rPr>
              <w:t>对上述5项标准，没有完全符合的，可酌情扣分。</w:t>
            </w:r>
          </w:p>
        </w:tc>
        <w:tc>
          <w:tcPr>
            <w:tcW w:w="258" w:type="pct"/>
            <w:shd w:val="clear" w:color="auto" w:fill="auto"/>
            <w:vAlign w:val="center"/>
          </w:tcPr>
          <w:p>
            <w:pPr>
              <w:widowControl/>
              <w:jc w:val="center"/>
              <w:rPr>
                <w:kern w:val="0"/>
                <w:sz w:val="20"/>
                <w:szCs w:val="20"/>
              </w:rPr>
            </w:pPr>
            <w:r>
              <w:rPr>
                <w:kern w:val="0"/>
                <w:sz w:val="20"/>
                <w:szCs w:val="20"/>
              </w:rPr>
              <w:t>4</w:t>
            </w:r>
          </w:p>
        </w:tc>
        <w:tc>
          <w:tcPr>
            <w:tcW w:w="1236" w:type="pct"/>
            <w:shd w:val="clear" w:color="auto" w:fill="auto"/>
            <w:vAlign w:val="center"/>
          </w:tcPr>
          <w:p>
            <w:pPr>
              <w:widowControl/>
              <w:rPr>
                <w:kern w:val="0"/>
                <w:sz w:val="20"/>
                <w:szCs w:val="20"/>
              </w:rPr>
            </w:pPr>
            <w:r>
              <w:rPr>
                <w:kern w:val="0"/>
                <w:sz w:val="20"/>
                <w:szCs w:val="20"/>
              </w:rPr>
              <w:t>1．市委政研室部门整体绩效目标共包含8类工作内容，可以体现部门“三定”方案规定的部门职能，得1分。</w:t>
            </w:r>
            <w:r>
              <w:rPr>
                <w:kern w:val="0"/>
                <w:sz w:val="20"/>
                <w:szCs w:val="20"/>
              </w:rPr>
              <w:br w:type="textWrapping"/>
            </w:r>
            <w:r>
              <w:rPr>
                <w:kern w:val="0"/>
                <w:sz w:val="20"/>
                <w:szCs w:val="20"/>
              </w:rPr>
              <w:t>2．市委政研室部门整体绩效目标基本能体现部门（单位）中长期规划和年度工作计划，得1分。</w:t>
            </w:r>
            <w:r>
              <w:rPr>
                <w:kern w:val="0"/>
                <w:sz w:val="20"/>
                <w:szCs w:val="20"/>
              </w:rPr>
              <w:br w:type="textWrapping"/>
            </w:r>
            <w:r>
              <w:rPr>
                <w:kern w:val="0"/>
                <w:sz w:val="20"/>
                <w:szCs w:val="20"/>
              </w:rPr>
              <w:t>3．市委政研室部门整体绩效目标能分解成具体工作任务，得1分。</w:t>
            </w:r>
            <w:r>
              <w:rPr>
                <w:kern w:val="0"/>
                <w:sz w:val="20"/>
                <w:szCs w:val="20"/>
              </w:rPr>
              <w:br w:type="textWrapping"/>
            </w:r>
            <w:r>
              <w:rPr>
                <w:kern w:val="0"/>
                <w:sz w:val="20"/>
                <w:szCs w:val="20"/>
              </w:rPr>
              <w:t>4．市委政研室部门整体绩效目标与本年度部门预算资金相匹配，得1分。</w:t>
            </w:r>
            <w:r>
              <w:rPr>
                <w:kern w:val="0"/>
                <w:sz w:val="20"/>
                <w:szCs w:val="20"/>
              </w:rPr>
              <w:br w:type="textWrapping"/>
            </w:r>
            <w:r>
              <w:rPr>
                <w:kern w:val="0"/>
                <w:sz w:val="20"/>
                <w:szCs w:val="20"/>
              </w:rPr>
              <w:t>5．未见市委政研室进行项目申报可行性研究和充分论证相关材料，此项不得分。</w:t>
            </w:r>
            <w:r>
              <w:rPr>
                <w:kern w:val="0"/>
                <w:sz w:val="20"/>
                <w:szCs w:val="20"/>
              </w:rPr>
              <w:br w:type="textWrapping"/>
            </w:r>
            <w:r>
              <w:rPr>
                <w:kern w:val="0"/>
                <w:sz w:val="20"/>
                <w:szCs w:val="20"/>
              </w:rPr>
              <w:t>综上，该指标得4分。</w:t>
            </w:r>
          </w:p>
        </w:tc>
        <w:tc>
          <w:tcPr>
            <w:tcW w:w="934" w:type="pct"/>
            <w:shd w:val="clear" w:color="auto" w:fill="auto"/>
            <w:vAlign w:val="center"/>
          </w:tcPr>
          <w:p>
            <w:pPr>
              <w:widowControl/>
              <w:rPr>
                <w:kern w:val="0"/>
                <w:sz w:val="20"/>
                <w:szCs w:val="20"/>
              </w:rPr>
            </w:pPr>
            <w:r>
              <w:rPr>
                <w:kern w:val="0"/>
                <w:sz w:val="20"/>
                <w:szCs w:val="20"/>
              </w:rPr>
              <w:t>市委政研室《市级部门整体预算绩效目标申报表》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continue"/>
            <w:vAlign w:val="center"/>
          </w:tcPr>
          <w:p>
            <w:pPr>
              <w:widowControl/>
              <w:jc w:val="center"/>
              <w:rPr>
                <w:kern w:val="0"/>
                <w:sz w:val="20"/>
                <w:szCs w:val="20"/>
              </w:rPr>
            </w:pPr>
          </w:p>
        </w:tc>
        <w:tc>
          <w:tcPr>
            <w:tcW w:w="206" w:type="pct"/>
            <w:vMerge w:val="continue"/>
            <w:vAlign w:val="center"/>
          </w:tcPr>
          <w:p>
            <w:pPr>
              <w:widowControl/>
              <w:jc w:val="center"/>
              <w:rPr>
                <w:kern w:val="0"/>
                <w:sz w:val="20"/>
                <w:szCs w:val="20"/>
              </w:rPr>
            </w:pPr>
          </w:p>
        </w:tc>
        <w:tc>
          <w:tcPr>
            <w:tcW w:w="257" w:type="pct"/>
            <w:shd w:val="clear" w:color="auto" w:fill="auto"/>
            <w:vAlign w:val="center"/>
          </w:tcPr>
          <w:p>
            <w:pPr>
              <w:widowControl/>
              <w:jc w:val="center"/>
              <w:rPr>
                <w:kern w:val="0"/>
                <w:sz w:val="20"/>
                <w:szCs w:val="20"/>
              </w:rPr>
            </w:pPr>
            <w:r>
              <w:rPr>
                <w:kern w:val="0"/>
                <w:sz w:val="20"/>
                <w:szCs w:val="20"/>
              </w:rPr>
              <w:t>绩效指标明确性</w:t>
            </w:r>
          </w:p>
        </w:tc>
        <w:tc>
          <w:tcPr>
            <w:tcW w:w="206" w:type="pct"/>
            <w:shd w:val="clear" w:color="auto" w:fill="auto"/>
            <w:vAlign w:val="center"/>
          </w:tcPr>
          <w:p>
            <w:pPr>
              <w:widowControl/>
              <w:jc w:val="center"/>
              <w:rPr>
                <w:kern w:val="0"/>
                <w:sz w:val="20"/>
                <w:szCs w:val="20"/>
              </w:rPr>
            </w:pPr>
            <w:r>
              <w:rPr>
                <w:kern w:val="0"/>
                <w:sz w:val="20"/>
                <w:szCs w:val="20"/>
              </w:rPr>
              <w:t>5</w:t>
            </w:r>
          </w:p>
        </w:tc>
        <w:tc>
          <w:tcPr>
            <w:tcW w:w="309" w:type="pct"/>
            <w:shd w:val="clear" w:color="auto" w:fill="auto"/>
            <w:vAlign w:val="center"/>
          </w:tcPr>
          <w:p>
            <w:pPr>
              <w:widowControl/>
              <w:rPr>
                <w:kern w:val="0"/>
                <w:sz w:val="20"/>
                <w:szCs w:val="20"/>
              </w:rPr>
            </w:pPr>
            <w:r>
              <w:rPr>
                <w:kern w:val="0"/>
                <w:sz w:val="20"/>
                <w:szCs w:val="20"/>
              </w:rPr>
              <w:t>反映部门（单位）依据整体绩效目标所设定的绩效指标是否清晰、细化、可量化，用以反映和考核部门（单位）整体绩效目标的明细化情况。</w:t>
            </w:r>
          </w:p>
        </w:tc>
        <w:tc>
          <w:tcPr>
            <w:tcW w:w="875" w:type="pct"/>
            <w:shd w:val="clear" w:color="auto" w:fill="auto"/>
            <w:vAlign w:val="center"/>
          </w:tcPr>
          <w:p>
            <w:pPr>
              <w:widowControl/>
              <w:rPr>
                <w:kern w:val="0"/>
                <w:sz w:val="20"/>
                <w:szCs w:val="20"/>
              </w:rPr>
            </w:pPr>
            <w:r>
              <w:rPr>
                <w:kern w:val="0"/>
                <w:sz w:val="20"/>
                <w:szCs w:val="20"/>
              </w:rPr>
              <w:t>1．绩效指标中包含能够明确体现部门（单位）履职效果的社会经济效益指标的，得2分。</w:t>
            </w:r>
            <w:r>
              <w:rPr>
                <w:kern w:val="0"/>
                <w:sz w:val="20"/>
                <w:szCs w:val="20"/>
              </w:rPr>
              <w:br w:type="textWrapping"/>
            </w:r>
            <w:r>
              <w:rPr>
                <w:kern w:val="0"/>
                <w:sz w:val="20"/>
                <w:szCs w:val="20"/>
              </w:rPr>
              <w:t>2．绩效指标具有清晰、可衡量的指标值的，得1分。</w:t>
            </w:r>
            <w:r>
              <w:rPr>
                <w:kern w:val="0"/>
                <w:sz w:val="20"/>
                <w:szCs w:val="20"/>
              </w:rPr>
              <w:br w:type="textWrapping"/>
            </w:r>
            <w:r>
              <w:rPr>
                <w:kern w:val="0"/>
                <w:sz w:val="20"/>
                <w:szCs w:val="20"/>
              </w:rPr>
              <w:t>3．绩效指标以可量化指标为主，得1分。</w:t>
            </w:r>
            <w:r>
              <w:rPr>
                <w:kern w:val="0"/>
                <w:sz w:val="20"/>
                <w:szCs w:val="20"/>
              </w:rPr>
              <w:br w:type="textWrapping"/>
            </w:r>
            <w:r>
              <w:rPr>
                <w:kern w:val="0"/>
                <w:sz w:val="20"/>
                <w:szCs w:val="20"/>
              </w:rPr>
              <w:t>4．绩效目标的目标值测算能提供相关依据或符合客观实际情况的，得1分。</w:t>
            </w:r>
            <w:r>
              <w:rPr>
                <w:kern w:val="0"/>
                <w:sz w:val="20"/>
                <w:szCs w:val="20"/>
              </w:rPr>
              <w:br w:type="textWrapping"/>
            </w:r>
            <w:r>
              <w:rPr>
                <w:kern w:val="0"/>
                <w:sz w:val="20"/>
                <w:szCs w:val="20"/>
              </w:rPr>
              <w:t>对上述4项标准，没有完全符合的，可酌情扣分。</w:t>
            </w:r>
          </w:p>
        </w:tc>
        <w:tc>
          <w:tcPr>
            <w:tcW w:w="258" w:type="pct"/>
            <w:shd w:val="clear" w:color="auto" w:fill="auto"/>
            <w:vAlign w:val="center"/>
          </w:tcPr>
          <w:p>
            <w:pPr>
              <w:widowControl/>
              <w:jc w:val="center"/>
              <w:rPr>
                <w:kern w:val="0"/>
                <w:sz w:val="20"/>
                <w:szCs w:val="20"/>
              </w:rPr>
            </w:pPr>
            <w:r>
              <w:rPr>
                <w:kern w:val="0"/>
                <w:sz w:val="20"/>
                <w:szCs w:val="20"/>
              </w:rPr>
              <w:t>4</w:t>
            </w:r>
          </w:p>
        </w:tc>
        <w:tc>
          <w:tcPr>
            <w:tcW w:w="1236" w:type="pct"/>
            <w:shd w:val="clear" w:color="auto" w:fill="auto"/>
            <w:vAlign w:val="center"/>
          </w:tcPr>
          <w:p>
            <w:pPr>
              <w:widowControl/>
              <w:rPr>
                <w:kern w:val="0"/>
                <w:sz w:val="20"/>
                <w:szCs w:val="20"/>
              </w:rPr>
            </w:pPr>
            <w:r>
              <w:rPr>
                <w:kern w:val="0"/>
                <w:sz w:val="20"/>
                <w:szCs w:val="20"/>
              </w:rPr>
              <w:t>1．市委政研室共设置4项社会效益指标，分别是“平均运行无故障（%），指标值≥96”“安全事故发生数（起），0”“政策执行跟踪反馈覆盖率（%），100%”“有利于提高工作效率（是/否），是”，未能全面体现部门履职效果，得1分。</w:t>
            </w:r>
            <w:r>
              <w:rPr>
                <w:kern w:val="0"/>
                <w:sz w:val="20"/>
                <w:szCs w:val="20"/>
              </w:rPr>
              <w:br w:type="textWrapping"/>
            </w:r>
            <w:r>
              <w:rPr>
                <w:kern w:val="0"/>
                <w:sz w:val="20"/>
                <w:szCs w:val="20"/>
              </w:rPr>
              <w:t>2．市委政研室设置的绩效指标值基本清晰、可衡量，得1分。</w:t>
            </w:r>
            <w:r>
              <w:rPr>
                <w:kern w:val="0"/>
                <w:sz w:val="20"/>
                <w:szCs w:val="20"/>
              </w:rPr>
              <w:br w:type="textWrapping"/>
            </w:r>
            <w:r>
              <w:rPr>
                <w:kern w:val="0"/>
                <w:sz w:val="20"/>
                <w:szCs w:val="20"/>
              </w:rPr>
              <w:t>3．市委政研室设置的绩效指标以可量化指标为主，得1分。</w:t>
            </w:r>
            <w:r>
              <w:rPr>
                <w:kern w:val="0"/>
                <w:sz w:val="20"/>
                <w:szCs w:val="20"/>
              </w:rPr>
              <w:br w:type="textWrapping"/>
            </w:r>
            <w:r>
              <w:rPr>
                <w:kern w:val="0"/>
                <w:sz w:val="20"/>
                <w:szCs w:val="20"/>
              </w:rPr>
              <w:t>4．市委政研室设置的绩效目标的目标值测算符合客观实际情况，得1分。</w:t>
            </w:r>
            <w:r>
              <w:rPr>
                <w:kern w:val="0"/>
                <w:sz w:val="20"/>
                <w:szCs w:val="20"/>
              </w:rPr>
              <w:br w:type="textWrapping"/>
            </w:r>
            <w:r>
              <w:rPr>
                <w:kern w:val="0"/>
                <w:sz w:val="20"/>
                <w:szCs w:val="20"/>
              </w:rPr>
              <w:t>综上，该指标得4分。</w:t>
            </w:r>
          </w:p>
        </w:tc>
        <w:tc>
          <w:tcPr>
            <w:tcW w:w="934" w:type="pct"/>
            <w:shd w:val="clear" w:color="auto" w:fill="auto"/>
            <w:vAlign w:val="center"/>
          </w:tcPr>
          <w:p>
            <w:pPr>
              <w:widowControl/>
              <w:rPr>
                <w:kern w:val="0"/>
                <w:sz w:val="20"/>
                <w:szCs w:val="20"/>
              </w:rPr>
            </w:pPr>
            <w:r>
              <w:rPr>
                <w:kern w:val="0"/>
                <w:sz w:val="20"/>
                <w:szCs w:val="20"/>
              </w:rPr>
              <w:t>市委政研室《市级部门整体预算绩效目标申报表》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restart"/>
            <w:shd w:val="clear" w:color="auto" w:fill="auto"/>
            <w:vAlign w:val="center"/>
          </w:tcPr>
          <w:p>
            <w:pPr>
              <w:widowControl/>
              <w:jc w:val="center"/>
              <w:rPr>
                <w:kern w:val="0"/>
                <w:sz w:val="20"/>
                <w:szCs w:val="20"/>
              </w:rPr>
            </w:pPr>
            <w:r>
              <w:rPr>
                <w:kern w:val="0"/>
                <w:sz w:val="20"/>
                <w:szCs w:val="20"/>
              </w:rPr>
              <w:t>成本管控</w:t>
            </w:r>
          </w:p>
        </w:tc>
        <w:tc>
          <w:tcPr>
            <w:tcW w:w="206" w:type="pct"/>
            <w:vMerge w:val="restart"/>
            <w:shd w:val="clear" w:color="auto" w:fill="auto"/>
            <w:noWrap/>
            <w:vAlign w:val="center"/>
          </w:tcPr>
          <w:p>
            <w:pPr>
              <w:widowControl/>
              <w:jc w:val="center"/>
              <w:rPr>
                <w:kern w:val="0"/>
                <w:sz w:val="20"/>
                <w:szCs w:val="20"/>
              </w:rPr>
            </w:pPr>
            <w:r>
              <w:rPr>
                <w:kern w:val="0"/>
                <w:sz w:val="20"/>
                <w:szCs w:val="20"/>
              </w:rPr>
              <w:t>18</w:t>
            </w:r>
          </w:p>
        </w:tc>
        <w:tc>
          <w:tcPr>
            <w:tcW w:w="257" w:type="pct"/>
            <w:shd w:val="clear" w:color="auto" w:fill="auto"/>
            <w:vAlign w:val="center"/>
          </w:tcPr>
          <w:p>
            <w:pPr>
              <w:widowControl/>
              <w:jc w:val="center"/>
              <w:rPr>
                <w:kern w:val="0"/>
                <w:sz w:val="20"/>
                <w:szCs w:val="20"/>
              </w:rPr>
            </w:pPr>
            <w:r>
              <w:rPr>
                <w:kern w:val="0"/>
                <w:sz w:val="20"/>
                <w:szCs w:val="20"/>
              </w:rPr>
              <w:t>投入成本合理性</w:t>
            </w:r>
          </w:p>
        </w:tc>
        <w:tc>
          <w:tcPr>
            <w:tcW w:w="206" w:type="pct"/>
            <w:shd w:val="clear" w:color="auto" w:fill="auto"/>
            <w:vAlign w:val="center"/>
          </w:tcPr>
          <w:p>
            <w:pPr>
              <w:widowControl/>
              <w:jc w:val="center"/>
              <w:rPr>
                <w:kern w:val="0"/>
                <w:sz w:val="20"/>
                <w:szCs w:val="20"/>
              </w:rPr>
            </w:pPr>
            <w:r>
              <w:rPr>
                <w:kern w:val="0"/>
                <w:sz w:val="20"/>
                <w:szCs w:val="20"/>
              </w:rPr>
              <w:t>5</w:t>
            </w:r>
          </w:p>
        </w:tc>
        <w:tc>
          <w:tcPr>
            <w:tcW w:w="309" w:type="pct"/>
            <w:shd w:val="clear" w:color="auto" w:fill="auto"/>
            <w:vAlign w:val="center"/>
          </w:tcPr>
          <w:p>
            <w:pPr>
              <w:widowControl/>
              <w:rPr>
                <w:kern w:val="0"/>
                <w:sz w:val="20"/>
                <w:szCs w:val="20"/>
              </w:rPr>
            </w:pPr>
            <w:r>
              <w:rPr>
                <w:kern w:val="0"/>
                <w:sz w:val="20"/>
                <w:szCs w:val="20"/>
              </w:rPr>
              <w:t>反映部门（单位）对各项目投入成本的合理性把控。</w:t>
            </w:r>
          </w:p>
        </w:tc>
        <w:tc>
          <w:tcPr>
            <w:tcW w:w="875" w:type="pct"/>
            <w:shd w:val="clear" w:color="auto" w:fill="auto"/>
            <w:vAlign w:val="center"/>
          </w:tcPr>
          <w:p>
            <w:pPr>
              <w:widowControl/>
              <w:rPr>
                <w:kern w:val="0"/>
                <w:sz w:val="20"/>
                <w:szCs w:val="20"/>
              </w:rPr>
            </w:pPr>
            <w:r>
              <w:rPr>
                <w:kern w:val="0"/>
                <w:sz w:val="20"/>
                <w:szCs w:val="20"/>
              </w:rPr>
              <w:t>成本构成必要性：各项目投入成本均有政府部门红头文件依据，得5分，若发现一项不符，扣1分。</w:t>
            </w:r>
          </w:p>
        </w:tc>
        <w:tc>
          <w:tcPr>
            <w:tcW w:w="258" w:type="pct"/>
            <w:shd w:val="clear" w:color="auto" w:fill="auto"/>
            <w:vAlign w:val="center"/>
          </w:tcPr>
          <w:p>
            <w:pPr>
              <w:widowControl/>
              <w:jc w:val="center"/>
              <w:rPr>
                <w:kern w:val="0"/>
                <w:sz w:val="20"/>
                <w:szCs w:val="20"/>
              </w:rPr>
            </w:pPr>
            <w:r>
              <w:rPr>
                <w:kern w:val="0"/>
                <w:sz w:val="20"/>
                <w:szCs w:val="20"/>
              </w:rPr>
              <w:t>5</w:t>
            </w:r>
          </w:p>
        </w:tc>
        <w:tc>
          <w:tcPr>
            <w:tcW w:w="1236" w:type="pct"/>
            <w:shd w:val="clear" w:color="auto" w:fill="auto"/>
            <w:vAlign w:val="center"/>
          </w:tcPr>
          <w:p>
            <w:pPr>
              <w:widowControl/>
              <w:rPr>
                <w:kern w:val="0"/>
                <w:sz w:val="20"/>
                <w:szCs w:val="20"/>
              </w:rPr>
            </w:pPr>
            <w:r>
              <w:rPr>
                <w:kern w:val="0"/>
                <w:sz w:val="20"/>
                <w:szCs w:val="20"/>
              </w:rPr>
              <w:t>市委政研室各项目投入成本均符合部门“三定”方案，得满分。</w:t>
            </w:r>
          </w:p>
        </w:tc>
        <w:tc>
          <w:tcPr>
            <w:tcW w:w="934" w:type="pct"/>
            <w:shd w:val="clear" w:color="auto" w:fill="auto"/>
            <w:vAlign w:val="center"/>
          </w:tcPr>
          <w:p>
            <w:pPr>
              <w:widowControl/>
              <w:rPr>
                <w:kern w:val="0"/>
                <w:sz w:val="20"/>
                <w:szCs w:val="20"/>
              </w:rPr>
            </w:pPr>
            <w:r>
              <w:rPr>
                <w:kern w:val="0"/>
                <w:sz w:val="20"/>
                <w:szCs w:val="20"/>
              </w:rPr>
              <w:t>市委政研室部门“三定”方案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continue"/>
            <w:vAlign w:val="center"/>
          </w:tcPr>
          <w:p>
            <w:pPr>
              <w:widowControl/>
              <w:jc w:val="center"/>
              <w:rPr>
                <w:kern w:val="0"/>
                <w:sz w:val="20"/>
                <w:szCs w:val="20"/>
              </w:rPr>
            </w:pPr>
          </w:p>
        </w:tc>
        <w:tc>
          <w:tcPr>
            <w:tcW w:w="206" w:type="pct"/>
            <w:vMerge w:val="continue"/>
            <w:vAlign w:val="center"/>
          </w:tcPr>
          <w:p>
            <w:pPr>
              <w:widowControl/>
              <w:jc w:val="center"/>
              <w:rPr>
                <w:kern w:val="0"/>
                <w:sz w:val="20"/>
                <w:szCs w:val="20"/>
              </w:rPr>
            </w:pPr>
          </w:p>
        </w:tc>
        <w:tc>
          <w:tcPr>
            <w:tcW w:w="257" w:type="pct"/>
            <w:shd w:val="clear" w:color="auto" w:fill="auto"/>
            <w:vAlign w:val="center"/>
          </w:tcPr>
          <w:p>
            <w:pPr>
              <w:widowControl/>
              <w:jc w:val="center"/>
              <w:rPr>
                <w:kern w:val="0"/>
                <w:sz w:val="20"/>
                <w:szCs w:val="20"/>
              </w:rPr>
            </w:pPr>
            <w:r>
              <w:rPr>
                <w:kern w:val="0"/>
                <w:sz w:val="20"/>
                <w:szCs w:val="20"/>
              </w:rPr>
              <w:t>成本管控措施</w:t>
            </w:r>
          </w:p>
        </w:tc>
        <w:tc>
          <w:tcPr>
            <w:tcW w:w="206" w:type="pct"/>
            <w:shd w:val="clear" w:color="auto" w:fill="auto"/>
            <w:vAlign w:val="center"/>
          </w:tcPr>
          <w:p>
            <w:pPr>
              <w:widowControl/>
              <w:jc w:val="center"/>
              <w:rPr>
                <w:kern w:val="0"/>
                <w:sz w:val="20"/>
                <w:szCs w:val="20"/>
              </w:rPr>
            </w:pPr>
            <w:r>
              <w:rPr>
                <w:kern w:val="0"/>
                <w:sz w:val="20"/>
                <w:szCs w:val="20"/>
              </w:rPr>
              <w:t>13</w:t>
            </w:r>
          </w:p>
        </w:tc>
        <w:tc>
          <w:tcPr>
            <w:tcW w:w="309" w:type="pct"/>
            <w:shd w:val="clear" w:color="auto" w:fill="auto"/>
            <w:vAlign w:val="center"/>
          </w:tcPr>
          <w:p>
            <w:pPr>
              <w:widowControl/>
              <w:rPr>
                <w:kern w:val="0"/>
                <w:sz w:val="20"/>
                <w:szCs w:val="20"/>
              </w:rPr>
            </w:pPr>
            <w:r>
              <w:rPr>
                <w:kern w:val="0"/>
                <w:sz w:val="20"/>
                <w:szCs w:val="20"/>
              </w:rPr>
              <w:t>反映部门（单位）在对各项目的成本管控措施情况。</w:t>
            </w:r>
          </w:p>
        </w:tc>
        <w:tc>
          <w:tcPr>
            <w:tcW w:w="875" w:type="pct"/>
            <w:shd w:val="clear" w:color="auto" w:fill="auto"/>
            <w:vAlign w:val="center"/>
          </w:tcPr>
          <w:p>
            <w:pPr>
              <w:widowControl/>
              <w:rPr>
                <w:kern w:val="0"/>
                <w:sz w:val="20"/>
                <w:szCs w:val="20"/>
              </w:rPr>
            </w:pPr>
            <w:r>
              <w:rPr>
                <w:kern w:val="0"/>
                <w:sz w:val="20"/>
                <w:szCs w:val="20"/>
              </w:rPr>
              <w:t>1．新增项目开展事前评估情况。反映部门（单位）对申请新增预算的入库项目开展事前绩效评估工作的落实情况。检查部门申请新增预算的项目是否按要求的范围开展绩效评估，是否按《事前绩效评估管理办法》的程序和内容开展工作，评分采用扣分法。按要求开展事前评估的，得2分，若发现一项不符，扣1分；</w:t>
            </w:r>
            <w:r>
              <w:rPr>
                <w:kern w:val="0"/>
                <w:sz w:val="20"/>
                <w:szCs w:val="20"/>
              </w:rPr>
              <w:br w:type="textWrapping"/>
            </w:r>
            <w:r>
              <w:rPr>
                <w:kern w:val="0"/>
                <w:sz w:val="20"/>
                <w:szCs w:val="20"/>
              </w:rPr>
              <w:t>2．测算方式科学性：各项目成本测算采用了历史成本预测预算编制法、零基-绩效成本预算编制法、横向比较成本预算编制法等，得5分，若发现一项不符，扣1分；</w:t>
            </w:r>
            <w:r>
              <w:rPr>
                <w:kern w:val="0"/>
                <w:sz w:val="20"/>
                <w:szCs w:val="20"/>
              </w:rPr>
              <w:br w:type="textWrapping"/>
            </w:r>
            <w:r>
              <w:rPr>
                <w:kern w:val="0"/>
                <w:sz w:val="20"/>
                <w:szCs w:val="20"/>
              </w:rPr>
              <w:t>3．人力服务成本经济性：购买课题研究服务或聘用专家等涉及的人力支出标准符合国家统计部门发布的行业工资标准、财政部门制定的劳务费标准、市场询价价格等，并通过充分借鉴和比较同类型项目情况，结合历史数据、行业数据等资料，对投入成本进行解剖式分析确定最优投入成本方案的，得3分，若发现一项不符，扣1分；</w:t>
            </w:r>
            <w:r>
              <w:rPr>
                <w:kern w:val="0"/>
                <w:sz w:val="20"/>
                <w:szCs w:val="20"/>
              </w:rPr>
              <w:br w:type="textWrapping"/>
            </w:r>
            <w:r>
              <w:rPr>
                <w:kern w:val="0"/>
                <w:sz w:val="20"/>
                <w:szCs w:val="20"/>
              </w:rPr>
              <w:t>4．物料器械设备采购成本经济性：物料器械设备采购支出标准符合政府采购价格、市场询价价格等，并通过充分借鉴和比较同类型项目情况，结合历史数据、行业数据等资料，对投入成本进行解剖式分析确定最优投入成本方案的，得3分，若发现一项不符，扣1分。</w:t>
            </w:r>
          </w:p>
        </w:tc>
        <w:tc>
          <w:tcPr>
            <w:tcW w:w="258" w:type="pct"/>
            <w:shd w:val="clear" w:color="auto" w:fill="auto"/>
            <w:vAlign w:val="center"/>
          </w:tcPr>
          <w:p>
            <w:pPr>
              <w:widowControl/>
              <w:jc w:val="center"/>
              <w:rPr>
                <w:kern w:val="0"/>
                <w:sz w:val="20"/>
                <w:szCs w:val="20"/>
              </w:rPr>
            </w:pPr>
            <w:r>
              <w:rPr>
                <w:kern w:val="0"/>
                <w:sz w:val="20"/>
                <w:szCs w:val="20"/>
              </w:rPr>
              <w:t>10</w:t>
            </w:r>
          </w:p>
        </w:tc>
        <w:tc>
          <w:tcPr>
            <w:tcW w:w="1236" w:type="pct"/>
            <w:shd w:val="clear" w:color="auto" w:fill="auto"/>
            <w:vAlign w:val="center"/>
          </w:tcPr>
          <w:p>
            <w:pPr>
              <w:widowControl/>
              <w:rPr>
                <w:kern w:val="0"/>
                <w:sz w:val="20"/>
                <w:szCs w:val="20"/>
              </w:rPr>
            </w:pPr>
            <w:r>
              <w:rPr>
                <w:kern w:val="0"/>
                <w:sz w:val="20"/>
                <w:szCs w:val="20"/>
              </w:rPr>
              <w:t>1．市委政研室2024年无新增项目，此项得2分。</w:t>
            </w:r>
          </w:p>
          <w:p>
            <w:pPr>
              <w:widowControl/>
              <w:rPr>
                <w:kern w:val="0"/>
                <w:sz w:val="20"/>
                <w:szCs w:val="20"/>
              </w:rPr>
            </w:pPr>
            <w:r>
              <w:rPr>
                <w:kern w:val="0"/>
                <w:sz w:val="20"/>
                <w:szCs w:val="20"/>
              </w:rPr>
              <w:t>2．市委政研室2024年各项目成本基本采用历史成本预测预算编制法和零基-绩效成本预算编制法，但存在部分同类支出内容在多个项目中碎片化预测，如“文具、硒鼓粉盒耗材”在市委财经办工作经费、市决咨委工作经费、专项业务支出中均有支出，且测算依据不充分，预算科学性不完善，此项得4分。</w:t>
            </w:r>
          </w:p>
          <w:p>
            <w:pPr>
              <w:widowControl/>
              <w:rPr>
                <w:kern w:val="0"/>
                <w:sz w:val="20"/>
                <w:szCs w:val="20"/>
              </w:rPr>
            </w:pPr>
            <w:r>
              <w:rPr>
                <w:kern w:val="0"/>
                <w:sz w:val="20"/>
                <w:szCs w:val="20"/>
              </w:rPr>
              <w:t>3．市委政研室2024年无新增委托课题，仅对2023年委托课题的结题尾款进行支付。2024年市委政研室共有4项课题委托验收项目，已收到其中3个的课题委托协议书，分别是《发挥企二代作用，推动民营经济高质量发展》《发展壮大镇域经济 推进区域协调发展》《建设现代化海洋牧场对策研究》，未收集到《坚持制造业当家 加快打造万亿工业强市》课题委托协议书。根据已收集到的3个课题的委托协议书，3项课题合同额均为5万元，且均涉及劳务费，但劳务费仅列示总金额，且劳务费差异较大，例如《发挥企二代作用，推动民营经济高质量发展》中劳务费为3.5万元、《发展壮大镇域经济 推进区域协调发展》《建设现代化海洋牧场对策研究》劳务费为0.5万元，劳务费金额无相关测算标准和测算方案，此项得1分。</w:t>
            </w:r>
          </w:p>
          <w:p>
            <w:pPr>
              <w:widowControl/>
              <w:rPr>
                <w:kern w:val="0"/>
                <w:sz w:val="20"/>
                <w:szCs w:val="20"/>
              </w:rPr>
            </w:pPr>
            <w:r>
              <w:rPr>
                <w:kern w:val="0"/>
                <w:sz w:val="20"/>
                <w:szCs w:val="20"/>
              </w:rPr>
              <w:t>4．市委政研室2024年政府集中采购支出共包含23项内容，支出总金额33.73万元，主要包括采购复印机、复印纸、办公家具、印刷费、绿化管理费等，根据部门提供的比价资料，各项采购支出标准符合政府采购价格要求，此项得3分。</w:t>
            </w:r>
          </w:p>
          <w:p>
            <w:pPr>
              <w:widowControl/>
              <w:rPr>
                <w:kern w:val="0"/>
                <w:sz w:val="20"/>
                <w:szCs w:val="20"/>
              </w:rPr>
            </w:pPr>
            <w:r>
              <w:rPr>
                <w:kern w:val="0"/>
                <w:sz w:val="20"/>
                <w:szCs w:val="20"/>
              </w:rPr>
              <w:t>综上，该指标得10分。</w:t>
            </w:r>
          </w:p>
        </w:tc>
        <w:tc>
          <w:tcPr>
            <w:tcW w:w="934" w:type="pct"/>
            <w:shd w:val="clear" w:color="auto" w:fill="auto"/>
            <w:vAlign w:val="center"/>
          </w:tcPr>
          <w:p>
            <w:pPr>
              <w:widowControl/>
              <w:rPr>
                <w:kern w:val="0"/>
                <w:sz w:val="20"/>
                <w:szCs w:val="20"/>
              </w:rPr>
            </w:pPr>
            <w:r>
              <w:rPr>
                <w:kern w:val="0"/>
                <w:sz w:val="20"/>
                <w:szCs w:val="20"/>
              </w:rPr>
              <w:t>1．《江门调研》编辑、印刷服务供应商选择说明</w:t>
            </w:r>
            <w:r>
              <w:rPr>
                <w:kern w:val="0"/>
                <w:sz w:val="20"/>
                <w:szCs w:val="20"/>
              </w:rPr>
              <w:br w:type="textWrapping"/>
            </w:r>
            <w:r>
              <w:rPr>
                <w:kern w:val="0"/>
                <w:sz w:val="20"/>
                <w:szCs w:val="20"/>
              </w:rPr>
              <w:t>2．关于购买大型打印复印机的上会说明</w:t>
            </w:r>
            <w:r>
              <w:rPr>
                <w:kern w:val="0"/>
                <w:sz w:val="20"/>
                <w:szCs w:val="20"/>
              </w:rPr>
              <w:br w:type="textWrapping"/>
            </w:r>
            <w:r>
              <w:rPr>
                <w:kern w:val="0"/>
                <w:sz w:val="20"/>
                <w:szCs w:val="20"/>
              </w:rPr>
              <w:t>3．关于确定绿化管理服务商的说明</w:t>
            </w:r>
            <w:r>
              <w:rPr>
                <w:kern w:val="0"/>
                <w:sz w:val="20"/>
                <w:szCs w:val="20"/>
              </w:rPr>
              <w:br w:type="textWrapping"/>
            </w:r>
            <w:r>
              <w:rPr>
                <w:kern w:val="0"/>
                <w:sz w:val="20"/>
                <w:szCs w:val="20"/>
              </w:rPr>
              <w:t>4．2023年委托、2024年结题的课题委托协议书。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shd w:val="clear" w:color="auto" w:fill="auto"/>
            <w:vAlign w:val="center"/>
          </w:tcPr>
          <w:p>
            <w:pPr>
              <w:widowControl/>
              <w:jc w:val="center"/>
              <w:rPr>
                <w:kern w:val="0"/>
                <w:sz w:val="20"/>
                <w:szCs w:val="20"/>
              </w:rPr>
            </w:pPr>
            <w:r>
              <w:rPr>
                <w:kern w:val="0"/>
                <w:sz w:val="20"/>
                <w:szCs w:val="20"/>
              </w:rPr>
              <w:t>财务管理</w:t>
            </w:r>
          </w:p>
        </w:tc>
        <w:tc>
          <w:tcPr>
            <w:tcW w:w="206" w:type="pct"/>
            <w:shd w:val="clear" w:color="auto" w:fill="auto"/>
            <w:vAlign w:val="center"/>
          </w:tcPr>
          <w:p>
            <w:pPr>
              <w:widowControl/>
              <w:jc w:val="center"/>
              <w:rPr>
                <w:kern w:val="0"/>
                <w:sz w:val="20"/>
                <w:szCs w:val="20"/>
              </w:rPr>
            </w:pPr>
            <w:r>
              <w:rPr>
                <w:kern w:val="0"/>
                <w:sz w:val="20"/>
                <w:szCs w:val="20"/>
              </w:rPr>
              <w:t>4</w:t>
            </w:r>
          </w:p>
        </w:tc>
        <w:tc>
          <w:tcPr>
            <w:tcW w:w="257" w:type="pct"/>
            <w:shd w:val="clear" w:color="auto" w:fill="auto"/>
            <w:vAlign w:val="center"/>
          </w:tcPr>
          <w:p>
            <w:pPr>
              <w:widowControl/>
              <w:jc w:val="center"/>
              <w:rPr>
                <w:kern w:val="0"/>
                <w:sz w:val="20"/>
                <w:szCs w:val="20"/>
              </w:rPr>
            </w:pPr>
            <w:r>
              <w:rPr>
                <w:kern w:val="0"/>
                <w:sz w:val="20"/>
                <w:szCs w:val="20"/>
              </w:rPr>
              <w:t>财务管理合规性</w:t>
            </w:r>
          </w:p>
        </w:tc>
        <w:tc>
          <w:tcPr>
            <w:tcW w:w="206" w:type="pct"/>
            <w:shd w:val="clear" w:color="auto" w:fill="auto"/>
            <w:vAlign w:val="center"/>
          </w:tcPr>
          <w:p>
            <w:pPr>
              <w:widowControl/>
              <w:jc w:val="center"/>
              <w:rPr>
                <w:kern w:val="0"/>
                <w:sz w:val="20"/>
                <w:szCs w:val="20"/>
              </w:rPr>
            </w:pPr>
            <w:r>
              <w:rPr>
                <w:kern w:val="0"/>
                <w:sz w:val="20"/>
                <w:szCs w:val="20"/>
              </w:rPr>
              <w:t>4</w:t>
            </w:r>
          </w:p>
        </w:tc>
        <w:tc>
          <w:tcPr>
            <w:tcW w:w="309" w:type="pct"/>
            <w:shd w:val="clear" w:color="auto" w:fill="auto"/>
            <w:vAlign w:val="center"/>
          </w:tcPr>
          <w:p>
            <w:pPr>
              <w:widowControl/>
              <w:rPr>
                <w:kern w:val="0"/>
                <w:sz w:val="20"/>
                <w:szCs w:val="20"/>
              </w:rPr>
            </w:pPr>
            <w:r>
              <w:rPr>
                <w:kern w:val="0"/>
                <w:sz w:val="20"/>
                <w:szCs w:val="20"/>
              </w:rPr>
              <w:t>反映部门（单位）财务管理的规范性。</w:t>
            </w:r>
          </w:p>
        </w:tc>
        <w:tc>
          <w:tcPr>
            <w:tcW w:w="875" w:type="pct"/>
            <w:shd w:val="clear" w:color="auto" w:fill="auto"/>
            <w:vAlign w:val="center"/>
          </w:tcPr>
          <w:p>
            <w:pPr>
              <w:widowControl/>
              <w:rPr>
                <w:kern w:val="0"/>
                <w:sz w:val="20"/>
                <w:szCs w:val="20"/>
              </w:rPr>
            </w:pPr>
            <w:r>
              <w:rPr>
                <w:kern w:val="0"/>
                <w:sz w:val="20"/>
                <w:szCs w:val="20"/>
              </w:rPr>
              <w:t>支出范围、程序、用途、核算应符合国家财经法规和财务管理制度及有关专项资金管理办法的规定，具体根据审计（以部门预算审计和专项审计为主）和财会监督意见采取扣分法评分。</w:t>
            </w:r>
            <w:r>
              <w:rPr>
                <w:kern w:val="0"/>
                <w:sz w:val="20"/>
                <w:szCs w:val="20"/>
              </w:rPr>
              <w:br w:type="textWrapping"/>
            </w:r>
            <w:r>
              <w:rPr>
                <w:kern w:val="0"/>
                <w:sz w:val="20"/>
                <w:szCs w:val="20"/>
              </w:rPr>
              <w:t>1．明确指出问题和处理意见的，并限期整改的，1项扣0.5分。</w:t>
            </w:r>
            <w:r>
              <w:rPr>
                <w:kern w:val="0"/>
                <w:sz w:val="20"/>
                <w:szCs w:val="20"/>
              </w:rPr>
              <w:br w:type="textWrapping"/>
            </w:r>
            <w:r>
              <w:rPr>
                <w:kern w:val="0"/>
                <w:sz w:val="20"/>
                <w:szCs w:val="20"/>
              </w:rPr>
              <w:t>2．未明确处理意见,属于因主管部门制度设计缺陷或失职等造成资金套取、冒领、挪用的，1项扣0.5分。</w:t>
            </w:r>
            <w:r>
              <w:rPr>
                <w:kern w:val="0"/>
                <w:sz w:val="20"/>
                <w:szCs w:val="20"/>
              </w:rPr>
              <w:br w:type="textWrapping"/>
            </w:r>
            <w:r>
              <w:rPr>
                <w:kern w:val="0"/>
                <w:sz w:val="20"/>
                <w:szCs w:val="20"/>
              </w:rPr>
              <w:t>3．连续两年对因业务主管部门责任引发的同一问题提出意见,或主管部门未落实相关审计和财会监督整改意见的，1项扣1分。</w:t>
            </w:r>
            <w:r>
              <w:rPr>
                <w:kern w:val="0"/>
                <w:sz w:val="20"/>
                <w:szCs w:val="20"/>
              </w:rPr>
              <w:br w:type="textWrapping"/>
            </w:r>
            <w:r>
              <w:rPr>
                <w:kern w:val="0"/>
                <w:sz w:val="20"/>
                <w:szCs w:val="20"/>
              </w:rPr>
              <w:t>根据上述扣分情况扣完为止。</w:t>
            </w:r>
          </w:p>
        </w:tc>
        <w:tc>
          <w:tcPr>
            <w:tcW w:w="258" w:type="pct"/>
            <w:shd w:val="clear" w:color="auto" w:fill="auto"/>
            <w:vAlign w:val="center"/>
          </w:tcPr>
          <w:p>
            <w:pPr>
              <w:widowControl/>
              <w:jc w:val="center"/>
              <w:rPr>
                <w:kern w:val="0"/>
                <w:sz w:val="20"/>
                <w:szCs w:val="20"/>
              </w:rPr>
            </w:pPr>
            <w:r>
              <w:rPr>
                <w:kern w:val="0"/>
                <w:sz w:val="20"/>
                <w:szCs w:val="20"/>
              </w:rPr>
              <w:t>3.5</w:t>
            </w:r>
          </w:p>
        </w:tc>
        <w:tc>
          <w:tcPr>
            <w:tcW w:w="1236" w:type="pct"/>
            <w:shd w:val="clear" w:color="auto" w:fill="auto"/>
            <w:vAlign w:val="center"/>
          </w:tcPr>
          <w:p>
            <w:pPr>
              <w:widowControl/>
              <w:rPr>
                <w:kern w:val="0"/>
                <w:sz w:val="20"/>
                <w:szCs w:val="20"/>
              </w:rPr>
            </w:pPr>
            <w:r>
              <w:rPr>
                <w:kern w:val="0"/>
                <w:sz w:val="20"/>
                <w:szCs w:val="20"/>
              </w:rPr>
              <w:t>1．根据广东恒生会计师事务所有限公司2024年11月25日出具的《中国共产党江门市委政策研究室工会委员会2022-2023年工会经费收支审计及绩效评价报告》（广恒生会专审字〔2024〕303号），共发现市委政研室工会经费收支6个问题，分别是预算执行率较低、超比例列支节日慰问支出、现金管理不规范、经费支出手续不完善、个别报账票据不规范、个别会计科目未能规范使用。市委政研室制定了相应的整改措施，已完成整改并长期坚持，此项扣0.5分。</w:t>
            </w:r>
            <w:r>
              <w:rPr>
                <w:kern w:val="0"/>
                <w:sz w:val="20"/>
                <w:szCs w:val="20"/>
              </w:rPr>
              <w:br w:type="textWrapping"/>
            </w:r>
            <w:r>
              <w:rPr>
                <w:kern w:val="0"/>
                <w:sz w:val="20"/>
                <w:szCs w:val="20"/>
              </w:rPr>
              <w:t>2．根据市委政研室提供的资料，市委政研室无因主管部门制度设计缺陷或失职等造成资金套取、冒领、挪用的，此项不扣分。</w:t>
            </w:r>
            <w:r>
              <w:rPr>
                <w:kern w:val="0"/>
                <w:sz w:val="20"/>
                <w:szCs w:val="20"/>
              </w:rPr>
              <w:br w:type="textWrapping"/>
            </w:r>
            <w:r>
              <w:rPr>
                <w:kern w:val="0"/>
                <w:sz w:val="20"/>
                <w:szCs w:val="20"/>
              </w:rPr>
              <w:t>3．根据市委政研室提供的资料，市委政研室无连续两年对因业务主管部门责任引发的同一问题提出意见,或主管部门未落实相关审计和财会监督整改意见的情况，此项不扣分。</w:t>
            </w:r>
            <w:r>
              <w:rPr>
                <w:kern w:val="0"/>
                <w:sz w:val="20"/>
                <w:szCs w:val="20"/>
              </w:rPr>
              <w:br w:type="textWrapping"/>
            </w:r>
            <w:r>
              <w:rPr>
                <w:kern w:val="0"/>
                <w:sz w:val="20"/>
                <w:szCs w:val="20"/>
              </w:rPr>
              <w:t>综上，该指标得3.5分。</w:t>
            </w:r>
          </w:p>
        </w:tc>
        <w:tc>
          <w:tcPr>
            <w:tcW w:w="934" w:type="pct"/>
            <w:shd w:val="clear" w:color="auto" w:fill="auto"/>
            <w:vAlign w:val="center"/>
          </w:tcPr>
          <w:p>
            <w:pPr>
              <w:widowControl/>
              <w:rPr>
                <w:kern w:val="0"/>
                <w:sz w:val="20"/>
                <w:szCs w:val="20"/>
              </w:rPr>
            </w:pPr>
            <w:r>
              <w:rPr>
                <w:kern w:val="0"/>
                <w:sz w:val="20"/>
                <w:szCs w:val="20"/>
              </w:rPr>
              <w:t>1．江工审〔2024〕66号关于中国共产党江门市委政策研究室工会委员会2022-2023年工会经费收支的审计报告</w:t>
            </w:r>
            <w:r>
              <w:rPr>
                <w:kern w:val="0"/>
                <w:sz w:val="20"/>
                <w:szCs w:val="20"/>
              </w:rPr>
              <w:br w:type="textWrapping"/>
            </w:r>
            <w:r>
              <w:rPr>
                <w:kern w:val="0"/>
                <w:sz w:val="20"/>
                <w:szCs w:val="20"/>
              </w:rPr>
              <w:t>2．中国共产党江门市委政策研究室工会委员会关于2022-2023年经费收支审计整改报告</w:t>
            </w:r>
            <w:r>
              <w:rPr>
                <w:kern w:val="0"/>
                <w:sz w:val="20"/>
                <w:szCs w:val="20"/>
              </w:rPr>
              <w:br w:type="textWrapping"/>
            </w:r>
            <w:r>
              <w:rPr>
                <w:kern w:val="0"/>
                <w:sz w:val="20"/>
                <w:szCs w:val="20"/>
              </w:rPr>
              <w:t>3．附件2：审计发现问题与整改清单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restart"/>
            <w:shd w:val="clear" w:color="auto" w:fill="auto"/>
            <w:vAlign w:val="center"/>
          </w:tcPr>
          <w:p>
            <w:pPr>
              <w:widowControl/>
              <w:jc w:val="center"/>
              <w:rPr>
                <w:kern w:val="0"/>
                <w:sz w:val="20"/>
                <w:szCs w:val="20"/>
              </w:rPr>
            </w:pPr>
            <w:r>
              <w:rPr>
                <w:kern w:val="0"/>
                <w:sz w:val="20"/>
                <w:szCs w:val="20"/>
              </w:rPr>
              <w:t>应用管理</w:t>
            </w:r>
          </w:p>
        </w:tc>
        <w:tc>
          <w:tcPr>
            <w:tcW w:w="206" w:type="pct"/>
            <w:vMerge w:val="restart"/>
            <w:shd w:val="clear" w:color="auto" w:fill="auto"/>
            <w:vAlign w:val="center"/>
          </w:tcPr>
          <w:p>
            <w:pPr>
              <w:widowControl/>
              <w:jc w:val="center"/>
              <w:rPr>
                <w:kern w:val="0"/>
                <w:sz w:val="20"/>
                <w:szCs w:val="20"/>
              </w:rPr>
            </w:pPr>
            <w:r>
              <w:rPr>
                <w:kern w:val="0"/>
                <w:sz w:val="20"/>
                <w:szCs w:val="20"/>
              </w:rPr>
              <w:t>8</w:t>
            </w:r>
          </w:p>
        </w:tc>
        <w:tc>
          <w:tcPr>
            <w:tcW w:w="257" w:type="pct"/>
            <w:shd w:val="clear" w:color="auto" w:fill="auto"/>
            <w:vAlign w:val="center"/>
          </w:tcPr>
          <w:p>
            <w:pPr>
              <w:widowControl/>
              <w:jc w:val="center"/>
              <w:rPr>
                <w:kern w:val="0"/>
                <w:sz w:val="20"/>
                <w:szCs w:val="20"/>
              </w:rPr>
            </w:pPr>
            <w:r>
              <w:rPr>
                <w:kern w:val="0"/>
                <w:sz w:val="20"/>
                <w:szCs w:val="20"/>
              </w:rPr>
              <w:t>绩效结果应用</w:t>
            </w:r>
          </w:p>
        </w:tc>
        <w:tc>
          <w:tcPr>
            <w:tcW w:w="206" w:type="pct"/>
            <w:shd w:val="clear" w:color="auto" w:fill="auto"/>
            <w:vAlign w:val="center"/>
          </w:tcPr>
          <w:p>
            <w:pPr>
              <w:widowControl/>
              <w:jc w:val="center"/>
              <w:rPr>
                <w:kern w:val="0"/>
                <w:sz w:val="20"/>
                <w:szCs w:val="20"/>
              </w:rPr>
            </w:pPr>
            <w:r>
              <w:rPr>
                <w:kern w:val="0"/>
                <w:sz w:val="20"/>
                <w:szCs w:val="20"/>
              </w:rPr>
              <w:t>6</w:t>
            </w:r>
          </w:p>
        </w:tc>
        <w:tc>
          <w:tcPr>
            <w:tcW w:w="309" w:type="pct"/>
            <w:shd w:val="clear" w:color="auto" w:fill="auto"/>
            <w:vAlign w:val="center"/>
          </w:tcPr>
          <w:p>
            <w:pPr>
              <w:widowControl/>
              <w:rPr>
                <w:kern w:val="0"/>
                <w:sz w:val="20"/>
                <w:szCs w:val="20"/>
              </w:rPr>
            </w:pPr>
            <w:r>
              <w:rPr>
                <w:kern w:val="0"/>
                <w:sz w:val="20"/>
                <w:szCs w:val="20"/>
              </w:rPr>
              <w:t>反映部门（单位）对事前评估（审）、事中监控、绩效重点评价、自评复核意见等的整改应用情况</w:t>
            </w:r>
          </w:p>
        </w:tc>
        <w:tc>
          <w:tcPr>
            <w:tcW w:w="875" w:type="pct"/>
            <w:shd w:val="clear" w:color="auto" w:fill="auto"/>
            <w:vAlign w:val="center"/>
          </w:tcPr>
          <w:p>
            <w:pPr>
              <w:widowControl/>
              <w:rPr>
                <w:kern w:val="0"/>
                <w:sz w:val="20"/>
                <w:szCs w:val="20"/>
              </w:rPr>
            </w:pPr>
            <w:r>
              <w:rPr>
                <w:kern w:val="0"/>
                <w:sz w:val="20"/>
                <w:szCs w:val="20"/>
              </w:rPr>
              <w:t>部门能够按照财政部门事前评估（审）、事中监控、绩效重点评价、自评复核等意见对本部门项目进行整改，充分应用财政部门相关意见建议，得6分。若出现一项未充分应用，扣1分，扣完为止。</w:t>
            </w:r>
          </w:p>
        </w:tc>
        <w:tc>
          <w:tcPr>
            <w:tcW w:w="258" w:type="pct"/>
            <w:shd w:val="clear" w:color="auto" w:fill="auto"/>
            <w:vAlign w:val="center"/>
          </w:tcPr>
          <w:p>
            <w:pPr>
              <w:widowControl/>
              <w:jc w:val="center"/>
              <w:rPr>
                <w:kern w:val="0"/>
                <w:sz w:val="20"/>
                <w:szCs w:val="20"/>
              </w:rPr>
            </w:pPr>
            <w:r>
              <w:rPr>
                <w:kern w:val="0"/>
                <w:sz w:val="20"/>
                <w:szCs w:val="20"/>
              </w:rPr>
              <w:t>6</w:t>
            </w:r>
          </w:p>
        </w:tc>
        <w:tc>
          <w:tcPr>
            <w:tcW w:w="1236" w:type="pct"/>
            <w:shd w:val="clear" w:color="auto" w:fill="auto"/>
            <w:vAlign w:val="center"/>
          </w:tcPr>
          <w:p>
            <w:pPr>
              <w:widowControl/>
              <w:rPr>
                <w:kern w:val="0"/>
                <w:sz w:val="20"/>
                <w:szCs w:val="20"/>
              </w:rPr>
            </w:pPr>
            <w:r>
              <w:rPr>
                <w:kern w:val="0"/>
                <w:sz w:val="20"/>
                <w:szCs w:val="20"/>
              </w:rPr>
              <w:t>市委政研室未涉及财政部门事前评估（审）、事中监控、绩效重点评价、自评复核等意见对本部门项目进行整改情况，该指标得满分。</w:t>
            </w:r>
          </w:p>
        </w:tc>
        <w:tc>
          <w:tcPr>
            <w:tcW w:w="934" w:type="pct"/>
            <w:shd w:val="clear" w:color="auto" w:fill="auto"/>
            <w:vAlign w:val="center"/>
          </w:tcPr>
          <w:p>
            <w:pPr>
              <w:widowControl/>
              <w:rPr>
                <w:kern w:val="0"/>
                <w:sz w:val="20"/>
                <w:szCs w:val="20"/>
              </w:rPr>
            </w:pPr>
            <w:r>
              <w:rPr>
                <w:kern w:val="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continue"/>
            <w:vAlign w:val="center"/>
          </w:tcPr>
          <w:p>
            <w:pPr>
              <w:widowControl/>
              <w:jc w:val="center"/>
              <w:rPr>
                <w:kern w:val="0"/>
                <w:sz w:val="20"/>
                <w:szCs w:val="20"/>
              </w:rPr>
            </w:pPr>
          </w:p>
        </w:tc>
        <w:tc>
          <w:tcPr>
            <w:tcW w:w="206" w:type="pct"/>
            <w:vMerge w:val="continue"/>
            <w:vAlign w:val="center"/>
          </w:tcPr>
          <w:p>
            <w:pPr>
              <w:widowControl/>
              <w:jc w:val="center"/>
              <w:rPr>
                <w:kern w:val="0"/>
                <w:sz w:val="20"/>
                <w:szCs w:val="20"/>
              </w:rPr>
            </w:pPr>
          </w:p>
        </w:tc>
        <w:tc>
          <w:tcPr>
            <w:tcW w:w="257" w:type="pct"/>
            <w:shd w:val="clear" w:color="auto" w:fill="auto"/>
            <w:vAlign w:val="center"/>
          </w:tcPr>
          <w:p>
            <w:pPr>
              <w:widowControl/>
              <w:jc w:val="center"/>
              <w:rPr>
                <w:kern w:val="0"/>
                <w:sz w:val="20"/>
                <w:szCs w:val="20"/>
              </w:rPr>
            </w:pPr>
            <w:r>
              <w:rPr>
                <w:kern w:val="0"/>
                <w:sz w:val="20"/>
                <w:szCs w:val="20"/>
              </w:rPr>
              <w:t>预决算公开合规性</w:t>
            </w:r>
          </w:p>
        </w:tc>
        <w:tc>
          <w:tcPr>
            <w:tcW w:w="206" w:type="pct"/>
            <w:shd w:val="clear" w:color="auto" w:fill="auto"/>
            <w:vAlign w:val="center"/>
          </w:tcPr>
          <w:p>
            <w:pPr>
              <w:widowControl/>
              <w:jc w:val="center"/>
              <w:rPr>
                <w:kern w:val="0"/>
                <w:sz w:val="20"/>
                <w:szCs w:val="20"/>
              </w:rPr>
            </w:pPr>
            <w:r>
              <w:rPr>
                <w:kern w:val="0"/>
                <w:sz w:val="20"/>
                <w:szCs w:val="20"/>
              </w:rPr>
              <w:t>1</w:t>
            </w:r>
          </w:p>
        </w:tc>
        <w:tc>
          <w:tcPr>
            <w:tcW w:w="309" w:type="pct"/>
            <w:shd w:val="clear" w:color="auto" w:fill="auto"/>
            <w:vAlign w:val="center"/>
          </w:tcPr>
          <w:p>
            <w:pPr>
              <w:widowControl/>
              <w:rPr>
                <w:kern w:val="0"/>
                <w:sz w:val="20"/>
                <w:szCs w:val="20"/>
              </w:rPr>
            </w:pPr>
            <w:r>
              <w:rPr>
                <w:kern w:val="0"/>
                <w:sz w:val="20"/>
                <w:szCs w:val="20"/>
              </w:rPr>
              <w:t>反映部门（单位）预算决算公开执行到位情况。</w:t>
            </w:r>
          </w:p>
        </w:tc>
        <w:tc>
          <w:tcPr>
            <w:tcW w:w="875" w:type="pct"/>
            <w:shd w:val="clear" w:color="auto" w:fill="auto"/>
            <w:vAlign w:val="center"/>
          </w:tcPr>
          <w:p>
            <w:pPr>
              <w:widowControl/>
              <w:rPr>
                <w:kern w:val="0"/>
                <w:sz w:val="20"/>
                <w:szCs w:val="20"/>
              </w:rPr>
            </w:pPr>
            <w:r>
              <w:rPr>
                <w:kern w:val="0"/>
                <w:sz w:val="20"/>
                <w:szCs w:val="20"/>
              </w:rPr>
              <w:t>预算、决算公开合规性各占50%，对未公开预算或决算的非涉密部门，得0分。已公开部门预决算的,分别从及时性（10%）、规范性（40%）2个方面考核：一是非涉密部门在财政部门批复本部门预决算后, 20日内向社会公开的得10%分值,未及时公开的得0分。二是根据公开规范性检查指标计算得分，即：公开工作合规指标数量÷检查指标数量×40%分值。</w:t>
            </w:r>
          </w:p>
        </w:tc>
        <w:tc>
          <w:tcPr>
            <w:tcW w:w="258" w:type="pct"/>
            <w:shd w:val="clear" w:color="auto" w:fill="auto"/>
            <w:vAlign w:val="center"/>
          </w:tcPr>
          <w:p>
            <w:pPr>
              <w:widowControl/>
              <w:jc w:val="center"/>
              <w:rPr>
                <w:kern w:val="0"/>
                <w:sz w:val="20"/>
                <w:szCs w:val="20"/>
              </w:rPr>
            </w:pPr>
            <w:r>
              <w:rPr>
                <w:kern w:val="0"/>
                <w:sz w:val="20"/>
                <w:szCs w:val="20"/>
              </w:rPr>
              <w:t>1</w:t>
            </w:r>
          </w:p>
        </w:tc>
        <w:tc>
          <w:tcPr>
            <w:tcW w:w="1236" w:type="pct"/>
            <w:shd w:val="clear" w:color="auto" w:fill="auto"/>
            <w:vAlign w:val="center"/>
          </w:tcPr>
          <w:p>
            <w:pPr>
              <w:widowControl/>
              <w:rPr>
                <w:kern w:val="0"/>
                <w:sz w:val="20"/>
                <w:szCs w:val="20"/>
              </w:rPr>
            </w:pPr>
            <w:r>
              <w:rPr>
                <w:kern w:val="0"/>
                <w:sz w:val="20"/>
                <w:szCs w:val="20"/>
              </w:rPr>
              <w:t>1．财政部门批复市委政研室2024年预算时间为2024年2月20日，市委政研室向社会公开时间为2024年3月5日；财政部门批复市委政研室2023年预算时间为2024年9月13日，市委政研室向社会公开时间为2024年9月25日。预算、决算公开及时性均符合时间要求，得满分0.2分。</w:t>
            </w:r>
            <w:r>
              <w:rPr>
                <w:kern w:val="0"/>
                <w:sz w:val="20"/>
                <w:szCs w:val="20"/>
              </w:rPr>
              <w:br w:type="textWrapping"/>
            </w:r>
            <w:r>
              <w:rPr>
                <w:kern w:val="0"/>
                <w:sz w:val="20"/>
                <w:szCs w:val="20"/>
              </w:rPr>
              <w:t>2．市委政研室检查指标均合规，得满分0.8分。</w:t>
            </w:r>
            <w:r>
              <w:rPr>
                <w:kern w:val="0"/>
                <w:sz w:val="20"/>
                <w:szCs w:val="20"/>
              </w:rPr>
              <w:br w:type="textWrapping"/>
            </w:r>
            <w:r>
              <w:rPr>
                <w:kern w:val="0"/>
                <w:sz w:val="20"/>
                <w:szCs w:val="20"/>
              </w:rPr>
              <w:t>综上，预决算公开合规性得1分。</w:t>
            </w:r>
          </w:p>
        </w:tc>
        <w:tc>
          <w:tcPr>
            <w:tcW w:w="934" w:type="pct"/>
            <w:shd w:val="clear" w:color="auto" w:fill="auto"/>
            <w:vAlign w:val="center"/>
          </w:tcPr>
          <w:p>
            <w:pPr>
              <w:widowControl/>
              <w:rPr>
                <w:kern w:val="0"/>
                <w:sz w:val="20"/>
                <w:szCs w:val="20"/>
              </w:rPr>
            </w:pPr>
            <w:r>
              <w:rPr>
                <w:kern w:val="0"/>
                <w:sz w:val="20"/>
                <w:szCs w:val="20"/>
              </w:rPr>
              <w:t>1．《关于2024年江门市本级部门预算的批复》（江财预〔2024〕33号）</w:t>
            </w:r>
            <w:r>
              <w:rPr>
                <w:kern w:val="0"/>
                <w:sz w:val="20"/>
                <w:szCs w:val="20"/>
              </w:rPr>
              <w:br w:type="textWrapping"/>
            </w:r>
            <w:r>
              <w:rPr>
                <w:kern w:val="0"/>
                <w:sz w:val="20"/>
                <w:szCs w:val="20"/>
              </w:rPr>
              <w:t>2．《关于市本级2023年度部门决算的批复》（江财预〔2024〕17号）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2" w:type="pct"/>
            <w:vMerge w:val="continue"/>
            <w:vAlign w:val="center"/>
          </w:tcPr>
          <w:p>
            <w:pPr>
              <w:widowControl/>
              <w:jc w:val="left"/>
              <w:rPr>
                <w:kern w:val="0"/>
                <w:sz w:val="20"/>
                <w:szCs w:val="20"/>
              </w:rPr>
            </w:pPr>
          </w:p>
        </w:tc>
        <w:tc>
          <w:tcPr>
            <w:tcW w:w="229" w:type="pct"/>
            <w:vMerge w:val="continue"/>
            <w:vAlign w:val="center"/>
          </w:tcPr>
          <w:p>
            <w:pPr>
              <w:widowControl/>
              <w:jc w:val="center"/>
              <w:rPr>
                <w:kern w:val="0"/>
                <w:sz w:val="20"/>
                <w:szCs w:val="20"/>
              </w:rPr>
            </w:pPr>
          </w:p>
        </w:tc>
        <w:tc>
          <w:tcPr>
            <w:tcW w:w="258" w:type="pct"/>
            <w:vMerge w:val="continue"/>
            <w:vAlign w:val="center"/>
          </w:tcPr>
          <w:p>
            <w:pPr>
              <w:widowControl/>
              <w:jc w:val="center"/>
              <w:rPr>
                <w:kern w:val="0"/>
                <w:sz w:val="20"/>
                <w:szCs w:val="20"/>
              </w:rPr>
            </w:pPr>
          </w:p>
        </w:tc>
        <w:tc>
          <w:tcPr>
            <w:tcW w:w="206" w:type="pct"/>
            <w:vMerge w:val="continue"/>
            <w:vAlign w:val="center"/>
          </w:tcPr>
          <w:p>
            <w:pPr>
              <w:widowControl/>
              <w:jc w:val="center"/>
              <w:rPr>
                <w:kern w:val="0"/>
                <w:sz w:val="20"/>
                <w:szCs w:val="20"/>
              </w:rPr>
            </w:pPr>
          </w:p>
        </w:tc>
        <w:tc>
          <w:tcPr>
            <w:tcW w:w="257" w:type="pct"/>
            <w:shd w:val="clear" w:color="auto" w:fill="auto"/>
            <w:vAlign w:val="center"/>
          </w:tcPr>
          <w:p>
            <w:pPr>
              <w:widowControl/>
              <w:jc w:val="center"/>
              <w:rPr>
                <w:kern w:val="0"/>
                <w:sz w:val="20"/>
                <w:szCs w:val="20"/>
              </w:rPr>
            </w:pPr>
            <w:r>
              <w:rPr>
                <w:kern w:val="0"/>
                <w:sz w:val="20"/>
                <w:szCs w:val="20"/>
              </w:rPr>
              <w:t>绩效信息公开情况</w:t>
            </w:r>
          </w:p>
        </w:tc>
        <w:tc>
          <w:tcPr>
            <w:tcW w:w="206" w:type="pct"/>
            <w:shd w:val="clear" w:color="auto" w:fill="auto"/>
            <w:vAlign w:val="center"/>
          </w:tcPr>
          <w:p>
            <w:pPr>
              <w:widowControl/>
              <w:jc w:val="center"/>
              <w:rPr>
                <w:kern w:val="0"/>
                <w:sz w:val="20"/>
                <w:szCs w:val="20"/>
              </w:rPr>
            </w:pPr>
            <w:r>
              <w:rPr>
                <w:kern w:val="0"/>
                <w:sz w:val="20"/>
                <w:szCs w:val="20"/>
              </w:rPr>
              <w:t>1</w:t>
            </w:r>
          </w:p>
        </w:tc>
        <w:tc>
          <w:tcPr>
            <w:tcW w:w="309" w:type="pct"/>
            <w:shd w:val="clear" w:color="auto" w:fill="auto"/>
            <w:vAlign w:val="center"/>
          </w:tcPr>
          <w:p>
            <w:pPr>
              <w:widowControl/>
              <w:rPr>
                <w:kern w:val="0"/>
                <w:sz w:val="20"/>
                <w:szCs w:val="20"/>
              </w:rPr>
            </w:pPr>
            <w:r>
              <w:rPr>
                <w:kern w:val="0"/>
                <w:sz w:val="20"/>
                <w:szCs w:val="20"/>
              </w:rPr>
              <w:t>反映部门（单位）绩效信息公开执行到位情况。</w:t>
            </w:r>
          </w:p>
        </w:tc>
        <w:tc>
          <w:tcPr>
            <w:tcW w:w="875" w:type="pct"/>
            <w:shd w:val="clear" w:color="auto" w:fill="auto"/>
            <w:vAlign w:val="center"/>
          </w:tcPr>
          <w:p>
            <w:pPr>
              <w:widowControl/>
              <w:rPr>
                <w:kern w:val="0"/>
                <w:sz w:val="20"/>
                <w:szCs w:val="20"/>
              </w:rPr>
            </w:pPr>
            <w:r>
              <w:rPr>
                <w:kern w:val="0"/>
                <w:sz w:val="20"/>
                <w:szCs w:val="20"/>
              </w:rPr>
              <w:t>指绩效目标、绩效自评资料按规定在单位网站公开情况。</w:t>
            </w:r>
            <w:r>
              <w:rPr>
                <w:kern w:val="0"/>
                <w:sz w:val="20"/>
                <w:szCs w:val="20"/>
              </w:rPr>
              <w:br w:type="textWrapping"/>
            </w:r>
            <w:r>
              <w:rPr>
                <w:kern w:val="0"/>
                <w:sz w:val="20"/>
                <w:szCs w:val="20"/>
              </w:rPr>
              <w:t>1．绩效目标在规定时间公开的，得满分，否则不得分。</w:t>
            </w:r>
            <w:r>
              <w:rPr>
                <w:kern w:val="0"/>
                <w:sz w:val="20"/>
                <w:szCs w:val="20"/>
              </w:rPr>
              <w:br w:type="textWrapping"/>
            </w:r>
            <w:r>
              <w:rPr>
                <w:kern w:val="0"/>
                <w:sz w:val="20"/>
                <w:szCs w:val="20"/>
              </w:rPr>
              <w:t>2．绩效自评资料在规定时间公开的，得满分，否则不得分。</w:t>
            </w:r>
            <w:r>
              <w:rPr>
                <w:kern w:val="0"/>
                <w:sz w:val="20"/>
                <w:szCs w:val="20"/>
              </w:rPr>
              <w:br w:type="textWrapping"/>
            </w:r>
            <w:r>
              <w:rPr>
                <w:kern w:val="0"/>
                <w:sz w:val="20"/>
                <w:szCs w:val="20"/>
              </w:rPr>
              <w:t>3．目标公开情况和自评资料公开情况得分各占50%，计算出本指标的综合得分。</w:t>
            </w:r>
          </w:p>
        </w:tc>
        <w:tc>
          <w:tcPr>
            <w:tcW w:w="258" w:type="pct"/>
            <w:shd w:val="clear" w:color="auto" w:fill="auto"/>
            <w:vAlign w:val="center"/>
          </w:tcPr>
          <w:p>
            <w:pPr>
              <w:widowControl/>
              <w:jc w:val="center"/>
              <w:rPr>
                <w:kern w:val="0"/>
                <w:sz w:val="20"/>
                <w:szCs w:val="20"/>
              </w:rPr>
            </w:pPr>
            <w:r>
              <w:rPr>
                <w:kern w:val="0"/>
                <w:sz w:val="20"/>
                <w:szCs w:val="20"/>
              </w:rPr>
              <w:t>1</w:t>
            </w:r>
          </w:p>
        </w:tc>
        <w:tc>
          <w:tcPr>
            <w:tcW w:w="1236" w:type="pct"/>
            <w:shd w:val="clear" w:color="auto" w:fill="auto"/>
            <w:vAlign w:val="center"/>
          </w:tcPr>
          <w:p>
            <w:pPr>
              <w:widowControl/>
              <w:rPr>
                <w:kern w:val="0"/>
                <w:sz w:val="20"/>
                <w:szCs w:val="20"/>
              </w:rPr>
            </w:pPr>
            <w:bookmarkStart w:id="86" w:name="OLE_LINK22"/>
            <w:r>
              <w:rPr>
                <w:kern w:val="0"/>
                <w:sz w:val="20"/>
                <w:szCs w:val="20"/>
              </w:rPr>
              <w:t>1．</w:t>
            </w:r>
            <w:bookmarkEnd w:id="86"/>
            <w:r>
              <w:rPr>
                <w:kern w:val="0"/>
                <w:sz w:val="20"/>
                <w:szCs w:val="20"/>
              </w:rPr>
              <w:t>市委政研室绩效目标已在规定时间公开，得满分。</w:t>
            </w:r>
            <w:r>
              <w:rPr>
                <w:kern w:val="0"/>
                <w:sz w:val="20"/>
                <w:szCs w:val="20"/>
              </w:rPr>
              <w:br w:type="textWrapping"/>
            </w:r>
            <w:r>
              <w:rPr>
                <w:kern w:val="0"/>
                <w:sz w:val="20"/>
                <w:szCs w:val="20"/>
              </w:rPr>
              <w:t>2．市委政研室绩效自评资料已在规定时间公开，得满分。</w:t>
            </w:r>
          </w:p>
        </w:tc>
        <w:tc>
          <w:tcPr>
            <w:tcW w:w="934" w:type="pct"/>
            <w:shd w:val="clear" w:color="auto" w:fill="auto"/>
            <w:vAlign w:val="center"/>
          </w:tcPr>
          <w:p>
            <w:pPr>
              <w:widowControl/>
              <w:rPr>
                <w:kern w:val="0"/>
                <w:sz w:val="20"/>
                <w:szCs w:val="20"/>
              </w:rPr>
            </w:pPr>
            <w:r>
              <w:rPr>
                <w:kern w:val="0"/>
                <w:sz w:val="20"/>
                <w:szCs w:val="20"/>
              </w:rPr>
              <w:t>江门市人民政府网关于2023年中国共产党江门市委员会政策研究室部门决算的公开网址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32" w:type="pct"/>
            <w:shd w:val="clear" w:color="auto" w:fill="auto"/>
            <w:vAlign w:val="center"/>
          </w:tcPr>
          <w:p>
            <w:pPr>
              <w:widowControl/>
              <w:jc w:val="center"/>
              <w:rPr>
                <w:b/>
                <w:bCs/>
                <w:kern w:val="0"/>
                <w:sz w:val="20"/>
                <w:szCs w:val="20"/>
              </w:rPr>
            </w:pPr>
            <w:r>
              <w:rPr>
                <w:b/>
                <w:bCs/>
                <w:kern w:val="0"/>
                <w:sz w:val="20"/>
                <w:szCs w:val="20"/>
              </w:rPr>
              <w:t>合计</w:t>
            </w:r>
          </w:p>
        </w:tc>
        <w:tc>
          <w:tcPr>
            <w:tcW w:w="229" w:type="pct"/>
            <w:shd w:val="clear" w:color="auto" w:fill="auto"/>
            <w:vAlign w:val="center"/>
          </w:tcPr>
          <w:p>
            <w:pPr>
              <w:widowControl/>
              <w:jc w:val="center"/>
              <w:rPr>
                <w:b/>
                <w:bCs/>
                <w:kern w:val="0"/>
                <w:sz w:val="20"/>
                <w:szCs w:val="20"/>
              </w:rPr>
            </w:pPr>
            <w:r>
              <w:rPr>
                <w:b/>
                <w:bCs/>
                <w:kern w:val="0"/>
                <w:sz w:val="20"/>
                <w:szCs w:val="20"/>
              </w:rPr>
              <w:t>100</w:t>
            </w:r>
          </w:p>
        </w:tc>
        <w:tc>
          <w:tcPr>
            <w:tcW w:w="258" w:type="pct"/>
            <w:shd w:val="clear" w:color="auto" w:fill="auto"/>
            <w:vAlign w:val="center"/>
          </w:tcPr>
          <w:p>
            <w:pPr>
              <w:widowControl/>
              <w:jc w:val="center"/>
              <w:rPr>
                <w:b/>
                <w:bCs/>
                <w:kern w:val="0"/>
                <w:sz w:val="20"/>
                <w:szCs w:val="20"/>
              </w:rPr>
            </w:pPr>
            <w:r>
              <w:rPr>
                <w:b/>
                <w:bCs/>
                <w:kern w:val="0"/>
                <w:sz w:val="20"/>
                <w:szCs w:val="20"/>
              </w:rPr>
              <w:t>/</w:t>
            </w:r>
          </w:p>
        </w:tc>
        <w:tc>
          <w:tcPr>
            <w:tcW w:w="206" w:type="pct"/>
            <w:shd w:val="clear" w:color="auto" w:fill="auto"/>
            <w:vAlign w:val="center"/>
          </w:tcPr>
          <w:p>
            <w:pPr>
              <w:widowControl/>
              <w:jc w:val="center"/>
              <w:rPr>
                <w:b/>
                <w:bCs/>
                <w:kern w:val="0"/>
                <w:sz w:val="20"/>
                <w:szCs w:val="20"/>
              </w:rPr>
            </w:pPr>
            <w:r>
              <w:rPr>
                <w:b/>
                <w:bCs/>
                <w:kern w:val="0"/>
                <w:sz w:val="20"/>
                <w:szCs w:val="20"/>
              </w:rPr>
              <w:t>100</w:t>
            </w:r>
          </w:p>
        </w:tc>
        <w:tc>
          <w:tcPr>
            <w:tcW w:w="257" w:type="pct"/>
            <w:shd w:val="clear" w:color="auto" w:fill="auto"/>
            <w:vAlign w:val="center"/>
          </w:tcPr>
          <w:p>
            <w:pPr>
              <w:widowControl/>
              <w:jc w:val="center"/>
              <w:rPr>
                <w:b/>
                <w:bCs/>
                <w:kern w:val="0"/>
                <w:sz w:val="20"/>
                <w:szCs w:val="20"/>
              </w:rPr>
            </w:pPr>
            <w:r>
              <w:rPr>
                <w:b/>
                <w:bCs/>
                <w:kern w:val="0"/>
                <w:sz w:val="20"/>
                <w:szCs w:val="20"/>
              </w:rPr>
              <w:t>/</w:t>
            </w:r>
          </w:p>
        </w:tc>
        <w:tc>
          <w:tcPr>
            <w:tcW w:w="206" w:type="pct"/>
            <w:shd w:val="clear" w:color="auto" w:fill="auto"/>
            <w:vAlign w:val="center"/>
          </w:tcPr>
          <w:p>
            <w:pPr>
              <w:widowControl/>
              <w:jc w:val="center"/>
              <w:rPr>
                <w:b/>
                <w:bCs/>
                <w:kern w:val="0"/>
                <w:sz w:val="20"/>
                <w:szCs w:val="20"/>
              </w:rPr>
            </w:pPr>
            <w:r>
              <w:rPr>
                <w:b/>
                <w:bCs/>
                <w:kern w:val="0"/>
                <w:sz w:val="20"/>
                <w:szCs w:val="20"/>
              </w:rPr>
              <w:t>100</w:t>
            </w:r>
          </w:p>
        </w:tc>
        <w:tc>
          <w:tcPr>
            <w:tcW w:w="309" w:type="pct"/>
            <w:shd w:val="clear" w:color="auto" w:fill="auto"/>
            <w:vAlign w:val="center"/>
          </w:tcPr>
          <w:p>
            <w:pPr>
              <w:widowControl/>
              <w:jc w:val="center"/>
              <w:rPr>
                <w:b/>
                <w:bCs/>
                <w:kern w:val="0"/>
                <w:sz w:val="20"/>
                <w:szCs w:val="20"/>
              </w:rPr>
            </w:pPr>
            <w:r>
              <w:rPr>
                <w:b/>
                <w:bCs/>
                <w:kern w:val="0"/>
                <w:sz w:val="20"/>
                <w:szCs w:val="20"/>
              </w:rPr>
              <w:t>/</w:t>
            </w:r>
          </w:p>
        </w:tc>
        <w:tc>
          <w:tcPr>
            <w:tcW w:w="875" w:type="pct"/>
            <w:shd w:val="clear" w:color="auto" w:fill="auto"/>
            <w:vAlign w:val="center"/>
          </w:tcPr>
          <w:p>
            <w:pPr>
              <w:widowControl/>
              <w:jc w:val="center"/>
              <w:rPr>
                <w:b/>
                <w:bCs/>
                <w:kern w:val="0"/>
                <w:sz w:val="20"/>
                <w:szCs w:val="20"/>
              </w:rPr>
            </w:pPr>
            <w:r>
              <w:rPr>
                <w:b/>
                <w:bCs/>
                <w:kern w:val="0"/>
                <w:sz w:val="20"/>
                <w:szCs w:val="20"/>
              </w:rPr>
              <w:t>/</w:t>
            </w:r>
          </w:p>
        </w:tc>
        <w:tc>
          <w:tcPr>
            <w:tcW w:w="258" w:type="pct"/>
            <w:shd w:val="clear" w:color="auto" w:fill="auto"/>
            <w:vAlign w:val="center"/>
          </w:tcPr>
          <w:p>
            <w:pPr>
              <w:widowControl/>
              <w:jc w:val="center"/>
              <w:rPr>
                <w:b/>
                <w:bCs/>
                <w:kern w:val="0"/>
                <w:sz w:val="20"/>
                <w:szCs w:val="20"/>
              </w:rPr>
            </w:pPr>
            <w:r>
              <w:rPr>
                <w:b/>
                <w:bCs/>
                <w:kern w:val="0"/>
                <w:sz w:val="20"/>
                <w:szCs w:val="20"/>
              </w:rPr>
              <w:t>8</w:t>
            </w:r>
            <w:r>
              <w:rPr>
                <w:rFonts w:hint="eastAsia"/>
                <w:b/>
                <w:bCs/>
                <w:kern w:val="0"/>
                <w:sz w:val="20"/>
                <w:szCs w:val="20"/>
              </w:rPr>
              <w:t>6</w:t>
            </w:r>
            <w:r>
              <w:rPr>
                <w:b/>
                <w:bCs/>
                <w:kern w:val="0"/>
                <w:sz w:val="20"/>
                <w:szCs w:val="20"/>
              </w:rPr>
              <w:t>.</w:t>
            </w:r>
            <w:r>
              <w:rPr>
                <w:rFonts w:hint="eastAsia"/>
                <w:b/>
                <w:bCs/>
                <w:kern w:val="0"/>
                <w:sz w:val="20"/>
                <w:szCs w:val="20"/>
              </w:rPr>
              <w:t>3</w:t>
            </w:r>
            <w:r>
              <w:rPr>
                <w:b/>
                <w:bCs/>
                <w:kern w:val="0"/>
                <w:sz w:val="20"/>
                <w:szCs w:val="20"/>
              </w:rPr>
              <w:t>8</w:t>
            </w:r>
          </w:p>
        </w:tc>
        <w:tc>
          <w:tcPr>
            <w:tcW w:w="1236" w:type="pct"/>
            <w:shd w:val="clear" w:color="auto" w:fill="auto"/>
            <w:vAlign w:val="center"/>
          </w:tcPr>
          <w:p>
            <w:pPr>
              <w:widowControl/>
              <w:jc w:val="center"/>
              <w:rPr>
                <w:b/>
                <w:bCs/>
                <w:kern w:val="0"/>
                <w:sz w:val="20"/>
                <w:szCs w:val="20"/>
              </w:rPr>
            </w:pPr>
            <w:r>
              <w:rPr>
                <w:b/>
                <w:bCs/>
                <w:kern w:val="0"/>
                <w:sz w:val="20"/>
                <w:szCs w:val="20"/>
              </w:rPr>
              <w:t>/</w:t>
            </w:r>
          </w:p>
        </w:tc>
        <w:tc>
          <w:tcPr>
            <w:tcW w:w="934" w:type="pct"/>
            <w:shd w:val="clear" w:color="auto" w:fill="auto"/>
            <w:noWrap/>
            <w:vAlign w:val="center"/>
          </w:tcPr>
          <w:p>
            <w:pPr>
              <w:widowControl/>
              <w:jc w:val="center"/>
              <w:rPr>
                <w:b/>
                <w:bCs/>
                <w:kern w:val="0"/>
                <w:sz w:val="24"/>
              </w:rPr>
            </w:pPr>
            <w:r>
              <w:rPr>
                <w:b/>
                <w:bCs/>
                <w:kern w:val="0"/>
                <w:sz w:val="24"/>
              </w:rPr>
              <w:t>/</w:t>
            </w:r>
          </w:p>
        </w:tc>
      </w:tr>
    </w:tbl>
    <w:p>
      <w:pPr>
        <w:adjustRightInd w:val="0"/>
        <w:snapToGrid w:val="0"/>
        <w:rPr>
          <w:rFonts w:hint="eastAsia" w:eastAsia="方正小标宋_GBK"/>
          <w:color w:val="000000" w:themeColor="text1"/>
          <w:kern w:val="0"/>
          <w:sz w:val="32"/>
          <w:szCs w:val="32"/>
          <w14:textFill>
            <w14:solidFill>
              <w14:schemeClr w14:val="tx1"/>
            </w14:solidFill>
          </w14:textFill>
        </w:rPr>
      </w:pPr>
    </w:p>
    <w:sectPr>
      <w:pgSz w:w="16838" w:h="11906" w:orient="landscape"/>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80000283" w:usb1="180F1C10"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2040204020203"/>
    <w:charset w:val="86"/>
    <w:family w:val="auto"/>
    <w:pitch w:val="default"/>
    <w:sig w:usb0="80000287" w:usb1="2ACF0010" w:usb2="00000016" w:usb3="00000000" w:csb0="0004001F" w:csb1="00000000"/>
  </w:font>
  <w:font w:name="Calibri Light">
    <w:altName w:val="DejaVu Sans"/>
    <w:panose1 w:val="020F030202020403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Math">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Noto Sans CJK JP Black">
    <w:panose1 w:val="020B0A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7457417"/>
    </w:sdtPr>
    <w:sdtContent>
      <w:p>
        <w:pPr>
          <w:pStyle w:val="11"/>
          <w:ind w:left="420"/>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4"/>
        <w:adjustRightInd w:val="0"/>
        <w:rPr>
          <w:rFonts w:eastAsiaTheme="minorEastAsia"/>
          <w:sz w:val="24"/>
        </w:rPr>
      </w:pPr>
      <w:r>
        <w:rPr>
          <w:rStyle w:val="23"/>
          <w:rFonts w:eastAsiaTheme="minorEastAsia"/>
          <w:sz w:val="24"/>
        </w:rPr>
        <w:footnoteRef/>
      </w:r>
      <w:r>
        <w:rPr>
          <w:rFonts w:eastAsiaTheme="minorEastAsia"/>
          <w:sz w:val="24"/>
        </w:rPr>
        <w:t>绩效目标及重点工作任务来源于市委政研室《市级部门整体预算绩效目标申报表》。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kYjRlOWUyYzVmZDYzMTQyNjg1NmQwNzc1MmY4ZjQifQ=="/>
  </w:docVars>
  <w:rsids>
    <w:rsidRoot w:val="006C543F"/>
    <w:rsid w:val="00007F56"/>
    <w:rsid w:val="000130D8"/>
    <w:rsid w:val="0004326D"/>
    <w:rsid w:val="00056576"/>
    <w:rsid w:val="000647E0"/>
    <w:rsid w:val="0006618D"/>
    <w:rsid w:val="00066F63"/>
    <w:rsid w:val="00067C3F"/>
    <w:rsid w:val="00072F05"/>
    <w:rsid w:val="00081412"/>
    <w:rsid w:val="00091743"/>
    <w:rsid w:val="00093FED"/>
    <w:rsid w:val="000B0F41"/>
    <w:rsid w:val="000B4532"/>
    <w:rsid w:val="000C199C"/>
    <w:rsid w:val="000D78AC"/>
    <w:rsid w:val="000E0C22"/>
    <w:rsid w:val="000E4738"/>
    <w:rsid w:val="0010035D"/>
    <w:rsid w:val="00112ABE"/>
    <w:rsid w:val="00113BE6"/>
    <w:rsid w:val="0011487B"/>
    <w:rsid w:val="001221C0"/>
    <w:rsid w:val="00140562"/>
    <w:rsid w:val="001431AE"/>
    <w:rsid w:val="00144A90"/>
    <w:rsid w:val="00181747"/>
    <w:rsid w:val="00194575"/>
    <w:rsid w:val="001C18F6"/>
    <w:rsid w:val="001C4A3B"/>
    <w:rsid w:val="001D5D5A"/>
    <w:rsid w:val="001D6F3B"/>
    <w:rsid w:val="001E021C"/>
    <w:rsid w:val="001E1D74"/>
    <w:rsid w:val="001E5FBA"/>
    <w:rsid w:val="00214F9B"/>
    <w:rsid w:val="00220A0D"/>
    <w:rsid w:val="002301D8"/>
    <w:rsid w:val="00252722"/>
    <w:rsid w:val="002543BE"/>
    <w:rsid w:val="002546C4"/>
    <w:rsid w:val="00265E3D"/>
    <w:rsid w:val="002934E9"/>
    <w:rsid w:val="002A5823"/>
    <w:rsid w:val="002B4391"/>
    <w:rsid w:val="002B6282"/>
    <w:rsid w:val="002B6AD5"/>
    <w:rsid w:val="002C5CAE"/>
    <w:rsid w:val="002D4040"/>
    <w:rsid w:val="002E07D0"/>
    <w:rsid w:val="002F123C"/>
    <w:rsid w:val="002F20D8"/>
    <w:rsid w:val="003007B7"/>
    <w:rsid w:val="00302200"/>
    <w:rsid w:val="003173E6"/>
    <w:rsid w:val="003207FD"/>
    <w:rsid w:val="003231FC"/>
    <w:rsid w:val="003269C4"/>
    <w:rsid w:val="00327701"/>
    <w:rsid w:val="00327F31"/>
    <w:rsid w:val="00330313"/>
    <w:rsid w:val="003418F9"/>
    <w:rsid w:val="00350181"/>
    <w:rsid w:val="00351736"/>
    <w:rsid w:val="003543C4"/>
    <w:rsid w:val="00360407"/>
    <w:rsid w:val="00367AEA"/>
    <w:rsid w:val="0037382B"/>
    <w:rsid w:val="00390731"/>
    <w:rsid w:val="003943FD"/>
    <w:rsid w:val="003A0FDC"/>
    <w:rsid w:val="003A5EE9"/>
    <w:rsid w:val="003B3947"/>
    <w:rsid w:val="003C201A"/>
    <w:rsid w:val="003C3CB2"/>
    <w:rsid w:val="003C7B2A"/>
    <w:rsid w:val="003D1EE4"/>
    <w:rsid w:val="003D6656"/>
    <w:rsid w:val="003D7ECA"/>
    <w:rsid w:val="003E2B66"/>
    <w:rsid w:val="003E64CB"/>
    <w:rsid w:val="003E78FA"/>
    <w:rsid w:val="003F3537"/>
    <w:rsid w:val="003F7CDA"/>
    <w:rsid w:val="00400E23"/>
    <w:rsid w:val="0040339C"/>
    <w:rsid w:val="0040601E"/>
    <w:rsid w:val="00407A0C"/>
    <w:rsid w:val="00423B90"/>
    <w:rsid w:val="0043608D"/>
    <w:rsid w:val="00441A96"/>
    <w:rsid w:val="00444A70"/>
    <w:rsid w:val="00453A38"/>
    <w:rsid w:val="0046681D"/>
    <w:rsid w:val="004802C8"/>
    <w:rsid w:val="00487692"/>
    <w:rsid w:val="00487BD1"/>
    <w:rsid w:val="00491BC6"/>
    <w:rsid w:val="004D5C5D"/>
    <w:rsid w:val="004E1BB6"/>
    <w:rsid w:val="004E24DF"/>
    <w:rsid w:val="004E6152"/>
    <w:rsid w:val="004F79E0"/>
    <w:rsid w:val="00506433"/>
    <w:rsid w:val="00507219"/>
    <w:rsid w:val="0051520F"/>
    <w:rsid w:val="00520075"/>
    <w:rsid w:val="00521D99"/>
    <w:rsid w:val="00540667"/>
    <w:rsid w:val="00542A07"/>
    <w:rsid w:val="00550142"/>
    <w:rsid w:val="00570C24"/>
    <w:rsid w:val="0057273F"/>
    <w:rsid w:val="00573592"/>
    <w:rsid w:val="00580E65"/>
    <w:rsid w:val="005A24C4"/>
    <w:rsid w:val="005B34F2"/>
    <w:rsid w:val="005D28CD"/>
    <w:rsid w:val="005F65E0"/>
    <w:rsid w:val="00607831"/>
    <w:rsid w:val="00616FF7"/>
    <w:rsid w:val="00624C48"/>
    <w:rsid w:val="00625415"/>
    <w:rsid w:val="006342F1"/>
    <w:rsid w:val="00635A7D"/>
    <w:rsid w:val="00641206"/>
    <w:rsid w:val="00642AC0"/>
    <w:rsid w:val="006454D4"/>
    <w:rsid w:val="00645C23"/>
    <w:rsid w:val="006465BC"/>
    <w:rsid w:val="006503CB"/>
    <w:rsid w:val="00655286"/>
    <w:rsid w:val="00670D91"/>
    <w:rsid w:val="00671F9A"/>
    <w:rsid w:val="00675019"/>
    <w:rsid w:val="00675224"/>
    <w:rsid w:val="006759D5"/>
    <w:rsid w:val="006868ED"/>
    <w:rsid w:val="00687E6F"/>
    <w:rsid w:val="00687F91"/>
    <w:rsid w:val="006C02DF"/>
    <w:rsid w:val="006C1A3B"/>
    <w:rsid w:val="006C543F"/>
    <w:rsid w:val="006C775D"/>
    <w:rsid w:val="006D2640"/>
    <w:rsid w:val="006D2899"/>
    <w:rsid w:val="006E32EE"/>
    <w:rsid w:val="006E53F4"/>
    <w:rsid w:val="006F41FA"/>
    <w:rsid w:val="00710ECF"/>
    <w:rsid w:val="00715403"/>
    <w:rsid w:val="00735AD7"/>
    <w:rsid w:val="00746108"/>
    <w:rsid w:val="00746EB3"/>
    <w:rsid w:val="00770E78"/>
    <w:rsid w:val="00771220"/>
    <w:rsid w:val="007767B1"/>
    <w:rsid w:val="007775F3"/>
    <w:rsid w:val="00777B4F"/>
    <w:rsid w:val="00787F6B"/>
    <w:rsid w:val="00794A81"/>
    <w:rsid w:val="007A6B9A"/>
    <w:rsid w:val="007B7B19"/>
    <w:rsid w:val="007D2637"/>
    <w:rsid w:val="007E7D57"/>
    <w:rsid w:val="007F75B6"/>
    <w:rsid w:val="00803E10"/>
    <w:rsid w:val="00806B5A"/>
    <w:rsid w:val="008132A0"/>
    <w:rsid w:val="00820D70"/>
    <w:rsid w:val="008214A6"/>
    <w:rsid w:val="00823AA5"/>
    <w:rsid w:val="008436EF"/>
    <w:rsid w:val="00855B9F"/>
    <w:rsid w:val="00865BEC"/>
    <w:rsid w:val="008B0C59"/>
    <w:rsid w:val="008C1865"/>
    <w:rsid w:val="008C76C1"/>
    <w:rsid w:val="008D227B"/>
    <w:rsid w:val="008D5ABB"/>
    <w:rsid w:val="009006CA"/>
    <w:rsid w:val="00903366"/>
    <w:rsid w:val="00915624"/>
    <w:rsid w:val="009329FF"/>
    <w:rsid w:val="00951BA0"/>
    <w:rsid w:val="009568FE"/>
    <w:rsid w:val="00964536"/>
    <w:rsid w:val="00967248"/>
    <w:rsid w:val="00970C88"/>
    <w:rsid w:val="0098401A"/>
    <w:rsid w:val="00995EBB"/>
    <w:rsid w:val="009B7B55"/>
    <w:rsid w:val="009C24ED"/>
    <w:rsid w:val="009C34DD"/>
    <w:rsid w:val="009E5EF5"/>
    <w:rsid w:val="009F7DE7"/>
    <w:rsid w:val="00A027FD"/>
    <w:rsid w:val="00A04292"/>
    <w:rsid w:val="00A1123C"/>
    <w:rsid w:val="00A14A26"/>
    <w:rsid w:val="00A15BC2"/>
    <w:rsid w:val="00A25459"/>
    <w:rsid w:val="00A31A3C"/>
    <w:rsid w:val="00A31CA4"/>
    <w:rsid w:val="00A32E4A"/>
    <w:rsid w:val="00A519AC"/>
    <w:rsid w:val="00A52C93"/>
    <w:rsid w:val="00A648E3"/>
    <w:rsid w:val="00A66F3E"/>
    <w:rsid w:val="00A7274B"/>
    <w:rsid w:val="00A75D1E"/>
    <w:rsid w:val="00A77D2E"/>
    <w:rsid w:val="00A929F5"/>
    <w:rsid w:val="00A92C1B"/>
    <w:rsid w:val="00A979ED"/>
    <w:rsid w:val="00AD5253"/>
    <w:rsid w:val="00AE0537"/>
    <w:rsid w:val="00AF23E3"/>
    <w:rsid w:val="00AF5042"/>
    <w:rsid w:val="00AF5130"/>
    <w:rsid w:val="00B0053C"/>
    <w:rsid w:val="00B109D5"/>
    <w:rsid w:val="00B119A0"/>
    <w:rsid w:val="00B16131"/>
    <w:rsid w:val="00B224B2"/>
    <w:rsid w:val="00B24EDC"/>
    <w:rsid w:val="00B3454E"/>
    <w:rsid w:val="00B369A1"/>
    <w:rsid w:val="00B369D1"/>
    <w:rsid w:val="00B37C28"/>
    <w:rsid w:val="00B5012D"/>
    <w:rsid w:val="00B64D99"/>
    <w:rsid w:val="00B76379"/>
    <w:rsid w:val="00B811C3"/>
    <w:rsid w:val="00B911E6"/>
    <w:rsid w:val="00BA7FE2"/>
    <w:rsid w:val="00BB221A"/>
    <w:rsid w:val="00BB7D35"/>
    <w:rsid w:val="00BD0A07"/>
    <w:rsid w:val="00BE5CD2"/>
    <w:rsid w:val="00BE71C1"/>
    <w:rsid w:val="00BF5035"/>
    <w:rsid w:val="00C03439"/>
    <w:rsid w:val="00C14AC4"/>
    <w:rsid w:val="00C26107"/>
    <w:rsid w:val="00C272A0"/>
    <w:rsid w:val="00C46FBB"/>
    <w:rsid w:val="00C542EE"/>
    <w:rsid w:val="00C624FF"/>
    <w:rsid w:val="00C62C50"/>
    <w:rsid w:val="00C958B4"/>
    <w:rsid w:val="00C95FF1"/>
    <w:rsid w:val="00C96719"/>
    <w:rsid w:val="00C972F9"/>
    <w:rsid w:val="00CA206D"/>
    <w:rsid w:val="00CA2623"/>
    <w:rsid w:val="00CB24F4"/>
    <w:rsid w:val="00CD3843"/>
    <w:rsid w:val="00CF3B3A"/>
    <w:rsid w:val="00D028A5"/>
    <w:rsid w:val="00D030DF"/>
    <w:rsid w:val="00D0480F"/>
    <w:rsid w:val="00D20B13"/>
    <w:rsid w:val="00D43FF8"/>
    <w:rsid w:val="00D4669A"/>
    <w:rsid w:val="00D51C7C"/>
    <w:rsid w:val="00D577DD"/>
    <w:rsid w:val="00D669C2"/>
    <w:rsid w:val="00D708CA"/>
    <w:rsid w:val="00D76631"/>
    <w:rsid w:val="00D8567E"/>
    <w:rsid w:val="00DB505F"/>
    <w:rsid w:val="00DC0199"/>
    <w:rsid w:val="00DC3ED4"/>
    <w:rsid w:val="00DD5CB5"/>
    <w:rsid w:val="00DE031F"/>
    <w:rsid w:val="00DF27B7"/>
    <w:rsid w:val="00DF599F"/>
    <w:rsid w:val="00DF7FE3"/>
    <w:rsid w:val="00E10AD1"/>
    <w:rsid w:val="00E122B9"/>
    <w:rsid w:val="00E155E6"/>
    <w:rsid w:val="00E32425"/>
    <w:rsid w:val="00E443CC"/>
    <w:rsid w:val="00E62549"/>
    <w:rsid w:val="00E64C78"/>
    <w:rsid w:val="00E74171"/>
    <w:rsid w:val="00E75D5A"/>
    <w:rsid w:val="00E87E45"/>
    <w:rsid w:val="00E911E5"/>
    <w:rsid w:val="00E92AF3"/>
    <w:rsid w:val="00E9333E"/>
    <w:rsid w:val="00EA321F"/>
    <w:rsid w:val="00EA4F87"/>
    <w:rsid w:val="00EA5B09"/>
    <w:rsid w:val="00EC4850"/>
    <w:rsid w:val="00EE1A28"/>
    <w:rsid w:val="00EE31A3"/>
    <w:rsid w:val="00EE4BD1"/>
    <w:rsid w:val="00EE505E"/>
    <w:rsid w:val="00EF5582"/>
    <w:rsid w:val="00F0235A"/>
    <w:rsid w:val="00F076F8"/>
    <w:rsid w:val="00F234C6"/>
    <w:rsid w:val="00F23837"/>
    <w:rsid w:val="00F30507"/>
    <w:rsid w:val="00F440D1"/>
    <w:rsid w:val="00F55A8E"/>
    <w:rsid w:val="00F55BB9"/>
    <w:rsid w:val="00F72471"/>
    <w:rsid w:val="00F81E37"/>
    <w:rsid w:val="00FB0920"/>
    <w:rsid w:val="00FB0D60"/>
    <w:rsid w:val="00FC78DD"/>
    <w:rsid w:val="00FC7B00"/>
    <w:rsid w:val="00FE2DFA"/>
    <w:rsid w:val="050C1BFF"/>
    <w:rsid w:val="0632426C"/>
    <w:rsid w:val="0B0501B5"/>
    <w:rsid w:val="0D362540"/>
    <w:rsid w:val="0D5657DE"/>
    <w:rsid w:val="13A815B0"/>
    <w:rsid w:val="15E14638"/>
    <w:rsid w:val="15F911F8"/>
    <w:rsid w:val="17C766A3"/>
    <w:rsid w:val="19830BB2"/>
    <w:rsid w:val="1AFF4AB1"/>
    <w:rsid w:val="1E1771C7"/>
    <w:rsid w:val="20F457D3"/>
    <w:rsid w:val="221018DD"/>
    <w:rsid w:val="24577F3D"/>
    <w:rsid w:val="260E1449"/>
    <w:rsid w:val="27357461"/>
    <w:rsid w:val="27C5E5B5"/>
    <w:rsid w:val="2A261D85"/>
    <w:rsid w:val="2BF33334"/>
    <w:rsid w:val="2CDFA879"/>
    <w:rsid w:val="2ECF14DD"/>
    <w:rsid w:val="2EF03AFE"/>
    <w:rsid w:val="417A6D67"/>
    <w:rsid w:val="48D043F9"/>
    <w:rsid w:val="4DCB4DCA"/>
    <w:rsid w:val="4F1E1A12"/>
    <w:rsid w:val="4F3A772E"/>
    <w:rsid w:val="59EC5C2D"/>
    <w:rsid w:val="5A5E4FC6"/>
    <w:rsid w:val="5E2225C8"/>
    <w:rsid w:val="60FB1664"/>
    <w:rsid w:val="64006F71"/>
    <w:rsid w:val="65BF1767"/>
    <w:rsid w:val="67DFB501"/>
    <w:rsid w:val="67E73272"/>
    <w:rsid w:val="6BEBA2FE"/>
    <w:rsid w:val="6D9B526C"/>
    <w:rsid w:val="6E7318FC"/>
    <w:rsid w:val="706F453A"/>
    <w:rsid w:val="72D90755"/>
    <w:rsid w:val="733573EA"/>
    <w:rsid w:val="77CC04AB"/>
    <w:rsid w:val="77D7819C"/>
    <w:rsid w:val="77E51F05"/>
    <w:rsid w:val="7D4A1A04"/>
    <w:rsid w:val="7DA835E3"/>
    <w:rsid w:val="7E524B84"/>
    <w:rsid w:val="7EF5D46A"/>
    <w:rsid w:val="7F62FF69"/>
    <w:rsid w:val="7FF056E7"/>
    <w:rsid w:val="9D97C6DC"/>
    <w:rsid w:val="A92FB177"/>
    <w:rsid w:val="BBFF9E51"/>
    <w:rsid w:val="BE7D23BE"/>
    <w:rsid w:val="BFBAD6CC"/>
    <w:rsid w:val="BFF73BE5"/>
    <w:rsid w:val="DEF78711"/>
    <w:rsid w:val="EFA7CBEA"/>
    <w:rsid w:val="F65F7859"/>
    <w:rsid w:val="F7A524B6"/>
    <w:rsid w:val="FB2D8A53"/>
    <w:rsid w:val="FCFF01E5"/>
    <w:rsid w:val="FE61CDA2"/>
    <w:rsid w:val="FECBD0BF"/>
    <w:rsid w:val="FEEF14BD"/>
    <w:rsid w:val="FEFBC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qFormat/>
    <w:uiPriority w:val="0"/>
    <w:pPr>
      <w:jc w:val="left"/>
    </w:pPr>
  </w:style>
  <w:style w:type="paragraph" w:styleId="8">
    <w:name w:val="Body Text"/>
    <w:basedOn w:val="1"/>
    <w:next w:val="9"/>
    <w:qFormat/>
    <w:uiPriority w:val="0"/>
    <w:pPr>
      <w:spacing w:after="140" w:line="276" w:lineRule="auto"/>
    </w:pPr>
  </w:style>
  <w:style w:type="paragraph" w:styleId="9">
    <w:name w:val="Title"/>
    <w:basedOn w:val="1"/>
    <w:next w:val="1"/>
    <w:qFormat/>
    <w:uiPriority w:val="0"/>
    <w:pPr>
      <w:spacing w:before="240" w:after="60"/>
      <w:jc w:val="center"/>
      <w:textAlignment w:val="baseline"/>
    </w:pPr>
    <w:rPr>
      <w:rFonts w:hint="eastAsia" w:ascii="Arial" w:hAnsi="Arial"/>
      <w:b/>
      <w:sz w:val="32"/>
    </w:rPr>
  </w:style>
  <w:style w:type="paragraph" w:styleId="10">
    <w:name w:val="Balloon Text"/>
    <w:basedOn w:val="1"/>
    <w:link w:val="37"/>
    <w:qFormat/>
    <w:uiPriority w:val="0"/>
    <w:rPr>
      <w:sz w:val="18"/>
      <w:szCs w:val="18"/>
    </w:rPr>
  </w:style>
  <w:style w:type="paragraph" w:styleId="11">
    <w:name w:val="footer"/>
    <w:link w:val="38"/>
    <w:unhideWhenUsed/>
    <w:qFormat/>
    <w:uiPriority w:val="99"/>
    <w:pPr>
      <w:tabs>
        <w:tab w:val="center" w:pos="4153"/>
        <w:tab w:val="right" w:pos="8306"/>
      </w:tabs>
      <w:snapToGrid w:val="0"/>
    </w:pPr>
    <w:rPr>
      <w:rFonts w:ascii="Times New Roman" w:hAnsi="Times New Roman" w:eastAsia="仿宋_GB2312" w:cs="Times New Roman"/>
      <w:kern w:val="2"/>
      <w:sz w:val="18"/>
      <w:szCs w:val="18"/>
      <w:lang w:val="en-US" w:eastAsia="zh-CN" w:bidi="ar-SA"/>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style>
  <w:style w:type="paragraph" w:styleId="14">
    <w:name w:val="footnote text"/>
    <w:basedOn w:val="1"/>
    <w:qFormat/>
    <w:uiPriority w:val="0"/>
    <w:pPr>
      <w:snapToGrid w:val="0"/>
      <w:jc w:val="left"/>
    </w:pPr>
    <w:rPr>
      <w:sz w:val="18"/>
    </w:rPr>
  </w:style>
  <w:style w:type="paragraph" w:styleId="15">
    <w:name w:val="toc 2"/>
    <w:basedOn w:val="1"/>
    <w:next w:val="1"/>
    <w:qFormat/>
    <w:uiPriority w:val="39"/>
    <w:pPr>
      <w:ind w:left="420" w:leftChars="200"/>
    </w:pPr>
  </w:style>
  <w:style w:type="paragraph" w:styleId="16">
    <w:name w:val="Normal (Web)"/>
    <w:basedOn w:val="1"/>
    <w:qFormat/>
    <w:uiPriority w:val="0"/>
    <w:pPr>
      <w:jc w:val="left"/>
    </w:pPr>
    <w:rPr>
      <w:rFonts w:ascii="微软雅黑" w:hAnsi="微软雅黑" w:eastAsia="微软雅黑"/>
      <w:kern w:val="0"/>
      <w:sz w:val="24"/>
    </w:rPr>
  </w:style>
  <w:style w:type="paragraph" w:styleId="17">
    <w:name w:val="Body Text First Indent"/>
    <w:basedOn w:val="8"/>
    <w:qFormat/>
    <w:uiPriority w:val="0"/>
    <w:pPr>
      <w:spacing w:after="120"/>
      <w:ind w:firstLine="420" w:firstLineChars="100"/>
    </w:pPr>
    <w:rPr>
      <w:rFonts w:ascii="Calibri" w:hAnsi="Calibri"/>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99"/>
    <w:rPr>
      <w:color w:val="0000FF"/>
      <w:u w:val="single"/>
    </w:rPr>
  </w:style>
  <w:style w:type="character" w:styleId="23">
    <w:name w:val="footnote reference"/>
    <w:basedOn w:val="20"/>
    <w:qFormat/>
    <w:uiPriority w:val="0"/>
    <w:rPr>
      <w:vertAlign w:val="superscript"/>
    </w:rPr>
  </w:style>
  <w:style w:type="paragraph" w:customStyle="1" w:styleId="24">
    <w:name w:val="WPSOffice手动目录 1"/>
    <w:qFormat/>
    <w:uiPriority w:val="0"/>
    <w:rPr>
      <w:rFonts w:ascii="Times New Roman" w:hAnsi="Times New Roman" w:eastAsia="宋体" w:cs="Times New Roman"/>
      <w:lang w:val="en-US" w:eastAsia="zh-CN" w:bidi="ar-SA"/>
    </w:rPr>
  </w:style>
  <w:style w:type="character" w:customStyle="1" w:styleId="25">
    <w:name w:val="font21"/>
    <w:basedOn w:val="20"/>
    <w:qFormat/>
    <w:uiPriority w:val="0"/>
    <w:rPr>
      <w:rFonts w:hint="eastAsia" w:ascii="宋体" w:hAnsi="宋体" w:eastAsia="宋体" w:cs="宋体"/>
      <w:color w:val="FF0000"/>
      <w:sz w:val="20"/>
      <w:szCs w:val="20"/>
      <w:u w:val="none"/>
    </w:rPr>
  </w:style>
  <w:style w:type="character" w:customStyle="1" w:styleId="26">
    <w:name w:val="style1611"/>
    <w:basedOn w:val="20"/>
    <w:qFormat/>
    <w:uiPriority w:val="0"/>
    <w:rPr>
      <w:color w:val="000000"/>
    </w:rPr>
  </w:style>
  <w:style w:type="character" w:customStyle="1" w:styleId="27">
    <w:name w:val="font01"/>
    <w:basedOn w:val="20"/>
    <w:qFormat/>
    <w:uiPriority w:val="0"/>
    <w:rPr>
      <w:rFonts w:hint="eastAsia" w:ascii="宋体" w:hAnsi="宋体" w:eastAsia="宋体"/>
      <w:color w:val="000000"/>
      <w:sz w:val="22"/>
      <w:szCs w:val="22"/>
      <w:u w:val="none"/>
    </w:rPr>
  </w:style>
  <w:style w:type="character" w:customStyle="1" w:styleId="28">
    <w:name w:val="font11"/>
    <w:basedOn w:val="20"/>
    <w:qFormat/>
    <w:uiPriority w:val="0"/>
    <w:rPr>
      <w:rFonts w:hint="default" w:ascii="Times New Roman" w:hAnsi="Times New Roman" w:cs="Times New Roman"/>
      <w:color w:val="000000"/>
      <w:sz w:val="20"/>
      <w:szCs w:val="20"/>
      <w:u w:val="none"/>
    </w:rPr>
  </w:style>
  <w:style w:type="character" w:customStyle="1" w:styleId="29">
    <w:name w:val="font81"/>
    <w:basedOn w:val="20"/>
    <w:qFormat/>
    <w:uiPriority w:val="0"/>
    <w:rPr>
      <w:rFonts w:hint="eastAsia" w:ascii="宋体" w:hAnsi="宋体" w:eastAsia="宋体" w:cs="宋体"/>
      <w:color w:val="FF0000"/>
      <w:sz w:val="20"/>
      <w:szCs w:val="20"/>
      <w:u w:val="none"/>
    </w:rPr>
  </w:style>
  <w:style w:type="character" w:customStyle="1" w:styleId="30">
    <w:name w:val="font101"/>
    <w:basedOn w:val="20"/>
    <w:qFormat/>
    <w:uiPriority w:val="0"/>
    <w:rPr>
      <w:rFonts w:ascii="Arial" w:hAnsi="Arial" w:cs="Arial"/>
      <w:color w:val="000000"/>
      <w:sz w:val="20"/>
      <w:szCs w:val="20"/>
      <w:u w:val="none"/>
    </w:rPr>
  </w:style>
  <w:style w:type="character" w:customStyle="1" w:styleId="31">
    <w:name w:val="font112"/>
    <w:basedOn w:val="20"/>
    <w:qFormat/>
    <w:uiPriority w:val="0"/>
    <w:rPr>
      <w:rFonts w:ascii="仿宋_GB2312" w:eastAsia="仿宋_GB2312" w:cs="仿宋_GB2312"/>
      <w:color w:val="000000"/>
      <w:sz w:val="20"/>
      <w:szCs w:val="20"/>
      <w:u w:val="none"/>
    </w:rPr>
  </w:style>
  <w:style w:type="character" w:customStyle="1" w:styleId="32">
    <w:name w:val="font91"/>
    <w:basedOn w:val="20"/>
    <w:qFormat/>
    <w:uiPriority w:val="0"/>
    <w:rPr>
      <w:rFonts w:hint="eastAsia" w:ascii="宋体" w:hAnsi="宋体" w:eastAsia="宋体" w:cs="宋体"/>
      <w:color w:val="000000"/>
      <w:sz w:val="20"/>
      <w:szCs w:val="20"/>
      <w:u w:val="none"/>
    </w:rPr>
  </w:style>
  <w:style w:type="character" w:customStyle="1" w:styleId="33">
    <w:name w:val="font121"/>
    <w:basedOn w:val="20"/>
    <w:qFormat/>
    <w:uiPriority w:val="0"/>
    <w:rPr>
      <w:rFonts w:hint="eastAsia" w:ascii="宋体" w:hAnsi="宋体" w:eastAsia="宋体" w:cs="宋体"/>
      <w:color w:val="FF0000"/>
      <w:sz w:val="20"/>
      <w:szCs w:val="20"/>
      <w:u w:val="none"/>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报告正文格式"/>
    <w:basedOn w:val="1"/>
    <w:qFormat/>
    <w:uiPriority w:val="0"/>
    <w:rPr>
      <w:rFonts w:hint="eastAsia"/>
    </w:rPr>
  </w:style>
  <w:style w:type="character" w:customStyle="1" w:styleId="36">
    <w:name w:val="font61"/>
    <w:basedOn w:val="20"/>
    <w:qFormat/>
    <w:uiPriority w:val="0"/>
    <w:rPr>
      <w:rFonts w:hint="eastAsia" w:ascii="宋体" w:hAnsi="宋体" w:eastAsia="宋体" w:cs="宋体"/>
      <w:color w:val="auto"/>
      <w:sz w:val="22"/>
      <w:szCs w:val="22"/>
      <w:u w:val="none"/>
    </w:rPr>
  </w:style>
  <w:style w:type="character" w:customStyle="1" w:styleId="37">
    <w:name w:val="批注框文本 字符"/>
    <w:basedOn w:val="20"/>
    <w:link w:val="10"/>
    <w:qFormat/>
    <w:uiPriority w:val="0"/>
    <w:rPr>
      <w:kern w:val="2"/>
      <w:sz w:val="18"/>
      <w:szCs w:val="18"/>
    </w:rPr>
  </w:style>
  <w:style w:type="character" w:customStyle="1" w:styleId="38">
    <w:name w:val="页脚 字符"/>
    <w:basedOn w:val="20"/>
    <w:link w:val="11"/>
    <w:qFormat/>
    <w:uiPriority w:val="99"/>
    <w:rPr>
      <w:rFonts w:eastAsia="仿宋_GB2312"/>
      <w:kern w:val="2"/>
      <w:sz w:val="18"/>
      <w:szCs w:val="18"/>
    </w:rPr>
  </w:style>
  <w:style w:type="paragraph" w:customStyle="1" w:styleId="39">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13800</Words>
  <Characters>16976</Characters>
  <Lines>1886</Lines>
  <Paragraphs>2198</Paragraphs>
  <TotalTime>431</TotalTime>
  <ScaleCrop>false</ScaleCrop>
  <LinksUpToDate>false</LinksUpToDate>
  <CharactersWithSpaces>28578</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2025-06-23T13:07:00Z</dcterms:created>
  <dc:creator>yubin</dc:creator>
  <cp:lastModifiedBy>文蔷 赵</cp:lastModifiedBy>
  <cp:lastPrinted>2024-10-14T17:24:00Z</cp:lastPrinted>
  <dcterms:modified xsi:type="dcterms:W3CDTF">2025-07-22T16:07:00Z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22C73CBB11E2A202A4467F68C43E060E</vt:lpwstr>
  </property>
  <property fmtid="{D5CDD505-2E9C-101B-9397-08002B2CF9AE}" pid="3" name="KSOProductBuildVer">
    <vt:lpwstr>2052-11.8.2.12009</vt:lpwstr>
  </property>
  <property fmtid="{D5CDD505-2E9C-101B-9397-08002B2CF9AE}" pid="4" name="KSOTemplateDocerSaveRecord">
    <vt:lpwstr>eyJoZGlkIjoiMDZmMGM4YjJiZWVhOGViOGQ1ZWMwNDhjZjkxYTNmM2MiLCJ1c2VySWQiOiIyMTEzMTU2NzMifQ==</vt:lpwstr>
  </property>
</Properties>
</file>