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：</w:t>
      </w:r>
    </w:p>
    <w:p>
      <w:pPr>
        <w:spacing w:line="560" w:lineRule="exact"/>
        <w:ind w:firstLine="180" w:firstLineChars="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江门市社会保险基金管理局后勤保障服务项目评审评分表</w:t>
      </w:r>
    </w:p>
    <w:p>
      <w:pPr>
        <w:autoSpaceDE w:val="0"/>
        <w:autoSpaceDN w:val="0"/>
        <w:spacing w:line="240" w:lineRule="exact"/>
        <w:rPr>
          <w:rFonts w:ascii="仿宋_GB2312" w:hAnsi="宋体" w:eastAsia="仿宋_GB2312"/>
          <w:b/>
          <w:kern w:val="28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87"/>
        <w:gridCol w:w="1875"/>
        <w:gridCol w:w="1665"/>
        <w:gridCol w:w="990"/>
        <w:gridCol w:w="1350"/>
        <w:gridCol w:w="1260"/>
        <w:gridCol w:w="1665"/>
        <w:gridCol w:w="870"/>
        <w:gridCol w:w="525"/>
        <w:gridCol w:w="675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4"/>
                <w:lang w:val="zh-CN"/>
              </w:rPr>
              <w:t>报价单位</w:t>
            </w:r>
          </w:p>
        </w:tc>
        <w:tc>
          <w:tcPr>
            <w:tcW w:w="63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商务</w:t>
            </w:r>
            <w:r>
              <w:rPr>
                <w:rFonts w:hint="default" w:ascii="仿宋_GB2312" w:hAnsi="宋体" w:eastAsia="仿宋_GB2312"/>
                <w:b/>
                <w:kern w:val="28"/>
                <w:szCs w:val="21"/>
              </w:rPr>
              <w:t>评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分</w:t>
            </w:r>
          </w:p>
        </w:tc>
        <w:tc>
          <w:tcPr>
            <w:tcW w:w="5145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技术评分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报价评分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b/>
                <w:sz w:val="24"/>
                <w:szCs w:val="24"/>
                <w:lang w:val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default" w:ascii="仿宋_GB2312" w:hAnsi="宋体" w:eastAsia="仿宋_GB2312"/>
                <w:b/>
                <w:kern w:val="28"/>
                <w:szCs w:val="21"/>
              </w:rPr>
              <w:t>上一年度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财务状况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，资产负债比在0.5以下的为优，0.5-1之间的为中，1以上的为差。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【优（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21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-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分），中（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11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-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20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分），差（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-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0分）】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30分）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default" w:ascii="仿宋_GB2312" w:hAnsi="宋体" w:eastAsia="仿宋_GB2312"/>
                <w:b/>
                <w:kern w:val="28"/>
                <w:szCs w:val="21"/>
                <w:lang w:eastAsia="zh-CN"/>
              </w:rPr>
              <w:t>经营规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范性。包括：经营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管理、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财务管理、安全生产管理、项目绩效管理等制度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的建立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  <w:highlight w:val="none"/>
              </w:rPr>
              <w:t>情况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【优（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21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-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分），中（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11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-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20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分），差（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-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0分）】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30分）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以往业绩。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提供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相关项目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服务经验（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【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每一项目得</w:t>
            </w:r>
            <w:r>
              <w:rPr>
                <w:rFonts w:hint="default" w:ascii="仿宋_GB2312" w:hAnsi="宋体" w:eastAsia="仿宋_GB2312"/>
                <w:b/>
                <w:kern w:val="28"/>
                <w:szCs w:val="21"/>
              </w:rPr>
              <w:t>2</w:t>
            </w:r>
            <w:r>
              <w:rPr>
                <w:rFonts w:hint="default" w:ascii="仿宋_GB2312" w:hAnsi="宋体" w:eastAsia="仿宋_GB2312"/>
                <w:b/>
                <w:kern w:val="28"/>
                <w:szCs w:val="21"/>
                <w:lang w:eastAsia="zh-CN"/>
              </w:rPr>
              <w:t>0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分，须提供服务案例,以实际签订合同复印件为准，最高得分</w:t>
            </w:r>
            <w:r>
              <w:rPr>
                <w:rFonts w:hint="default" w:ascii="仿宋_GB2312" w:hAnsi="宋体" w:eastAsia="仿宋_GB2312"/>
                <w:b/>
                <w:kern w:val="28"/>
                <w:szCs w:val="21"/>
              </w:rPr>
              <w:t>40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分）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】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（</w:t>
            </w:r>
            <w:r>
              <w:rPr>
                <w:rFonts w:hint="default" w:ascii="仿宋_GB2312" w:hAnsi="宋体" w:eastAsia="仿宋_GB2312"/>
                <w:b/>
                <w:kern w:val="28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0分）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</w:p>
          <w:p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商务得分（总分×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%）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报价文件完整性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。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【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全部满足招标文件且全部实质性响应的得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30分，没有完全响应的为0分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】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分）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服务总体方案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质量。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【优（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-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分），中（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-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分），差（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-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分）】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40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</w:rPr>
              <w:t>分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kern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服务人员身体素质和参保情况。（服务人员年龄、健康证明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参保缴费证明各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 xml:space="preserve"> 10分。）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30分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技术得分（总分×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%）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报价</w:t>
            </w:r>
            <w:r>
              <w:rPr>
                <w:rFonts w:hint="default" w:ascii="仿宋_GB2312" w:hAnsi="宋体" w:eastAsia="仿宋_GB2312"/>
                <w:b/>
                <w:kern w:val="28"/>
                <w:szCs w:val="21"/>
              </w:rPr>
              <w:t>金额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报价得分（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评标基准价／报价×100×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%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）</w:t>
            </w: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仿宋_GB2312" w:hAnsi="宋体" w:eastAsia="仿宋_GB2312"/>
                <w:b/>
                <w:kern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</w:tr>
    </w:tbl>
    <w:p>
      <w:pPr>
        <w:widowControl/>
        <w:ind w:left="0" w:firstLine="0" w:firstLineChars="0"/>
        <w:jc w:val="left"/>
        <w:rPr>
          <w:rFonts w:hint="eastAsia" w:ascii="宋体" w:hAnsi="宋体" w:cs="宋体"/>
          <w:b/>
          <w:bCs/>
          <w:kern w:val="0"/>
          <w:sz w:val="21"/>
          <w:szCs w:val="21"/>
        </w:rPr>
      </w:pPr>
    </w:p>
    <w:p>
      <w:pPr>
        <w:widowControl/>
        <w:ind w:left="0" w:leftChars="0" w:firstLine="0" w:firstLineChars="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</w:rPr>
        <w:t>评分说明：</w:t>
      </w:r>
      <w:r>
        <w:rPr>
          <w:rFonts w:hint="eastAsia" w:ascii="宋体" w:hAnsi="宋体" w:cs="宋体"/>
          <w:kern w:val="0"/>
          <w:sz w:val="21"/>
          <w:szCs w:val="21"/>
        </w:rPr>
        <w:t>（1）综合得分=商务得分+技术得分+报价得分；</w:t>
      </w:r>
    </w:p>
    <w:p>
      <w:pPr>
        <w:widowControl/>
        <w:ind w:left="0" w:leftChars="0" w:firstLine="1050" w:firstLineChars="5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（2）在评标过程中所有计算结果均精确到小数点后两位，第三位小数四舍五入；</w:t>
      </w:r>
    </w:p>
    <w:p>
      <w:pPr>
        <w:widowControl/>
        <w:ind w:left="0" w:leftChars="0" w:firstLine="1050" w:firstLineChars="5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（3）价格评分以报价最低价为评标基准价，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其他投标人的价格</w:t>
      </w:r>
      <w:r>
        <w:rPr>
          <w:rFonts w:hint="default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color="auto" w:fill="auto"/>
          <w:lang w:eastAsia="zh-CN" w:bidi="ar"/>
        </w:rPr>
        <w:t>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分</w:t>
      </w:r>
      <w:r>
        <w:rPr>
          <w:rFonts w:hint="default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color="auto" w:fill="auto"/>
          <w:lang w:eastAsia="zh-CN" w:bidi="ar"/>
        </w:rPr>
        <w:t>计算方法为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：报价得分=（评标基准价/投标报价）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×100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×</w:t>
      </w:r>
      <w:r>
        <w:rPr>
          <w:rFonts w:hint="default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color="auto" w:fill="auto"/>
          <w:lang w:eastAsia="zh-CN" w:bidi="ar"/>
        </w:rPr>
        <w:t>50%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；</w:t>
      </w:r>
    </w:p>
    <w:p>
      <w:pPr>
        <w:widowControl/>
        <w:ind w:left="1617" w:leftChars="500" w:hanging="567" w:hangingChars="270"/>
        <w:jc w:val="left"/>
        <w:rPr>
          <w:rFonts w:hint="eastAsia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（4）将综合得分从高到低排出名次，总分第一名为第一中标候选人，第二名为第二中标候选人，以此类推（综合得分相同的，按报价得分由高到低排列；综合得分相同且报价得分相同的，按技术得分顺序排列）。</w:t>
      </w:r>
    </w:p>
    <w:p>
      <w:pPr>
        <w:ind w:firstLine="832"/>
        <w:jc w:val="left"/>
        <w:rPr>
          <w:rFonts w:hint="eastAsia"/>
          <w:szCs w:val="21"/>
        </w:rPr>
      </w:pPr>
    </w:p>
    <w:p>
      <w:pPr>
        <w:ind w:firstLine="832"/>
        <w:jc w:val="left"/>
        <w:rPr>
          <w:rFonts w:hint="eastAsia"/>
          <w:szCs w:val="24"/>
        </w:rPr>
        <w:sectPr>
          <w:footerReference r:id="rId3" w:type="default"/>
          <w:pgSz w:w="16838" w:h="11906" w:orient="landscape"/>
          <w:pgMar w:top="1474" w:right="1588" w:bottom="1276" w:left="1588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  <w:szCs w:val="24"/>
        </w:rPr>
        <w:t>评分人签名：</w:t>
      </w:r>
    </w:p>
    <w:p>
      <w:pPr>
        <w:keepNext w:val="0"/>
        <w:keepLines w:val="0"/>
        <w:pageBreakBefore w:val="0"/>
        <w:widowControl w:val="0"/>
        <w:tabs>
          <w:tab w:val="left" w:pos="-540"/>
          <w:tab w:val="left" w:pos="-360"/>
          <w:tab w:val="left" w:pos="-180"/>
          <w:tab w:val="left" w:pos="18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59"/>
        <w:jc w:val="left"/>
        <w:textAlignment w:val="auto"/>
        <w:outlineLvl w:val="9"/>
        <w:rPr>
          <w:rFonts w:hint="default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tabs>
          <w:tab w:val="left" w:pos="-540"/>
          <w:tab w:val="left" w:pos="-360"/>
          <w:tab w:val="left" w:pos="-180"/>
          <w:tab w:val="left" w:pos="18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59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江门市社会保险基金管理局后勤保障服务项目季</w:t>
      </w:r>
      <w:r>
        <w:rPr>
          <w:rFonts w:hint="eastAsia" w:ascii="宋体" w:hAnsi="宋体" w:eastAsia="宋体" w:cs="Times New Roman"/>
          <w:b/>
          <w:sz w:val="32"/>
          <w:szCs w:val="32"/>
        </w:rPr>
        <w:t>度考核确认表</w:t>
      </w:r>
    </w:p>
    <w:p>
      <w:pPr>
        <w:keepNext w:val="0"/>
        <w:keepLines w:val="0"/>
        <w:pageBreakBefore w:val="0"/>
        <w:widowControl w:val="0"/>
        <w:tabs>
          <w:tab w:val="left" w:pos="-540"/>
          <w:tab w:val="left" w:pos="-360"/>
          <w:tab w:val="left" w:pos="-180"/>
          <w:tab w:val="left" w:pos="18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59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（202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第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季度）</w:t>
      </w:r>
    </w:p>
    <w:tbl>
      <w:tblPr>
        <w:tblStyle w:val="8"/>
        <w:tblW w:w="10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5529"/>
        <w:gridCol w:w="1260"/>
        <w:gridCol w:w="975"/>
        <w:gridCol w:w="9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针对问题（发现问题每次扣分值，扣完该项总分止，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（每发现一次不符合情况扣3分）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情况记录及扣分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评分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rPr>
          <w:trHeight w:val="3930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工作态度（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30分）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1.尊重他人，与同事和谐相处；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2.遵守单位纪律，不迟到早退，不无故旷工，着装得体，仪表端庄。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3.严格遵守单位规章制度，上班期间不闲聊，不睡觉，不做与工作无关的事情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做事不斤斤计较，无理不服从领导合理工作安排，对上级要求要积极响应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按需使用劳动用品，妥善保管劳动用具，不随意损坏或丢失。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节水节电，对工作中发现的问题不能视而不见，发现问题要及时上报，不浪费单位资源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服务质量（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50分）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区域地面卫生不干净、整洁，有垃圾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区域洗手间脏乱臭，地面积水未及时清洁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区域门窗、墙面、玻璃应干净明亮，不能有灰尘、痰迹等脏污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4.区域电梯间保持干净卫生、无异味；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5.定时巡视垃圾桶，垃圾桶保持表面清洁，无污垢，并及时清理垃圾按要求分类并放到规定安置点；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6.按期做好卫生消杀；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7.做好门前三包，无投诉。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2165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其他服务保障（20分）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突发卫生事件，及时到达现场清洁；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及时打扫会议室，不影响会议召开；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上级交办的其他合理事项。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ascii="仿宋_GB2312" w:hAnsi="宋体" w:eastAsia="仿宋_GB2312"/>
          <w:sz w:val="32"/>
          <w:szCs w:val="32"/>
        </w:rPr>
      </w:pPr>
    </w:p>
    <w:sectPr>
      <w:pgSz w:w="12240" w:h="15840"/>
      <w:pgMar w:top="1440" w:right="1134" w:bottom="1440" w:left="1134" w:header="720" w:footer="720" w:gutter="0"/>
      <w:paperSrc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80C87"/>
    <w:multiLevelType w:val="singleLevel"/>
    <w:tmpl w:val="FD580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NjY5ZmM0YjExZDM4YzYyNDU3YjMzMTA0OTkzMjAifQ=="/>
  </w:docVars>
  <w:rsids>
    <w:rsidRoot w:val="0093327D"/>
    <w:rsid w:val="00005AD5"/>
    <w:rsid w:val="0003358D"/>
    <w:rsid w:val="00053B18"/>
    <w:rsid w:val="00053C50"/>
    <w:rsid w:val="000D7B2B"/>
    <w:rsid w:val="000E190F"/>
    <w:rsid w:val="000E41B4"/>
    <w:rsid w:val="000F1526"/>
    <w:rsid w:val="00134DEA"/>
    <w:rsid w:val="00143736"/>
    <w:rsid w:val="0015377E"/>
    <w:rsid w:val="00160E9C"/>
    <w:rsid w:val="0016366A"/>
    <w:rsid w:val="00164736"/>
    <w:rsid w:val="001652C0"/>
    <w:rsid w:val="00185B0E"/>
    <w:rsid w:val="00194E73"/>
    <w:rsid w:val="001C1902"/>
    <w:rsid w:val="001C292F"/>
    <w:rsid w:val="001D0BEB"/>
    <w:rsid w:val="001D282E"/>
    <w:rsid w:val="001D32D4"/>
    <w:rsid w:val="001D65C3"/>
    <w:rsid w:val="001D6DB0"/>
    <w:rsid w:val="001F2C69"/>
    <w:rsid w:val="001F48EA"/>
    <w:rsid w:val="001F5894"/>
    <w:rsid w:val="002000E7"/>
    <w:rsid w:val="00223184"/>
    <w:rsid w:val="00224D36"/>
    <w:rsid w:val="00231121"/>
    <w:rsid w:val="00237CAF"/>
    <w:rsid w:val="00264BE5"/>
    <w:rsid w:val="00273F7E"/>
    <w:rsid w:val="002766F4"/>
    <w:rsid w:val="00290E47"/>
    <w:rsid w:val="002A0958"/>
    <w:rsid w:val="002D22F5"/>
    <w:rsid w:val="002E1FA7"/>
    <w:rsid w:val="00303337"/>
    <w:rsid w:val="003150E6"/>
    <w:rsid w:val="00322FAF"/>
    <w:rsid w:val="003467C5"/>
    <w:rsid w:val="003477F6"/>
    <w:rsid w:val="0035125E"/>
    <w:rsid w:val="00361998"/>
    <w:rsid w:val="00374629"/>
    <w:rsid w:val="00375025"/>
    <w:rsid w:val="00386F4B"/>
    <w:rsid w:val="003975C7"/>
    <w:rsid w:val="003D4E4C"/>
    <w:rsid w:val="003F600E"/>
    <w:rsid w:val="004061A6"/>
    <w:rsid w:val="00410C3C"/>
    <w:rsid w:val="00424E83"/>
    <w:rsid w:val="00450FC1"/>
    <w:rsid w:val="0045625E"/>
    <w:rsid w:val="00481830"/>
    <w:rsid w:val="004B105E"/>
    <w:rsid w:val="005039E5"/>
    <w:rsid w:val="00513886"/>
    <w:rsid w:val="00520CCC"/>
    <w:rsid w:val="005328AF"/>
    <w:rsid w:val="0055430D"/>
    <w:rsid w:val="0056501F"/>
    <w:rsid w:val="005728A1"/>
    <w:rsid w:val="0058095A"/>
    <w:rsid w:val="00581A5F"/>
    <w:rsid w:val="00582F81"/>
    <w:rsid w:val="005A347F"/>
    <w:rsid w:val="005B40A5"/>
    <w:rsid w:val="005B4AC9"/>
    <w:rsid w:val="005B5471"/>
    <w:rsid w:val="005B73E8"/>
    <w:rsid w:val="005D741E"/>
    <w:rsid w:val="005E1B10"/>
    <w:rsid w:val="005F1D33"/>
    <w:rsid w:val="005F490E"/>
    <w:rsid w:val="005F5C30"/>
    <w:rsid w:val="00601114"/>
    <w:rsid w:val="006066FD"/>
    <w:rsid w:val="0060704F"/>
    <w:rsid w:val="00616F1C"/>
    <w:rsid w:val="0062124C"/>
    <w:rsid w:val="00635D62"/>
    <w:rsid w:val="00666302"/>
    <w:rsid w:val="006875F1"/>
    <w:rsid w:val="0069438F"/>
    <w:rsid w:val="00695B94"/>
    <w:rsid w:val="006A04C1"/>
    <w:rsid w:val="006A7FB7"/>
    <w:rsid w:val="006B1135"/>
    <w:rsid w:val="006B349C"/>
    <w:rsid w:val="006D14BE"/>
    <w:rsid w:val="006D261E"/>
    <w:rsid w:val="006D29FA"/>
    <w:rsid w:val="006D32DE"/>
    <w:rsid w:val="006E3CE9"/>
    <w:rsid w:val="0070309B"/>
    <w:rsid w:val="00706A3D"/>
    <w:rsid w:val="00711AB7"/>
    <w:rsid w:val="00727BB4"/>
    <w:rsid w:val="00732928"/>
    <w:rsid w:val="00795A08"/>
    <w:rsid w:val="007976EB"/>
    <w:rsid w:val="007A0B36"/>
    <w:rsid w:val="007B56A0"/>
    <w:rsid w:val="007B581F"/>
    <w:rsid w:val="007B6904"/>
    <w:rsid w:val="007C7AE5"/>
    <w:rsid w:val="007E5732"/>
    <w:rsid w:val="007F6C7E"/>
    <w:rsid w:val="008047B7"/>
    <w:rsid w:val="00871D82"/>
    <w:rsid w:val="008759FE"/>
    <w:rsid w:val="00881DD4"/>
    <w:rsid w:val="00884A65"/>
    <w:rsid w:val="008A6C6E"/>
    <w:rsid w:val="008B0B2D"/>
    <w:rsid w:val="008C3028"/>
    <w:rsid w:val="008D6DDF"/>
    <w:rsid w:val="00906D12"/>
    <w:rsid w:val="00914B80"/>
    <w:rsid w:val="009177A5"/>
    <w:rsid w:val="0093327D"/>
    <w:rsid w:val="009332DD"/>
    <w:rsid w:val="00970522"/>
    <w:rsid w:val="00980666"/>
    <w:rsid w:val="00982FEA"/>
    <w:rsid w:val="009A6F1A"/>
    <w:rsid w:val="00A06A4C"/>
    <w:rsid w:val="00A155F6"/>
    <w:rsid w:val="00A17416"/>
    <w:rsid w:val="00A20EC3"/>
    <w:rsid w:val="00A225ED"/>
    <w:rsid w:val="00A321ED"/>
    <w:rsid w:val="00A336F7"/>
    <w:rsid w:val="00A35432"/>
    <w:rsid w:val="00A40CB7"/>
    <w:rsid w:val="00A556A3"/>
    <w:rsid w:val="00A6065D"/>
    <w:rsid w:val="00A644C3"/>
    <w:rsid w:val="00A818E5"/>
    <w:rsid w:val="00A81A65"/>
    <w:rsid w:val="00AB1618"/>
    <w:rsid w:val="00AB5C4C"/>
    <w:rsid w:val="00AC3F3E"/>
    <w:rsid w:val="00AC5889"/>
    <w:rsid w:val="00B46AA1"/>
    <w:rsid w:val="00B47AB9"/>
    <w:rsid w:val="00B715FB"/>
    <w:rsid w:val="00B803FC"/>
    <w:rsid w:val="00B97D43"/>
    <w:rsid w:val="00BA2526"/>
    <w:rsid w:val="00BC0C15"/>
    <w:rsid w:val="00BC12BF"/>
    <w:rsid w:val="00BD360A"/>
    <w:rsid w:val="00C33B08"/>
    <w:rsid w:val="00C40E32"/>
    <w:rsid w:val="00C47E71"/>
    <w:rsid w:val="00C5280A"/>
    <w:rsid w:val="00C62161"/>
    <w:rsid w:val="00C64667"/>
    <w:rsid w:val="00C65044"/>
    <w:rsid w:val="00C6596D"/>
    <w:rsid w:val="00C66827"/>
    <w:rsid w:val="00C76848"/>
    <w:rsid w:val="00C82C07"/>
    <w:rsid w:val="00C96F45"/>
    <w:rsid w:val="00CA145F"/>
    <w:rsid w:val="00CB0014"/>
    <w:rsid w:val="00CD4A9E"/>
    <w:rsid w:val="00CE598B"/>
    <w:rsid w:val="00CF49EA"/>
    <w:rsid w:val="00D13D61"/>
    <w:rsid w:val="00D16D4D"/>
    <w:rsid w:val="00D44298"/>
    <w:rsid w:val="00D50EFA"/>
    <w:rsid w:val="00D81DCB"/>
    <w:rsid w:val="00DA25A9"/>
    <w:rsid w:val="00DD0D52"/>
    <w:rsid w:val="00DE06AD"/>
    <w:rsid w:val="00DE473D"/>
    <w:rsid w:val="00E00565"/>
    <w:rsid w:val="00E05618"/>
    <w:rsid w:val="00E06FAD"/>
    <w:rsid w:val="00E31CEA"/>
    <w:rsid w:val="00E47EF5"/>
    <w:rsid w:val="00E71086"/>
    <w:rsid w:val="00E879AE"/>
    <w:rsid w:val="00EB3F3B"/>
    <w:rsid w:val="00EB554D"/>
    <w:rsid w:val="00F041DC"/>
    <w:rsid w:val="00F10F75"/>
    <w:rsid w:val="00F27F20"/>
    <w:rsid w:val="00F40C05"/>
    <w:rsid w:val="00F6462E"/>
    <w:rsid w:val="00F726DE"/>
    <w:rsid w:val="00FB7BD2"/>
    <w:rsid w:val="00FD6509"/>
    <w:rsid w:val="00FF3F3E"/>
    <w:rsid w:val="017C79B0"/>
    <w:rsid w:val="03005BC5"/>
    <w:rsid w:val="041538CD"/>
    <w:rsid w:val="058D218D"/>
    <w:rsid w:val="097D4274"/>
    <w:rsid w:val="09B67145"/>
    <w:rsid w:val="0AE62E6C"/>
    <w:rsid w:val="0E765D3B"/>
    <w:rsid w:val="0EFF3203"/>
    <w:rsid w:val="126B02BD"/>
    <w:rsid w:val="14E67110"/>
    <w:rsid w:val="15E102C7"/>
    <w:rsid w:val="17A403D3"/>
    <w:rsid w:val="282656A6"/>
    <w:rsid w:val="2940021B"/>
    <w:rsid w:val="29F47806"/>
    <w:rsid w:val="2AB44021"/>
    <w:rsid w:val="2B7859DB"/>
    <w:rsid w:val="2C2B0F67"/>
    <w:rsid w:val="2CAA08FE"/>
    <w:rsid w:val="2CCA6BCB"/>
    <w:rsid w:val="2DD1B313"/>
    <w:rsid w:val="2DE247A7"/>
    <w:rsid w:val="2DF585AF"/>
    <w:rsid w:val="2FAFF7E7"/>
    <w:rsid w:val="2FEF628F"/>
    <w:rsid w:val="30AF25B5"/>
    <w:rsid w:val="31006C96"/>
    <w:rsid w:val="32A1693A"/>
    <w:rsid w:val="375E6194"/>
    <w:rsid w:val="37B6872D"/>
    <w:rsid w:val="37DBCF5C"/>
    <w:rsid w:val="37F737FF"/>
    <w:rsid w:val="39BD7262"/>
    <w:rsid w:val="3BEB1163"/>
    <w:rsid w:val="3BFEE627"/>
    <w:rsid w:val="3DF76B96"/>
    <w:rsid w:val="3DFFFC38"/>
    <w:rsid w:val="3E6E20DC"/>
    <w:rsid w:val="3F450419"/>
    <w:rsid w:val="3F7FBABE"/>
    <w:rsid w:val="3FEF169A"/>
    <w:rsid w:val="3FF7988B"/>
    <w:rsid w:val="3FFFB7B4"/>
    <w:rsid w:val="3FFFC6E6"/>
    <w:rsid w:val="41CE5C1F"/>
    <w:rsid w:val="4338249E"/>
    <w:rsid w:val="43D51E9C"/>
    <w:rsid w:val="45CD1D5C"/>
    <w:rsid w:val="46293B19"/>
    <w:rsid w:val="47AD5384"/>
    <w:rsid w:val="47FF6212"/>
    <w:rsid w:val="4A3243E0"/>
    <w:rsid w:val="4B2A7221"/>
    <w:rsid w:val="4C1F5716"/>
    <w:rsid w:val="4CD133B7"/>
    <w:rsid w:val="4CF5BAE1"/>
    <w:rsid w:val="4DBD9BFC"/>
    <w:rsid w:val="4FF781D2"/>
    <w:rsid w:val="5229176C"/>
    <w:rsid w:val="5238FB48"/>
    <w:rsid w:val="53091010"/>
    <w:rsid w:val="548141F6"/>
    <w:rsid w:val="54CA3FEB"/>
    <w:rsid w:val="5560308E"/>
    <w:rsid w:val="55B07FD5"/>
    <w:rsid w:val="56542C98"/>
    <w:rsid w:val="577F2DCE"/>
    <w:rsid w:val="57BB6FF5"/>
    <w:rsid w:val="57F67217"/>
    <w:rsid w:val="5A3D1F64"/>
    <w:rsid w:val="5A7A1FED"/>
    <w:rsid w:val="5A831869"/>
    <w:rsid w:val="5CDF5710"/>
    <w:rsid w:val="5CFBC916"/>
    <w:rsid w:val="5D9A6238"/>
    <w:rsid w:val="5DA924D7"/>
    <w:rsid w:val="5DDD02B7"/>
    <w:rsid w:val="5DFE575C"/>
    <w:rsid w:val="5E1F9144"/>
    <w:rsid w:val="5EA81F88"/>
    <w:rsid w:val="5EFB70EA"/>
    <w:rsid w:val="5F7E288D"/>
    <w:rsid w:val="5F9E76CE"/>
    <w:rsid w:val="5FBDF64F"/>
    <w:rsid w:val="5FEE3F5A"/>
    <w:rsid w:val="62CA5514"/>
    <w:rsid w:val="636FAD77"/>
    <w:rsid w:val="63A422E0"/>
    <w:rsid w:val="63A83301"/>
    <w:rsid w:val="67D5BFF6"/>
    <w:rsid w:val="69113B15"/>
    <w:rsid w:val="69FB8FD8"/>
    <w:rsid w:val="6B9779F7"/>
    <w:rsid w:val="6D804F90"/>
    <w:rsid w:val="6F0C73C2"/>
    <w:rsid w:val="6F7B4A94"/>
    <w:rsid w:val="6F979B87"/>
    <w:rsid w:val="6FFF923B"/>
    <w:rsid w:val="727B2EA9"/>
    <w:rsid w:val="73460CA9"/>
    <w:rsid w:val="74430226"/>
    <w:rsid w:val="744327BE"/>
    <w:rsid w:val="74F2557B"/>
    <w:rsid w:val="75680A5D"/>
    <w:rsid w:val="75FD8A45"/>
    <w:rsid w:val="75FE9EDB"/>
    <w:rsid w:val="76936D73"/>
    <w:rsid w:val="76A659BB"/>
    <w:rsid w:val="775F4469"/>
    <w:rsid w:val="777BA800"/>
    <w:rsid w:val="78713058"/>
    <w:rsid w:val="78EC508C"/>
    <w:rsid w:val="795801EC"/>
    <w:rsid w:val="79F8AF57"/>
    <w:rsid w:val="7A033350"/>
    <w:rsid w:val="7A280DDD"/>
    <w:rsid w:val="7AFFFEA8"/>
    <w:rsid w:val="7BDE9860"/>
    <w:rsid w:val="7BF7F822"/>
    <w:rsid w:val="7BF9EBAC"/>
    <w:rsid w:val="7BFBD6B3"/>
    <w:rsid w:val="7BFF2288"/>
    <w:rsid w:val="7C5D5BE0"/>
    <w:rsid w:val="7CD21B89"/>
    <w:rsid w:val="7DBD97CA"/>
    <w:rsid w:val="7DD71BBF"/>
    <w:rsid w:val="7DF05505"/>
    <w:rsid w:val="7DFDECE8"/>
    <w:rsid w:val="7E7B9521"/>
    <w:rsid w:val="7EDC7172"/>
    <w:rsid w:val="7EEB8AFA"/>
    <w:rsid w:val="7F14602A"/>
    <w:rsid w:val="7F3870A8"/>
    <w:rsid w:val="7F532755"/>
    <w:rsid w:val="7FB35C9A"/>
    <w:rsid w:val="7FC51226"/>
    <w:rsid w:val="7FE1C013"/>
    <w:rsid w:val="7FFEDFC6"/>
    <w:rsid w:val="7FFFA1FA"/>
    <w:rsid w:val="9A7F062C"/>
    <w:rsid w:val="9BE888C8"/>
    <w:rsid w:val="9DFE8126"/>
    <w:rsid w:val="9EEEF2F8"/>
    <w:rsid w:val="A5BD4992"/>
    <w:rsid w:val="A5FB7D1E"/>
    <w:rsid w:val="ABEDE6C3"/>
    <w:rsid w:val="AC509FE1"/>
    <w:rsid w:val="AEFFA962"/>
    <w:rsid w:val="AF37C867"/>
    <w:rsid w:val="AFDBC905"/>
    <w:rsid w:val="B6CF9173"/>
    <w:rsid w:val="B77FE989"/>
    <w:rsid w:val="B95D635C"/>
    <w:rsid w:val="BDCF2346"/>
    <w:rsid w:val="BF7F7BD8"/>
    <w:rsid w:val="BFF7DE76"/>
    <w:rsid w:val="CCEB80E9"/>
    <w:rsid w:val="CDDD8867"/>
    <w:rsid w:val="CFFBF63C"/>
    <w:rsid w:val="CFFECA9B"/>
    <w:rsid w:val="D596A7EC"/>
    <w:rsid w:val="DB8EB302"/>
    <w:rsid w:val="DCBFBE08"/>
    <w:rsid w:val="DE7E095C"/>
    <w:rsid w:val="DF329BC2"/>
    <w:rsid w:val="DF7D3C55"/>
    <w:rsid w:val="DFC23F30"/>
    <w:rsid w:val="E37FD7BD"/>
    <w:rsid w:val="E5EB11C6"/>
    <w:rsid w:val="E7EEA624"/>
    <w:rsid w:val="EAFF5ECE"/>
    <w:rsid w:val="EBD834F6"/>
    <w:rsid w:val="EDFF0023"/>
    <w:rsid w:val="EEFFDFC1"/>
    <w:rsid w:val="F4FE2DC8"/>
    <w:rsid w:val="F73104ED"/>
    <w:rsid w:val="F767E704"/>
    <w:rsid w:val="F776396A"/>
    <w:rsid w:val="F7789868"/>
    <w:rsid w:val="F77A4A59"/>
    <w:rsid w:val="F7FE244F"/>
    <w:rsid w:val="F7FEB243"/>
    <w:rsid w:val="F7FFBC3A"/>
    <w:rsid w:val="F9EEED6D"/>
    <w:rsid w:val="FA6B4F1C"/>
    <w:rsid w:val="FA8D7B22"/>
    <w:rsid w:val="FAF315E2"/>
    <w:rsid w:val="FAFE4BE0"/>
    <w:rsid w:val="FBDF779E"/>
    <w:rsid w:val="FDE9E53F"/>
    <w:rsid w:val="FE3FEBA9"/>
    <w:rsid w:val="FEBF4514"/>
    <w:rsid w:val="FEF7DA92"/>
    <w:rsid w:val="FEFBB4C2"/>
    <w:rsid w:val="FF3A1B69"/>
    <w:rsid w:val="FF5F66BC"/>
    <w:rsid w:val="FF5FEBE2"/>
    <w:rsid w:val="FFBCE6D5"/>
    <w:rsid w:val="FFC52655"/>
    <w:rsid w:val="FFDEE255"/>
    <w:rsid w:val="FFE5FC3E"/>
    <w:rsid w:val="FFED6149"/>
    <w:rsid w:val="FFEF0A2C"/>
    <w:rsid w:val="FFEFB5F8"/>
    <w:rsid w:val="FFFE762D"/>
    <w:rsid w:val="FFFF0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  <w:rPr>
      <w:rFonts w:ascii="Times New Roman" w:hAnsi="Times New Roman"/>
      <w:sz w:val="24"/>
      <w:szCs w:val="24"/>
    </w:rPr>
  </w:style>
  <w:style w:type="paragraph" w:styleId="3">
    <w:name w:val="Plain Text"/>
    <w:basedOn w:val="1"/>
    <w:link w:val="12"/>
    <w:uiPriority w:val="0"/>
    <w:rPr>
      <w:rFonts w:ascii="宋体" w:hAnsi="Courier New"/>
      <w:sz w:val="22"/>
      <w:szCs w:val="20"/>
    </w:rPr>
  </w:style>
  <w:style w:type="paragraph" w:styleId="4">
    <w:name w:val="Balloon Text"/>
    <w:basedOn w:val="1"/>
    <w:link w:val="13"/>
    <w:semiHidden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批注文字 Char"/>
    <w:link w:val="2"/>
    <w:locked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2">
    <w:name w:val="纯文本 Char"/>
    <w:link w:val="3"/>
    <w:locked/>
    <w:uiPriority w:val="0"/>
    <w:rPr>
      <w:rFonts w:ascii="宋体" w:hAnsi="Courier New"/>
      <w:kern w:val="2"/>
      <w:sz w:val="22"/>
    </w:rPr>
  </w:style>
  <w:style w:type="character" w:customStyle="1" w:styleId="13">
    <w:name w:val="批注框文本 Char"/>
    <w:link w:val="4"/>
    <w:semiHidden/>
    <w:locked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link w:val="5"/>
    <w:locked/>
    <w:uiPriority w:val="0"/>
    <w:rPr>
      <w:rFonts w:cs="Times New Roman"/>
      <w:sz w:val="18"/>
      <w:szCs w:val="18"/>
    </w:rPr>
  </w:style>
  <w:style w:type="character" w:customStyle="1" w:styleId="15">
    <w:name w:val="页眉 Char"/>
    <w:link w:val="6"/>
    <w:locked/>
    <w:uiPriority w:val="0"/>
    <w:rPr>
      <w:rFonts w:cs="Times New Roman"/>
      <w:sz w:val="18"/>
      <w:szCs w:val="18"/>
    </w:rPr>
  </w:style>
  <w:style w:type="character" w:customStyle="1" w:styleId="16">
    <w:name w:val="纯文本 Char1"/>
    <w:semiHidden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15</Pages>
  <Words>8087</Words>
  <Characters>8319</Characters>
  <Lines>42</Lines>
  <Paragraphs>12</Paragraphs>
  <TotalTime>33.6666666666667</TotalTime>
  <ScaleCrop>false</ScaleCrop>
  <LinksUpToDate>false</LinksUpToDate>
  <CharactersWithSpaces>8463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2022-03-06T19:57:00Z</dcterms:created>
  <dc:creator>陈军文</dc:creator>
  <cp:lastModifiedBy>刘嘉敏</cp:lastModifiedBy>
  <cp:lastPrinted>2024-05-03T17:27:03Z</cp:lastPrinted>
  <dcterms:modified xsi:type="dcterms:W3CDTF">2025-09-01T11:02:24Z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E27EF08166F7AD4F2BF2B468BDA94802</vt:lpwstr>
  </property>
  <property fmtid="{D5CDD505-2E9C-101B-9397-08002B2CF9AE}" pid="4" name="KSOTemplateDocerSaveRecord">
    <vt:lpwstr>eyJoZGlkIjoiODQyNjY5ZmM0YjExZDM4YzYyNDU3YjMzMTA0OTkzMjAiLCJ1c2VySWQiOiIxMDgwMzc0MzM2In0=</vt:lpwstr>
  </property>
</Properties>
</file>