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7E6E">
      <w:pPr>
        <w:spacing w:line="520" w:lineRule="exact"/>
        <w:jc w:val="left"/>
        <w:rPr>
          <w:rFonts w:ascii="Times New Roman" w:hAnsi="Times New Roman" w:eastAsia="仿宋_GB2312"/>
          <w:sz w:val="30"/>
          <w:szCs w:val="24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附件2</w:t>
      </w:r>
    </w:p>
    <w:p w14:paraId="277278DA">
      <w:pPr>
        <w:jc w:val="center"/>
        <w:rPr>
          <w:rFonts w:ascii="华文中宋" w:hAnsi="华文中宋" w:eastAsia="华文中宋" w:cs="宋体"/>
          <w:b/>
          <w:kern w:val="0"/>
          <w:sz w:val="32"/>
          <w:szCs w:val="32"/>
          <w:lang w:val="en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lang w:val="en"/>
        </w:rPr>
        <w:t>评分表</w:t>
      </w:r>
    </w:p>
    <w:bookmarkEnd w:id="0"/>
    <w:tbl>
      <w:tblPr>
        <w:tblStyle w:val="5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74"/>
        <w:gridCol w:w="6027"/>
        <w:gridCol w:w="662"/>
      </w:tblGrid>
      <w:tr w14:paraId="400F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tblHeader/>
          <w:jc w:val="center"/>
        </w:trPr>
        <w:tc>
          <w:tcPr>
            <w:tcW w:w="300" w:type="pct"/>
            <w:vAlign w:val="center"/>
          </w:tcPr>
          <w:p w14:paraId="6DB4737C"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941" w:type="pct"/>
            <w:vAlign w:val="center"/>
          </w:tcPr>
          <w:p w14:paraId="4E3188A4"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评分项目及权重</w:t>
            </w:r>
          </w:p>
        </w:tc>
        <w:tc>
          <w:tcPr>
            <w:tcW w:w="3387" w:type="pct"/>
            <w:vAlign w:val="center"/>
          </w:tcPr>
          <w:p w14:paraId="1FC7077F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评分标准</w:t>
            </w:r>
          </w:p>
        </w:tc>
        <w:tc>
          <w:tcPr>
            <w:tcW w:w="372" w:type="pct"/>
            <w:vAlign w:val="center"/>
          </w:tcPr>
          <w:p w14:paraId="161876B3">
            <w:pPr>
              <w:pStyle w:val="4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得分</w:t>
            </w:r>
          </w:p>
        </w:tc>
      </w:tr>
      <w:tr w14:paraId="74BA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5000" w:type="pct"/>
            <w:gridSpan w:val="4"/>
            <w:vAlign w:val="center"/>
          </w:tcPr>
          <w:p w14:paraId="29DB9073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一、技术部分 （40分）</w:t>
            </w:r>
          </w:p>
        </w:tc>
      </w:tr>
      <w:tr w14:paraId="5A38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300" w:type="pct"/>
            <w:vAlign w:val="center"/>
          </w:tcPr>
          <w:p w14:paraId="4EAF16B9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941" w:type="pct"/>
            <w:vAlign w:val="center"/>
          </w:tcPr>
          <w:p w14:paraId="193B8C13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实施方案</w:t>
            </w:r>
          </w:p>
          <w:p w14:paraId="36F376D2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（15分）</w:t>
            </w:r>
          </w:p>
        </w:tc>
        <w:tc>
          <w:tcPr>
            <w:tcW w:w="3387" w:type="pct"/>
            <w:vAlign w:val="center"/>
          </w:tcPr>
          <w:p w14:paraId="0A195581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1.项目实施方案对项目要求分析准确，具体方案全面、详细合理；服务实施流程科学、可行、完全满足用户需求; 项目管理及进度安排完善、具体、全面，得15分；</w:t>
            </w:r>
          </w:p>
          <w:p w14:paraId="6B6D5C6A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2.对项目要求分析较准确，具体方案较全面、较合理；服务实施流程较可行、满足用户需求; 项目管理及进度安排较完善，得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31C95E0E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3.对项目要求分析一般，具体方案不够全面、合理；服务实施流程有一定可行性、基本满足用户需求；项目管理及进度安排基本完善，得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7F3BA5E2">
            <w:pPr>
              <w:shd w:val="clear" w:color="auto" w:fill="FFFFFF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对项目要求分析较差；服务实施流程未能满足用户需求；项目管理及进度安排未够完善，得4分；</w:t>
            </w:r>
          </w:p>
          <w:p w14:paraId="1B3B6D10">
            <w:pPr>
              <w:shd w:val="clear" w:color="auto" w:fill="FFFFFF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5.无相关内容的，得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372" w:type="pct"/>
            <w:vAlign w:val="center"/>
          </w:tcPr>
          <w:p w14:paraId="525F3B33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81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  <w:jc w:val="center"/>
        </w:trPr>
        <w:tc>
          <w:tcPr>
            <w:tcW w:w="300" w:type="pct"/>
            <w:vAlign w:val="center"/>
          </w:tcPr>
          <w:p w14:paraId="5239359D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941" w:type="pct"/>
            <w:vAlign w:val="center"/>
          </w:tcPr>
          <w:p w14:paraId="20F5E19D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质量控制措施（15分）</w:t>
            </w:r>
          </w:p>
        </w:tc>
        <w:tc>
          <w:tcPr>
            <w:tcW w:w="3387" w:type="pct"/>
            <w:vAlign w:val="center"/>
          </w:tcPr>
          <w:p w14:paraId="593908C1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1.针对本项目有提供完善到位的质量保证和质量控制措施，制定质量控制方案，方案完全满足本项目要求的，得15分；</w:t>
            </w:r>
          </w:p>
          <w:p w14:paraId="43D1FEEB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2.针对本项目有提供较完善到位的质量保证和质量控制措施，制定质量控制方案，方案较能满足本项目要求的，得12分；</w:t>
            </w:r>
          </w:p>
          <w:p w14:paraId="02DF8102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3.针对本项目提供的质量保证和质量控制措施一般，制定质量控制方案，方案基本能满足本项目要求的，得8分；</w:t>
            </w:r>
          </w:p>
          <w:p w14:paraId="5D0E595B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4.针对本项目提供的质量保证和质量控制措施不够完善，制定质量控制方案，方案未能满足本项目要求的，得4分；</w:t>
            </w:r>
          </w:p>
          <w:p w14:paraId="2013CD00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5.无相关内容的，得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372" w:type="pct"/>
            <w:vAlign w:val="center"/>
          </w:tcPr>
          <w:p w14:paraId="4DE4B23F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D3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300" w:type="pct"/>
            <w:vAlign w:val="center"/>
          </w:tcPr>
          <w:p w14:paraId="5995804B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941" w:type="pct"/>
            <w:vAlign w:val="center"/>
          </w:tcPr>
          <w:p w14:paraId="543EEB6D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服务保障措施（10分）</w:t>
            </w:r>
          </w:p>
        </w:tc>
        <w:tc>
          <w:tcPr>
            <w:tcW w:w="3387" w:type="pct"/>
            <w:vAlign w:val="center"/>
          </w:tcPr>
          <w:p w14:paraId="3B29827E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1.服务保障措施详细可行，符合项目实际要求，得10分；</w:t>
            </w:r>
          </w:p>
          <w:p w14:paraId="07EE8806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2.服务保障措施较为详细可行，较为符合项目实际要求，得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625F5488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3.服务保障措施基本可行，基本符合项目实际要求，得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31F0E368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4.服务保障措施较差，未能符合项目实际要求，得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6AB90D50">
            <w:pPr>
              <w:pStyle w:val="4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5.无相关内容的，得</w:t>
            </w:r>
            <w:r>
              <w:rPr>
                <w:rFonts w:ascii="仿宋_GB2312" w:hAnsi="宋体" w:eastAsia="仿宋_GB2312" w:cs="宋体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分。</w:t>
            </w:r>
          </w:p>
        </w:tc>
        <w:tc>
          <w:tcPr>
            <w:tcW w:w="372" w:type="pct"/>
            <w:vAlign w:val="center"/>
          </w:tcPr>
          <w:p w14:paraId="0B8AF849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9A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0" w:type="pct"/>
            <w:gridSpan w:val="4"/>
            <w:vAlign w:val="center"/>
          </w:tcPr>
          <w:p w14:paraId="189774C7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二、商务部分 （45分）</w:t>
            </w:r>
          </w:p>
        </w:tc>
      </w:tr>
      <w:tr w14:paraId="20C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300" w:type="pct"/>
            <w:vMerge w:val="restart"/>
            <w:vAlign w:val="center"/>
          </w:tcPr>
          <w:p w14:paraId="1BA40442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4</w:t>
            </w:r>
          </w:p>
        </w:tc>
        <w:tc>
          <w:tcPr>
            <w:tcW w:w="941" w:type="pct"/>
            <w:vMerge w:val="restart"/>
            <w:vAlign w:val="center"/>
          </w:tcPr>
          <w:p w14:paraId="2022B8EE">
            <w:pPr>
              <w:snapToGrid w:val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团队能力</w:t>
            </w:r>
          </w:p>
          <w:p w14:paraId="6757C859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（25分）</w:t>
            </w:r>
          </w:p>
        </w:tc>
        <w:tc>
          <w:tcPr>
            <w:tcW w:w="3387" w:type="pct"/>
            <w:vAlign w:val="center"/>
          </w:tcPr>
          <w:p w14:paraId="28B4BD13">
            <w:pPr>
              <w:pStyle w:val="4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（1）响应单位有完善的组织架构，得5分；次得3分；无得0分。</w:t>
            </w:r>
          </w:p>
        </w:tc>
        <w:tc>
          <w:tcPr>
            <w:tcW w:w="372" w:type="pct"/>
            <w:vAlign w:val="center"/>
          </w:tcPr>
          <w:p w14:paraId="38000E1A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B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300" w:type="pct"/>
            <w:vMerge w:val="continue"/>
            <w:vAlign w:val="center"/>
          </w:tcPr>
          <w:p w14:paraId="3736E444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941" w:type="pct"/>
            <w:vMerge w:val="continue"/>
            <w:vAlign w:val="center"/>
          </w:tcPr>
          <w:p w14:paraId="4FA5F6B8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3387" w:type="pct"/>
            <w:vAlign w:val="center"/>
          </w:tcPr>
          <w:p w14:paraId="6BFD1BA7">
            <w:pPr>
              <w:pStyle w:val="4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（1）拟委派的项目负责人，具有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副高及以上职称的，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得6分；在此基础上，具备2年或以上环保项目入库工作经验得2分（工作单位出具工作情况承诺函），无得0 分。</w:t>
            </w:r>
          </w:p>
          <w:p w14:paraId="54D66B0E">
            <w:pPr>
              <w:pStyle w:val="4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（2）拟委派的技术人员（不含项目负责人），具有副高及以上职称的，每人得4分；中级职称的，每人得2分。（该小项总分不超过12分）</w:t>
            </w:r>
          </w:p>
          <w:p w14:paraId="5C6F8C2C">
            <w:pPr>
              <w:pStyle w:val="4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注：须提供上述（1）（2）人员相应技术职称证书复印件，自开标时间前3个月中任一月的在该供应商单位缴纳的社保证明复印件并加盖公章。</w:t>
            </w:r>
          </w:p>
        </w:tc>
        <w:tc>
          <w:tcPr>
            <w:tcW w:w="372" w:type="pct"/>
            <w:vAlign w:val="center"/>
          </w:tcPr>
          <w:p w14:paraId="6D1017B0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E7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300" w:type="pct"/>
            <w:vAlign w:val="center"/>
          </w:tcPr>
          <w:p w14:paraId="6014DF1C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5</w:t>
            </w:r>
          </w:p>
        </w:tc>
        <w:tc>
          <w:tcPr>
            <w:tcW w:w="941" w:type="pct"/>
            <w:vAlign w:val="center"/>
          </w:tcPr>
          <w:p w14:paraId="12E2DB7D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工作经验</w:t>
            </w:r>
          </w:p>
          <w:p w14:paraId="37BD5E94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3387" w:type="pct"/>
            <w:vAlign w:val="center"/>
          </w:tcPr>
          <w:p w14:paraId="3E120542">
            <w:pPr>
              <w:pStyle w:val="4"/>
              <w:snapToGrid w:val="0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投标人提供自2022年以来的同类型项目情况，包括但不限于资金谋划入库、申报、及编制项目实施方案的服务情况，每项得5分，本项最高得20分。（须提供合同复印件加盖公章）。</w:t>
            </w:r>
          </w:p>
        </w:tc>
        <w:tc>
          <w:tcPr>
            <w:tcW w:w="372" w:type="pct"/>
            <w:vAlign w:val="center"/>
          </w:tcPr>
          <w:p w14:paraId="179B66DF">
            <w:pPr>
              <w:pStyle w:val="4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27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5000" w:type="pct"/>
            <w:gridSpan w:val="4"/>
            <w:vAlign w:val="center"/>
          </w:tcPr>
          <w:p w14:paraId="2B536ED6">
            <w:pPr>
              <w:pStyle w:val="2"/>
              <w:snapToGrid w:val="0"/>
              <w:spacing w:line="240" w:lineRule="auto"/>
              <w:ind w:firstLine="422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三、价格部分（15分）</w:t>
            </w:r>
          </w:p>
        </w:tc>
      </w:tr>
      <w:tr w14:paraId="1D37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300" w:type="pct"/>
            <w:vAlign w:val="center"/>
          </w:tcPr>
          <w:p w14:paraId="1AB3B986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41" w:type="pct"/>
            <w:vAlign w:val="center"/>
          </w:tcPr>
          <w:p w14:paraId="16634CF4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价格评分</w:t>
            </w:r>
          </w:p>
          <w:p w14:paraId="2D08D543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（15分）</w:t>
            </w:r>
          </w:p>
        </w:tc>
        <w:tc>
          <w:tcPr>
            <w:tcW w:w="3387" w:type="pct"/>
            <w:vAlign w:val="center"/>
          </w:tcPr>
          <w:p w14:paraId="342D3A32"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snapToGrid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napToGrid/>
                <w:szCs w:val="24"/>
                <w:lang w:val="en-US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取满足采购文件要求且价格扣除后的最低投标报价作为评标基准价，其价格分为满分。其他供应商的价格分统一按照下列公式计算：价格扣除后的投标报价得分=（评标基准价/价格扣除后的投标报价）×10 </w:t>
            </w:r>
            <w:r>
              <w:rPr>
                <w:rFonts w:hint="eastAsia" w:ascii="仿宋_GB2312" w:hAnsi="宋体" w:eastAsia="仿宋_GB2312" w:cs="宋体"/>
                <w:snapToGrid/>
                <w:szCs w:val="24"/>
                <w:lang w:val="en-US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szCs w:val="24"/>
                <w:lang w:val="en-US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372" w:type="pct"/>
            <w:vAlign w:val="center"/>
          </w:tcPr>
          <w:p w14:paraId="6C1E653F"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 w14:paraId="36A2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241" w:type="pct"/>
            <w:gridSpan w:val="2"/>
            <w:vAlign w:val="center"/>
          </w:tcPr>
          <w:p w14:paraId="2FF4AFB9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综合得分</w:t>
            </w:r>
          </w:p>
        </w:tc>
        <w:tc>
          <w:tcPr>
            <w:tcW w:w="3387" w:type="pct"/>
            <w:vAlign w:val="center"/>
          </w:tcPr>
          <w:p w14:paraId="730DC0B5">
            <w:pPr>
              <w:pStyle w:val="4"/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——</w:t>
            </w:r>
          </w:p>
        </w:tc>
        <w:tc>
          <w:tcPr>
            <w:tcW w:w="372" w:type="pct"/>
            <w:vAlign w:val="center"/>
          </w:tcPr>
          <w:p w14:paraId="34C43F67"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仿宋" w:hAnsi="仿宋" w:eastAsia="仿宋"/>
                <w:szCs w:val="24"/>
              </w:rPr>
            </w:pPr>
          </w:p>
        </w:tc>
      </w:tr>
    </w:tbl>
    <w:p w14:paraId="5C307731"/>
    <w:p w14:paraId="3FF2E5AE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625FF497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12CBDD70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23126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027F"/>
    <w:rsid w:val="7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2025-08-27T09:31:00Z</dcterms:created>
  <dc:creator>李耀明</dc:creator>
  <cp:lastModifiedBy>李耀明</cp:lastModifiedBy>
  <dcterms:modified xsi:type="dcterms:W3CDTF">2025-08-27T09:31:18Z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2A424D2038A647B88344FB2C6502EAE9_11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