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E91FF">
      <w:pPr>
        <w:spacing w:line="520" w:lineRule="exact"/>
        <w:jc w:val="left"/>
        <w:rPr>
          <w:rFonts w:hint="default" w:ascii="Times New Roman" w:hAnsi="Times New Roman" w:eastAsia="方正黑体_GBK" w:cs="Times New Roman"/>
          <w:color w:val="auto"/>
          <w:sz w:val="30"/>
          <w:szCs w:val="30"/>
          <w:lang w:val="en"/>
        </w:rPr>
      </w:pPr>
      <w:r>
        <w:rPr>
          <w:rFonts w:hint="default" w:ascii="Times New Roman" w:hAnsi="Times New Roman" w:eastAsia="方正黑体_GBK" w:cs="Times New Roman"/>
          <w:color w:val="auto"/>
          <w:kern w:val="0"/>
          <w:sz w:val="30"/>
          <w:szCs w:val="30"/>
          <w:lang w:val="en"/>
        </w:rPr>
        <w:t>附件2</w:t>
      </w:r>
    </w:p>
    <w:p w14:paraId="19322272">
      <w:pPr>
        <w:spacing w:line="560" w:lineRule="exact"/>
        <w:jc w:val="center"/>
        <w:rPr>
          <w:rFonts w:hint="default" w:ascii="Times New Roman" w:hAnsi="Times New Roman" w:eastAsia="方正大标宋_GBK" w:cs="Times New Roman"/>
          <w:b w:val="0"/>
          <w:bCs/>
          <w:color w:val="auto"/>
          <w:kern w:val="0"/>
          <w:sz w:val="36"/>
          <w:szCs w:val="36"/>
          <w:lang w:val="en"/>
        </w:rPr>
      </w:pPr>
      <w:bookmarkStart w:id="0" w:name="_GoBack"/>
      <w:r>
        <w:rPr>
          <w:rFonts w:hint="default" w:ascii="Times New Roman" w:hAnsi="Times New Roman" w:eastAsia="方正大标宋_GBK" w:cs="Times New Roman"/>
          <w:b w:val="0"/>
          <w:bCs/>
          <w:color w:val="auto"/>
          <w:sz w:val="36"/>
          <w:szCs w:val="36"/>
          <w:lang w:val="en"/>
        </w:rPr>
        <w:t>评分表</w:t>
      </w:r>
      <w:bookmarkEnd w:id="0"/>
    </w:p>
    <w:tbl>
      <w:tblPr>
        <w:tblStyle w:val="5"/>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30"/>
        <w:gridCol w:w="7089"/>
        <w:gridCol w:w="520"/>
      </w:tblGrid>
      <w:tr w14:paraId="7D91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blHeader/>
          <w:jc w:val="center"/>
        </w:trPr>
        <w:tc>
          <w:tcPr>
            <w:tcW w:w="662" w:type="dxa"/>
            <w:noWrap w:val="0"/>
            <w:vAlign w:val="center"/>
          </w:tcPr>
          <w:p w14:paraId="4D4C6BCA">
            <w:pPr>
              <w:snapToGrid w:val="0"/>
              <w:jc w:val="center"/>
              <w:rPr>
                <w:rFonts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序号</w:t>
            </w:r>
          </w:p>
        </w:tc>
        <w:tc>
          <w:tcPr>
            <w:tcW w:w="1430" w:type="dxa"/>
            <w:noWrap w:val="0"/>
            <w:vAlign w:val="center"/>
          </w:tcPr>
          <w:p w14:paraId="53EE7D55">
            <w:pPr>
              <w:snapToGrid w:val="0"/>
              <w:jc w:val="center"/>
              <w:rPr>
                <w:rFonts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评分项目及权重</w:t>
            </w:r>
          </w:p>
        </w:tc>
        <w:tc>
          <w:tcPr>
            <w:tcW w:w="7089" w:type="dxa"/>
            <w:noWrap w:val="0"/>
            <w:vAlign w:val="center"/>
          </w:tcPr>
          <w:p w14:paraId="4290583A">
            <w:pPr>
              <w:pStyle w:val="4"/>
              <w:snapToGrid w:val="0"/>
              <w:jc w:val="center"/>
              <w:rPr>
                <w:rFonts w:ascii="Times New Roman" w:hAnsi="Times New Roman" w:eastAsia="仿宋"/>
                <w:b/>
                <w:color w:val="auto"/>
                <w:sz w:val="28"/>
                <w:szCs w:val="28"/>
              </w:rPr>
            </w:pPr>
            <w:r>
              <w:rPr>
                <w:rFonts w:hint="default" w:ascii="Times New Roman" w:hAnsi="Times New Roman" w:eastAsia="仿宋"/>
                <w:b/>
                <w:color w:val="auto"/>
                <w:sz w:val="28"/>
                <w:szCs w:val="28"/>
              </w:rPr>
              <w:t>评分标准</w:t>
            </w:r>
          </w:p>
        </w:tc>
        <w:tc>
          <w:tcPr>
            <w:tcW w:w="520" w:type="dxa"/>
            <w:noWrap w:val="0"/>
            <w:vAlign w:val="center"/>
          </w:tcPr>
          <w:p w14:paraId="4BDB92C5">
            <w:pPr>
              <w:pStyle w:val="4"/>
              <w:snapToGrid w:val="0"/>
              <w:jc w:val="center"/>
              <w:rPr>
                <w:rFonts w:ascii="Times New Roman" w:hAnsi="Times New Roman" w:eastAsia="仿宋"/>
                <w:b/>
                <w:color w:val="auto"/>
                <w:sz w:val="28"/>
                <w:szCs w:val="28"/>
              </w:rPr>
            </w:pPr>
            <w:r>
              <w:rPr>
                <w:rFonts w:hint="default" w:ascii="Times New Roman" w:hAnsi="Times New Roman" w:eastAsia="仿宋"/>
                <w:b/>
                <w:color w:val="auto"/>
                <w:sz w:val="28"/>
                <w:szCs w:val="28"/>
              </w:rPr>
              <w:t>得分</w:t>
            </w:r>
          </w:p>
        </w:tc>
      </w:tr>
      <w:tr w14:paraId="797F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2" w:hRule="atLeast"/>
          <w:jc w:val="center"/>
        </w:trPr>
        <w:tc>
          <w:tcPr>
            <w:tcW w:w="662" w:type="dxa"/>
            <w:noWrap w:val="0"/>
            <w:vAlign w:val="center"/>
          </w:tcPr>
          <w:p w14:paraId="1F198937">
            <w:pPr>
              <w:pStyle w:val="7"/>
              <w:spacing w:line="360" w:lineRule="exact"/>
              <w:ind w:firstLine="0" w:firstLineChars="0"/>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US" w:eastAsia="zh-CN" w:bidi="ar-SA"/>
              </w:rPr>
              <w:t>1</w:t>
            </w:r>
          </w:p>
        </w:tc>
        <w:tc>
          <w:tcPr>
            <w:tcW w:w="1430" w:type="dxa"/>
            <w:noWrap w:val="0"/>
            <w:vAlign w:val="center"/>
          </w:tcPr>
          <w:p w14:paraId="77AC0632">
            <w:pPr>
              <w:pStyle w:val="7"/>
              <w:spacing w:line="360" w:lineRule="exact"/>
              <w:ind w:firstLine="0" w:firstLineChars="0"/>
              <w:jc w:val="center"/>
              <w:rPr>
                <w:rFonts w:ascii="Times New Roman" w:hAnsi="Times New Roman" w:cs="Times New Roman"/>
                <w:color w:val="auto"/>
                <w:kern w:val="0"/>
                <w:sz w:val="24"/>
                <w:highlight w:val="none"/>
                <w:lang w:val="en"/>
              </w:rPr>
            </w:pPr>
            <w:r>
              <w:rPr>
                <w:rFonts w:hint="default" w:ascii="Times New Roman" w:hAnsi="Times New Roman" w:cs="Times New Roman"/>
                <w:color w:val="auto"/>
                <w:kern w:val="0"/>
                <w:sz w:val="24"/>
                <w:highlight w:val="none"/>
                <w:lang w:val="en"/>
              </w:rPr>
              <w:t>价格</w:t>
            </w:r>
          </w:p>
          <w:p w14:paraId="124DBC7D">
            <w:pPr>
              <w:pStyle w:val="7"/>
              <w:spacing w:line="360" w:lineRule="exact"/>
              <w:ind w:firstLine="0" w:firstLineChars="0"/>
              <w:jc w:val="center"/>
              <w:rPr>
                <w:rFonts w:ascii="Times New Roman" w:hAnsi="Times New Roman" w:eastAsia="仿宋_GB2312" w:cs="Times New Roman"/>
                <w:color w:val="auto"/>
                <w:kern w:val="0"/>
                <w:sz w:val="24"/>
                <w:szCs w:val="24"/>
                <w:lang w:val="en"/>
              </w:rPr>
            </w:pPr>
            <w:r>
              <w:rPr>
                <w:rFonts w:hint="default" w:ascii="Times New Roman" w:hAnsi="Times New Roman" w:cs="Times New Roman"/>
                <w:color w:val="auto"/>
                <w:kern w:val="0"/>
                <w:sz w:val="24"/>
                <w:highlight w:val="none"/>
                <w:lang w:val="en"/>
              </w:rPr>
              <w:t>（1</w:t>
            </w:r>
            <w:r>
              <w:rPr>
                <w:rFonts w:hint="eastAsia" w:ascii="Times New Roman" w:hAnsi="Times New Roman" w:cs="Times New Roman"/>
                <w:color w:val="auto"/>
                <w:kern w:val="0"/>
                <w:sz w:val="24"/>
                <w:highlight w:val="none"/>
                <w:lang w:val="en-US" w:eastAsia="zh-CN"/>
              </w:rPr>
              <w:t>5</w:t>
            </w:r>
            <w:r>
              <w:rPr>
                <w:rFonts w:hint="default" w:ascii="Times New Roman" w:hAnsi="Times New Roman" w:cs="Times New Roman"/>
                <w:color w:val="auto"/>
                <w:kern w:val="0"/>
                <w:sz w:val="24"/>
                <w:highlight w:val="none"/>
                <w:lang w:val="en"/>
              </w:rPr>
              <w:t>分）</w:t>
            </w:r>
          </w:p>
        </w:tc>
        <w:tc>
          <w:tcPr>
            <w:tcW w:w="7089" w:type="dxa"/>
            <w:noWrap w:val="0"/>
            <w:vAlign w:val="center"/>
          </w:tcPr>
          <w:p w14:paraId="5D3EDB26">
            <w:pPr>
              <w:pStyle w:val="7"/>
              <w:spacing w:line="360" w:lineRule="exact"/>
              <w:ind w:firstLine="0" w:firstLineChars="0"/>
              <w:jc w:val="left"/>
              <w:rPr>
                <w:rFonts w:hint="eastAsia" w:ascii="Times New Roman" w:hAnsi="Times New Roman" w:eastAsia="仿宋_GB2312"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
              </w:rPr>
              <w:t>取满足采购文件要求且价格扣除后的最低投标报价作为评标基准价，其价格分为满分。其他</w:t>
            </w:r>
            <w:r>
              <w:rPr>
                <w:rFonts w:hint="default" w:ascii="Times New Roman" w:hAnsi="Times New Roman" w:cs="Times New Roman"/>
                <w:color w:val="auto"/>
                <w:kern w:val="0"/>
                <w:sz w:val="24"/>
                <w:highlight w:val="none"/>
                <w:lang w:val="en" w:eastAsia="zh-CN"/>
              </w:rPr>
              <w:t>投标</w:t>
            </w:r>
            <w:r>
              <w:rPr>
                <w:rFonts w:hint="default" w:ascii="Times New Roman" w:hAnsi="Times New Roman" w:cs="Times New Roman"/>
                <w:color w:val="auto"/>
                <w:kern w:val="0"/>
                <w:sz w:val="24"/>
                <w:highlight w:val="none"/>
                <w:lang w:val="en"/>
              </w:rPr>
              <w:t>供应商的价格分统一按照下列公式计算：价格扣除后的投标报价得分=（评标基准价/价格扣除后的投标报价）×1</w:t>
            </w:r>
            <w:r>
              <w:rPr>
                <w:rFonts w:hint="eastAsia" w:ascii="Times New Roman" w:hAnsi="Times New Roman" w:cs="Times New Roman"/>
                <w:color w:val="auto"/>
                <w:kern w:val="0"/>
                <w:sz w:val="24"/>
                <w:highlight w:val="none"/>
                <w:lang w:val="en-US" w:eastAsia="zh-CN"/>
              </w:rPr>
              <w:t>5</w:t>
            </w:r>
          </w:p>
          <w:p w14:paraId="6FFDC579">
            <w:pPr>
              <w:pStyle w:val="7"/>
              <w:spacing w:line="360" w:lineRule="exact"/>
              <w:ind w:firstLine="0" w:firstLineChars="0"/>
              <w:jc w:val="left"/>
              <w:rPr>
                <w:rFonts w:hint="default" w:ascii="Times New Roman" w:hAnsi="Times New Roman" w:eastAsia="仿宋_GB2312" w:cs="Times New Roman"/>
                <w:color w:val="auto"/>
                <w:kern w:val="0"/>
                <w:sz w:val="24"/>
                <w:szCs w:val="24"/>
                <w:lang w:val="en"/>
              </w:rPr>
            </w:pPr>
            <w:r>
              <w:rPr>
                <w:rFonts w:hint="default" w:ascii="Times New Roman" w:hAnsi="Times New Roman" w:cs="Times New Roman"/>
                <w:color w:val="auto"/>
                <w:kern w:val="0"/>
                <w:sz w:val="24"/>
                <w:highlight w:val="none"/>
                <w:lang w:val="en"/>
              </w:rPr>
              <w:t>（对符合规定的小型和微型企业（监狱企业、残疾人福利单位视同小型、微型企业）报价给予10%的价格扣除。）</w:t>
            </w:r>
          </w:p>
        </w:tc>
        <w:tc>
          <w:tcPr>
            <w:tcW w:w="520" w:type="dxa"/>
            <w:noWrap w:val="0"/>
            <w:vAlign w:val="center"/>
          </w:tcPr>
          <w:p w14:paraId="042E8577">
            <w:pPr>
              <w:pStyle w:val="7"/>
              <w:spacing w:line="360" w:lineRule="exact"/>
              <w:ind w:firstLine="0" w:firstLineChars="0"/>
              <w:jc w:val="center"/>
              <w:rPr>
                <w:rFonts w:ascii="Times New Roman" w:hAnsi="Times New Roman" w:eastAsia="仿宋"/>
                <w:color w:val="auto"/>
                <w:sz w:val="24"/>
                <w:szCs w:val="24"/>
              </w:rPr>
            </w:pPr>
          </w:p>
        </w:tc>
      </w:tr>
      <w:tr w14:paraId="503F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662" w:type="dxa"/>
            <w:noWrap w:val="0"/>
            <w:vAlign w:val="center"/>
          </w:tcPr>
          <w:p w14:paraId="27449A03">
            <w:pPr>
              <w:pStyle w:val="7"/>
              <w:spacing w:line="360" w:lineRule="exact"/>
              <w:ind w:firstLine="0" w:firstLineChars="0"/>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2</w:t>
            </w:r>
          </w:p>
        </w:tc>
        <w:tc>
          <w:tcPr>
            <w:tcW w:w="1430" w:type="dxa"/>
            <w:noWrap w:val="0"/>
            <w:vAlign w:val="center"/>
          </w:tcPr>
          <w:p w14:paraId="447D7074">
            <w:pPr>
              <w:snapToGrid w:val="0"/>
              <w:jc w:val="center"/>
              <w:rPr>
                <w:rFonts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实施方案</w:t>
            </w:r>
          </w:p>
          <w:p w14:paraId="1723D86B">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w:t>
            </w:r>
            <w:r>
              <w:rPr>
                <w:rFonts w:hint="default"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69D831DE">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对项目要求分析准确，具体方案全面、详细合理；服务实施流程科学、可行，完全满足用户需求，得2</w:t>
            </w:r>
            <w:r>
              <w:rPr>
                <w:rFonts w:hint="default"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p>
          <w:p w14:paraId="5366B480">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对项目要求分析较准确，具体方案较全面、较合理；服务实施流程较可行，满足用户需求，得</w:t>
            </w:r>
            <w:r>
              <w:rPr>
                <w:rFonts w:hint="default" w:ascii="Times New Roman" w:hAnsi="Times New Roman" w:eastAsia="仿宋_GB2312" w:cs="Times New Roman"/>
                <w:color w:val="auto"/>
                <w:kern w:val="0"/>
                <w:sz w:val="24"/>
                <w:szCs w:val="24"/>
                <w:lang w:val="en-US" w:eastAsia="zh-CN"/>
              </w:rPr>
              <w:t>16</w:t>
            </w:r>
            <w:r>
              <w:rPr>
                <w:rFonts w:hint="default" w:ascii="Times New Roman" w:hAnsi="Times New Roman" w:eastAsia="仿宋_GB2312" w:cs="Times New Roman"/>
                <w:color w:val="auto"/>
                <w:kern w:val="0"/>
                <w:sz w:val="24"/>
                <w:szCs w:val="24"/>
                <w:lang w:val="en"/>
              </w:rPr>
              <w:t>分；</w:t>
            </w:r>
          </w:p>
          <w:p w14:paraId="7EE00B54">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对项目要求分析基本准确，具体方案基本全面、合理；服务实施流程基本可行，基本满足用户需求，得</w:t>
            </w:r>
            <w:r>
              <w:rPr>
                <w:rFonts w:hint="default" w:ascii="Times New Roman" w:hAnsi="Times New Roman" w:eastAsia="仿宋_GB2312" w:cs="Times New Roman"/>
                <w:color w:val="auto"/>
                <w:kern w:val="0"/>
                <w:sz w:val="24"/>
                <w:szCs w:val="24"/>
                <w:lang w:val="en-US" w:eastAsia="zh-CN"/>
              </w:rPr>
              <w:t>12</w:t>
            </w:r>
            <w:r>
              <w:rPr>
                <w:rFonts w:hint="default" w:ascii="Times New Roman" w:hAnsi="Times New Roman" w:eastAsia="仿宋_GB2312" w:cs="Times New Roman"/>
                <w:color w:val="auto"/>
                <w:kern w:val="0"/>
                <w:sz w:val="24"/>
                <w:szCs w:val="24"/>
                <w:lang w:val="en"/>
              </w:rPr>
              <w:t>分；</w:t>
            </w:r>
          </w:p>
          <w:p w14:paraId="3A5CF61E">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对项目要求分析一般，具体方案不够全面、合理；服务实施流程可行性</w:t>
            </w:r>
            <w:r>
              <w:rPr>
                <w:rFonts w:hint="default" w:ascii="Times New Roman" w:hAnsi="Times New Roman" w:eastAsia="仿宋_GB2312" w:cs="Times New Roman"/>
                <w:color w:val="auto"/>
                <w:kern w:val="0"/>
                <w:sz w:val="24"/>
                <w:szCs w:val="24"/>
                <w:lang w:val="en" w:eastAsia="zh-CN"/>
              </w:rPr>
              <w:t>低</w:t>
            </w:r>
            <w:r>
              <w:rPr>
                <w:rFonts w:hint="default" w:ascii="Times New Roman" w:hAnsi="Times New Roman" w:eastAsia="仿宋_GB2312" w:cs="Times New Roman"/>
                <w:color w:val="auto"/>
                <w:kern w:val="0"/>
                <w:sz w:val="24"/>
                <w:szCs w:val="24"/>
                <w:lang w:val="en"/>
              </w:rPr>
              <w:t>，</w:t>
            </w:r>
            <w:r>
              <w:rPr>
                <w:rFonts w:hint="default" w:ascii="Times New Roman" w:hAnsi="Times New Roman" w:eastAsia="仿宋_GB2312" w:cs="Times New Roman"/>
                <w:color w:val="auto"/>
                <w:kern w:val="0"/>
                <w:sz w:val="24"/>
                <w:szCs w:val="24"/>
                <w:lang w:val="en" w:eastAsia="zh-CN"/>
              </w:rPr>
              <w:t>不能</w:t>
            </w:r>
            <w:r>
              <w:rPr>
                <w:rFonts w:hint="default" w:ascii="Times New Roman" w:hAnsi="Times New Roman" w:eastAsia="仿宋_GB2312" w:cs="Times New Roman"/>
                <w:color w:val="auto"/>
                <w:kern w:val="0"/>
                <w:sz w:val="24"/>
                <w:szCs w:val="24"/>
                <w:lang w:val="en"/>
              </w:rPr>
              <w:t>满足用户需求，得</w:t>
            </w:r>
            <w:r>
              <w:rPr>
                <w:rFonts w:hint="default" w:ascii="Times New Roman" w:hAnsi="Times New Roman" w:eastAsia="仿宋_GB2312" w:cs="Times New Roman"/>
                <w:color w:val="auto"/>
                <w:kern w:val="0"/>
                <w:sz w:val="24"/>
                <w:szCs w:val="24"/>
                <w:lang w:val="en-US" w:eastAsia="zh-CN"/>
              </w:rPr>
              <w:t>8</w:t>
            </w:r>
            <w:r>
              <w:rPr>
                <w:rFonts w:hint="default" w:ascii="Times New Roman" w:hAnsi="Times New Roman" w:eastAsia="仿宋_GB2312" w:cs="Times New Roman"/>
                <w:color w:val="auto"/>
                <w:kern w:val="0"/>
                <w:sz w:val="24"/>
                <w:szCs w:val="24"/>
                <w:lang w:val="en"/>
              </w:rPr>
              <w:t>分；</w:t>
            </w:r>
          </w:p>
          <w:p w14:paraId="3749E4D7">
            <w:pPr>
              <w:snapToGrid w:val="0"/>
              <w:spacing w:line="240" w:lineRule="atLeast"/>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
              </w:rPr>
              <w:t>未提供</w:t>
            </w:r>
            <w:r>
              <w:rPr>
                <w:rFonts w:hint="default" w:ascii="Times New Roman" w:hAnsi="Times New Roman" w:eastAsia="仿宋_GB2312" w:cs="Times New Roman"/>
                <w:color w:val="auto"/>
                <w:kern w:val="0"/>
                <w:sz w:val="24"/>
                <w:szCs w:val="24"/>
                <w:lang w:val="en" w:eastAsia="zh-CN"/>
              </w:rPr>
              <w:t>实施</w:t>
            </w:r>
            <w:r>
              <w:rPr>
                <w:rFonts w:hint="default" w:ascii="Times New Roman" w:hAnsi="Times New Roman" w:eastAsia="仿宋_GB2312" w:cs="Times New Roman"/>
                <w:color w:val="auto"/>
                <w:kern w:val="0"/>
                <w:sz w:val="24"/>
                <w:szCs w:val="24"/>
                <w:lang w:val="en"/>
              </w:rPr>
              <w:t>方案的</w:t>
            </w:r>
            <w:r>
              <w:rPr>
                <w:rFonts w:hint="default" w:ascii="Times New Roman" w:hAnsi="Times New Roman" w:eastAsia="仿宋_GB2312" w:cs="Times New Roman"/>
                <w:color w:val="auto"/>
                <w:kern w:val="0"/>
                <w:sz w:val="24"/>
                <w:szCs w:val="24"/>
                <w:lang w:val="en" w:eastAsia="zh-CN"/>
              </w:rPr>
              <w:t>得</w:t>
            </w:r>
            <w:r>
              <w:rPr>
                <w:rFonts w:hint="default"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p>
        </w:tc>
        <w:tc>
          <w:tcPr>
            <w:tcW w:w="520" w:type="dxa"/>
            <w:noWrap w:val="0"/>
            <w:vAlign w:val="center"/>
          </w:tcPr>
          <w:p w14:paraId="64FBAC2E">
            <w:pPr>
              <w:pStyle w:val="7"/>
              <w:spacing w:line="360" w:lineRule="exact"/>
              <w:ind w:firstLine="0" w:firstLineChars="0"/>
              <w:jc w:val="center"/>
              <w:rPr>
                <w:rFonts w:ascii="Times New Roman" w:hAnsi="Times New Roman" w:eastAsia="仿宋"/>
                <w:color w:val="auto"/>
                <w:sz w:val="24"/>
                <w:szCs w:val="24"/>
              </w:rPr>
            </w:pPr>
          </w:p>
        </w:tc>
      </w:tr>
      <w:tr w14:paraId="68CB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2" w:hRule="atLeast"/>
          <w:jc w:val="center"/>
        </w:trPr>
        <w:tc>
          <w:tcPr>
            <w:tcW w:w="662" w:type="dxa"/>
            <w:noWrap w:val="0"/>
            <w:vAlign w:val="center"/>
          </w:tcPr>
          <w:p w14:paraId="16202681">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1430" w:type="dxa"/>
            <w:noWrap w:val="0"/>
            <w:vAlign w:val="center"/>
          </w:tcPr>
          <w:p w14:paraId="0E9B8DA8">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eastAsia="zh-CN"/>
              </w:rPr>
              <w:t>安全</w:t>
            </w:r>
            <w:r>
              <w:rPr>
                <w:rFonts w:hint="default" w:ascii="Times New Roman" w:hAnsi="Times New Roman" w:eastAsia="仿宋_GB2312" w:cs="Times New Roman"/>
                <w:color w:val="auto"/>
                <w:kern w:val="0"/>
                <w:sz w:val="24"/>
                <w:szCs w:val="24"/>
                <w:lang w:val="en"/>
              </w:rPr>
              <w:t>保障措施（</w:t>
            </w:r>
            <w:r>
              <w:rPr>
                <w:rFonts w:hint="default" w:ascii="Times New Roman" w:hAnsi="Times New Roman" w:cs="Times New Roman"/>
                <w:color w:val="auto"/>
                <w:kern w:val="0"/>
                <w:sz w:val="24"/>
                <w:szCs w:val="24"/>
                <w:lang w:val="en-US" w:eastAsia="zh-CN"/>
              </w:rPr>
              <w:t>15</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3B75AE75">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针对系统网络和数据安全：</w:t>
            </w:r>
          </w:p>
          <w:p w14:paraId="7F5774B4">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建立了完善的安全管理机制，提出详尽的安全解决方案，安全保障措施具体、详细，可行性高，得</w:t>
            </w:r>
            <w:r>
              <w:rPr>
                <w:rFonts w:hint="default" w:ascii="Times New Roman" w:hAnsi="Times New Roman" w:cs="Times New Roman"/>
                <w:color w:val="auto"/>
                <w:kern w:val="0"/>
                <w:sz w:val="24"/>
                <w:szCs w:val="24"/>
                <w:lang w:val="en-US" w:eastAsia="zh-CN"/>
              </w:rPr>
              <w:t>15</w:t>
            </w:r>
            <w:r>
              <w:rPr>
                <w:rFonts w:hint="default" w:ascii="Times New Roman" w:hAnsi="Times New Roman" w:eastAsia="仿宋_GB2312" w:cs="Times New Roman"/>
                <w:color w:val="auto"/>
                <w:kern w:val="0"/>
                <w:sz w:val="24"/>
                <w:szCs w:val="24"/>
                <w:lang w:val="en"/>
              </w:rPr>
              <w:t>分；</w:t>
            </w:r>
          </w:p>
          <w:p w14:paraId="1E7A8088">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建立了较为完善的安全管理机制，提出较为详尽的安全解决方案，安全保障措施比较具体、详细，可行性较高，得</w:t>
            </w:r>
            <w:r>
              <w:rPr>
                <w:rFonts w:hint="default" w:ascii="Times New Roman" w:hAnsi="Times New Roman" w:cs="Times New Roman"/>
                <w:color w:val="auto"/>
                <w:kern w:val="0"/>
                <w:sz w:val="24"/>
                <w:szCs w:val="24"/>
                <w:lang w:val="en-US" w:eastAsia="zh-CN"/>
              </w:rPr>
              <w:t>12</w:t>
            </w:r>
            <w:r>
              <w:rPr>
                <w:rFonts w:hint="default" w:ascii="Times New Roman" w:hAnsi="Times New Roman" w:eastAsia="仿宋_GB2312" w:cs="Times New Roman"/>
                <w:color w:val="auto"/>
                <w:kern w:val="0"/>
                <w:sz w:val="24"/>
                <w:szCs w:val="24"/>
                <w:lang w:val="en"/>
              </w:rPr>
              <w:t>分；</w:t>
            </w:r>
          </w:p>
          <w:p w14:paraId="1354F4D9">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建立了安全管理机制，提出安全解决方案，安全保障措施一般，基本可行，得</w:t>
            </w:r>
            <w:r>
              <w:rPr>
                <w:rFonts w:hint="default" w:ascii="Times New Roman" w:hAnsi="Times New Roman"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lang w:val="en"/>
              </w:rPr>
              <w:t>分；</w:t>
            </w:r>
          </w:p>
          <w:p w14:paraId="6050C293">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建立了安全管理机制，提出安全解决方案，安全保障措施不具体，可行性较低，得</w:t>
            </w:r>
            <w:r>
              <w:rPr>
                <w:rFonts w:hint="default" w:ascii="Times New Roman" w:hAnsi="Times New Roman" w:cs="Times New Roman"/>
                <w:color w:val="auto"/>
                <w:kern w:val="0"/>
                <w:sz w:val="24"/>
                <w:szCs w:val="24"/>
                <w:lang w:val="en-US" w:eastAsia="zh-CN"/>
              </w:rPr>
              <w:t>6</w:t>
            </w:r>
            <w:r>
              <w:rPr>
                <w:rFonts w:hint="default" w:ascii="Times New Roman" w:hAnsi="Times New Roman" w:eastAsia="仿宋_GB2312" w:cs="Times New Roman"/>
                <w:color w:val="auto"/>
                <w:kern w:val="0"/>
                <w:sz w:val="24"/>
                <w:szCs w:val="24"/>
                <w:lang w:val="en"/>
              </w:rPr>
              <w:t>分；</w:t>
            </w:r>
          </w:p>
          <w:p w14:paraId="56779D0B">
            <w:pPr>
              <w:snapToGrid w:val="0"/>
              <w:spacing w:line="240" w:lineRule="atLeast"/>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未提供</w:t>
            </w:r>
            <w:r>
              <w:rPr>
                <w:rFonts w:hint="default" w:ascii="Times New Roman" w:hAnsi="Times New Roman" w:eastAsia="仿宋_GB2312" w:cs="Times New Roman"/>
                <w:color w:val="auto"/>
                <w:kern w:val="0"/>
                <w:sz w:val="24"/>
                <w:szCs w:val="24"/>
                <w:lang w:val="en" w:eastAsia="zh-CN"/>
              </w:rPr>
              <w:t>安全保障措施</w:t>
            </w:r>
            <w:r>
              <w:rPr>
                <w:rFonts w:hint="default" w:ascii="Times New Roman" w:hAnsi="Times New Roman" w:eastAsia="仿宋_GB2312" w:cs="Times New Roman"/>
                <w:color w:val="auto"/>
                <w:kern w:val="0"/>
                <w:sz w:val="24"/>
                <w:szCs w:val="24"/>
                <w:lang w:val="en"/>
              </w:rPr>
              <w:t>的</w:t>
            </w:r>
            <w:r>
              <w:rPr>
                <w:rFonts w:hint="default" w:ascii="Times New Roman" w:hAnsi="Times New Roman" w:eastAsia="仿宋_GB2312" w:cs="Times New Roman"/>
                <w:color w:val="auto"/>
                <w:kern w:val="0"/>
                <w:sz w:val="24"/>
                <w:szCs w:val="24"/>
                <w:lang w:val="en" w:eastAsia="zh-CN"/>
              </w:rPr>
              <w:t>得</w:t>
            </w:r>
            <w:r>
              <w:rPr>
                <w:rFonts w:hint="default"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p>
        </w:tc>
        <w:tc>
          <w:tcPr>
            <w:tcW w:w="520" w:type="dxa"/>
            <w:noWrap w:val="0"/>
            <w:vAlign w:val="center"/>
          </w:tcPr>
          <w:p w14:paraId="04665681">
            <w:pPr>
              <w:pStyle w:val="4"/>
              <w:snapToGrid w:val="0"/>
              <w:ind w:firstLine="480" w:firstLineChars="0"/>
              <w:jc w:val="center"/>
              <w:rPr>
                <w:rFonts w:ascii="Times New Roman" w:hAnsi="Times New Roman" w:eastAsia="仿宋"/>
                <w:color w:val="auto"/>
                <w:sz w:val="24"/>
                <w:szCs w:val="24"/>
              </w:rPr>
            </w:pPr>
          </w:p>
        </w:tc>
      </w:tr>
      <w:tr w14:paraId="77F4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6" w:hRule="atLeast"/>
          <w:jc w:val="center"/>
        </w:trPr>
        <w:tc>
          <w:tcPr>
            <w:tcW w:w="662" w:type="dxa"/>
            <w:noWrap w:val="0"/>
            <w:vAlign w:val="center"/>
          </w:tcPr>
          <w:p w14:paraId="2FB211BD">
            <w:pPr>
              <w:snapToGrid w:val="0"/>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US" w:eastAsia="zh-CN"/>
              </w:rPr>
              <w:t>4</w:t>
            </w:r>
          </w:p>
        </w:tc>
        <w:tc>
          <w:tcPr>
            <w:tcW w:w="1430" w:type="dxa"/>
            <w:noWrap w:val="0"/>
            <w:vAlign w:val="center"/>
          </w:tcPr>
          <w:p w14:paraId="0280201F">
            <w:pPr>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投标人</w:t>
            </w:r>
            <w:r>
              <w:rPr>
                <w:rFonts w:hint="default" w:ascii="Times New Roman" w:hAnsi="Times New Roman" w:eastAsia="仿宋_GB2312" w:cs="Times New Roman"/>
                <w:color w:val="auto"/>
                <w:kern w:val="0"/>
                <w:sz w:val="24"/>
                <w:szCs w:val="24"/>
                <w:lang w:val="en" w:eastAsia="zh-CN"/>
              </w:rPr>
              <w:t>认证</w:t>
            </w:r>
            <w:r>
              <w:rPr>
                <w:rFonts w:hint="default" w:ascii="Times New Roman" w:hAnsi="Times New Roman" w:eastAsia="仿宋_GB2312" w:cs="Times New Roman"/>
                <w:color w:val="auto"/>
                <w:kern w:val="0"/>
                <w:sz w:val="24"/>
                <w:szCs w:val="24"/>
                <w:lang w:val="en"/>
              </w:rPr>
              <w:t>情况(</w:t>
            </w:r>
            <w:r>
              <w:rPr>
                <w:rFonts w:hint="default" w:ascii="Times New Roman" w:hAnsi="Times New Roman" w:cs="Times New Roman"/>
                <w:color w:val="auto"/>
                <w:kern w:val="0"/>
                <w:sz w:val="24"/>
                <w:szCs w:val="24"/>
                <w:lang w:val="en-US" w:eastAsia="zh-CN"/>
              </w:rPr>
              <w:t>6</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15E410E9">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 xml:space="preserve">投标人获得以下认证证书： </w:t>
            </w:r>
          </w:p>
          <w:p w14:paraId="6F41D7C5">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lang w:val="en" w:eastAsia="zh-CN"/>
              </w:rPr>
              <w:t>）具备</w:t>
            </w:r>
            <w:r>
              <w:rPr>
                <w:rFonts w:hint="default" w:ascii="Times New Roman" w:hAnsi="Times New Roman" w:eastAsia="仿宋_GB2312" w:cs="Times New Roman"/>
                <w:color w:val="auto"/>
                <w:kern w:val="0"/>
                <w:sz w:val="24"/>
                <w:szCs w:val="24"/>
                <w:lang w:val="en"/>
              </w:rPr>
              <w:t>ISO9001质量管理体系认证证书</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 xml:space="preserve">得 </w:t>
            </w:r>
            <w:r>
              <w:rPr>
                <w:rFonts w:hint="default" w:ascii="Times New Roman" w:hAnsi="Times New Roman"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rPr>
              <w:t>分；</w:t>
            </w:r>
          </w:p>
          <w:p w14:paraId="313B8250">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具备中国网络安全审查技术与认证中心颁发的信息安全服务资质认证证书（信息系统安全运维）</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得</w:t>
            </w:r>
            <w:r>
              <w:rPr>
                <w:rFonts w:hint="default" w:ascii="Times New Roman" w:hAnsi="Times New Roman"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lang w:val="en"/>
              </w:rPr>
              <w:t>分；</w:t>
            </w:r>
          </w:p>
          <w:p w14:paraId="6DA02187">
            <w:pPr>
              <w:snapToGrid w:val="0"/>
              <w:spacing w:line="240" w:lineRule="atLeast"/>
              <w:jc w:val="both"/>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提供认证证书扫描件。</w:t>
            </w:r>
          </w:p>
        </w:tc>
        <w:tc>
          <w:tcPr>
            <w:tcW w:w="520" w:type="dxa"/>
            <w:noWrap w:val="0"/>
            <w:vAlign w:val="center"/>
          </w:tcPr>
          <w:p w14:paraId="1B273187">
            <w:pPr>
              <w:pStyle w:val="4"/>
              <w:snapToGrid w:val="0"/>
              <w:ind w:firstLine="480"/>
              <w:jc w:val="center"/>
              <w:rPr>
                <w:rFonts w:ascii="Times New Roman" w:hAnsi="Times New Roman" w:eastAsia="仿宋"/>
                <w:color w:val="auto"/>
                <w:sz w:val="24"/>
                <w:szCs w:val="24"/>
              </w:rPr>
            </w:pPr>
          </w:p>
        </w:tc>
      </w:tr>
      <w:tr w14:paraId="3A76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662" w:type="dxa"/>
            <w:noWrap w:val="0"/>
            <w:vAlign w:val="center"/>
          </w:tcPr>
          <w:p w14:paraId="3E6AC622">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5</w:t>
            </w:r>
          </w:p>
        </w:tc>
        <w:tc>
          <w:tcPr>
            <w:tcW w:w="1430" w:type="dxa"/>
            <w:noWrap w:val="0"/>
            <w:vAlign w:val="center"/>
          </w:tcPr>
          <w:p w14:paraId="70F6136D">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投标人服务能力（</w:t>
            </w:r>
            <w:r>
              <w:rPr>
                <w:rFonts w:hint="default" w:ascii="Times New Roman" w:hAnsi="Times New Roman" w:cs="Times New Roman"/>
                <w:color w:val="auto"/>
                <w:kern w:val="0"/>
                <w:sz w:val="24"/>
                <w:szCs w:val="24"/>
                <w:lang w:val="en-US" w:eastAsia="zh-CN"/>
              </w:rPr>
              <w:t>10</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2BEAAB62">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投标人获得相关软件著作权证书，每提供一份得5分，最高得</w:t>
            </w:r>
            <w:r>
              <w:rPr>
                <w:rFonts w:hint="default" w:ascii="Times New Roman" w:hAnsi="Times New Roman" w:cs="Times New Roman"/>
                <w:color w:val="auto"/>
                <w:kern w:val="0"/>
                <w:sz w:val="24"/>
                <w:szCs w:val="24"/>
                <w:lang w:val="en-US" w:eastAsia="zh-CN"/>
              </w:rPr>
              <w:t>10</w:t>
            </w:r>
            <w:r>
              <w:rPr>
                <w:rFonts w:hint="default" w:ascii="Times New Roman" w:hAnsi="Times New Roman" w:eastAsia="仿宋_GB2312" w:cs="Times New Roman"/>
                <w:color w:val="auto"/>
                <w:kern w:val="0"/>
                <w:sz w:val="24"/>
                <w:szCs w:val="24"/>
                <w:lang w:val="en"/>
              </w:rPr>
              <w:t>分。</w:t>
            </w:r>
          </w:p>
          <w:p w14:paraId="05F721F9">
            <w:pPr>
              <w:snapToGrid w:val="0"/>
              <w:jc w:val="left"/>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注：须提供以上证明材料复印件，并加盖公章，不提供的不得分。</w:t>
            </w:r>
          </w:p>
        </w:tc>
        <w:tc>
          <w:tcPr>
            <w:tcW w:w="520" w:type="dxa"/>
            <w:noWrap w:val="0"/>
            <w:vAlign w:val="center"/>
          </w:tcPr>
          <w:p w14:paraId="42691E03">
            <w:pPr>
              <w:pStyle w:val="4"/>
              <w:snapToGrid w:val="0"/>
              <w:ind w:firstLine="480"/>
              <w:jc w:val="center"/>
              <w:rPr>
                <w:rFonts w:ascii="Times New Roman" w:hAnsi="Times New Roman" w:eastAsia="仿宋"/>
                <w:color w:val="auto"/>
                <w:sz w:val="24"/>
                <w:szCs w:val="24"/>
              </w:rPr>
            </w:pPr>
          </w:p>
        </w:tc>
      </w:tr>
      <w:tr w14:paraId="500C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662" w:type="dxa"/>
            <w:noWrap w:val="0"/>
            <w:vAlign w:val="center"/>
          </w:tcPr>
          <w:p w14:paraId="76EEBC0B">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6</w:t>
            </w:r>
          </w:p>
        </w:tc>
        <w:tc>
          <w:tcPr>
            <w:tcW w:w="1430" w:type="dxa"/>
            <w:noWrap w:val="0"/>
            <w:vAlign w:val="center"/>
          </w:tcPr>
          <w:p w14:paraId="70ECC900">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参与本项目工作人员情况（</w:t>
            </w:r>
            <w:r>
              <w:rPr>
                <w:rFonts w:hint="default" w:ascii="Times New Roman" w:hAnsi="Times New Roman" w:cs="Times New Roman"/>
                <w:color w:val="auto"/>
                <w:kern w:val="0"/>
                <w:sz w:val="24"/>
                <w:szCs w:val="24"/>
                <w:lang w:val="en-US" w:eastAsia="zh-CN"/>
              </w:rPr>
              <w:t>14</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1AD6625D">
            <w:pPr>
              <w:numPr>
                <w:ilvl w:val="0"/>
                <w:numId w:val="0"/>
              </w:numPr>
              <w:snapToGrid w:val="0"/>
              <w:spacing w:line="240" w:lineRule="atLeast"/>
              <w:rPr>
                <w:rFonts w:hint="default" w:ascii="Times New Roman" w:hAnsi="Times New Roman" w:eastAsia="仿宋_GB2312" w:cs="Times New Roman"/>
                <w:color w:val="auto"/>
                <w:kern w:val="0"/>
                <w:sz w:val="24"/>
                <w:szCs w:val="24"/>
                <w:lang w:val="en-US" w:eastAsia="zh-CN"/>
              </w:rPr>
            </w:pPr>
            <w:r>
              <w:rPr>
                <w:rFonts w:hint="default" w:ascii="Times New Roman" w:hAnsi="Times New Roman" w:cs="Times New Roman"/>
                <w:color w:val="auto"/>
                <w:kern w:val="0"/>
                <w:sz w:val="24"/>
                <w:szCs w:val="24"/>
                <w:lang w:val="en" w:eastAsia="zh-CN"/>
              </w:rPr>
              <w:t>（</w:t>
            </w:r>
            <w:r>
              <w:rPr>
                <w:rFonts w:hint="default" w:ascii="Times New Roman" w:hAnsi="Times New Roman" w:cs="Times New Roman"/>
                <w:color w:val="auto"/>
                <w:kern w:val="0"/>
                <w:sz w:val="24"/>
                <w:szCs w:val="24"/>
                <w:lang w:val="en-US" w:eastAsia="zh-CN"/>
              </w:rPr>
              <w:t>1</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投标人为本项目配备负责人1人</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专业高级及以上职称的得</w:t>
            </w:r>
            <w:r>
              <w:rPr>
                <w:rFonts w:hint="default" w:ascii="Times New Roman" w:hAnsi="Times New Roman" w:cs="Times New Roman"/>
                <w:color w:val="auto"/>
                <w:kern w:val="0"/>
                <w:sz w:val="24"/>
                <w:szCs w:val="24"/>
                <w:lang w:val="en-US" w:eastAsia="zh-CN"/>
              </w:rPr>
              <w:t>6</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w:t>
            </w:r>
            <w:r>
              <w:rPr>
                <w:rFonts w:hint="default" w:ascii="Times New Roman" w:hAnsi="Times New Roman" w:cs="Times New Roman"/>
                <w:color w:val="auto"/>
                <w:kern w:val="0"/>
                <w:sz w:val="24"/>
                <w:szCs w:val="24"/>
                <w:lang w:val="en" w:eastAsia="zh-CN"/>
              </w:rPr>
              <w:t>中级</w:t>
            </w:r>
            <w:r>
              <w:rPr>
                <w:rFonts w:hint="default" w:ascii="Times New Roman" w:hAnsi="Times New Roman" w:eastAsia="仿宋_GB2312" w:cs="Times New Roman"/>
                <w:color w:val="auto"/>
                <w:kern w:val="0"/>
                <w:sz w:val="24"/>
                <w:szCs w:val="24"/>
                <w:lang w:val="en"/>
              </w:rPr>
              <w:t>职称的得</w:t>
            </w:r>
            <w:r>
              <w:rPr>
                <w:rFonts w:hint="default" w:ascii="Times New Roman" w:hAnsi="Times New Roman" w:cs="Times New Roman"/>
                <w:color w:val="auto"/>
                <w:kern w:val="0"/>
                <w:sz w:val="24"/>
                <w:szCs w:val="24"/>
                <w:lang w:val="en-US" w:eastAsia="zh-CN"/>
              </w:rPr>
              <w:t>3</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。本项最高得</w:t>
            </w:r>
            <w:r>
              <w:rPr>
                <w:rFonts w:hint="default" w:ascii="Times New Roman" w:hAnsi="Times New Roman" w:cs="Times New Roman"/>
                <w:color w:val="auto"/>
                <w:kern w:val="0"/>
                <w:sz w:val="24"/>
                <w:szCs w:val="24"/>
                <w:lang w:val="en-US" w:eastAsia="zh-CN"/>
              </w:rPr>
              <w:t>6分。</w:t>
            </w:r>
          </w:p>
          <w:p w14:paraId="12FB71FD">
            <w:pPr>
              <w:snapToGrid w:val="0"/>
              <w:spacing w:line="240" w:lineRule="atLeas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rPr>
              <w:t>（2）投标人为本项目配备的组成员（不含项目负责人</w:t>
            </w:r>
            <w:r>
              <w:rPr>
                <w:rFonts w:hint="default" w:ascii="Times New Roman" w:hAnsi="Times New Roman" w:cs="Times New Roman"/>
                <w:color w:val="auto"/>
                <w:kern w:val="0"/>
                <w:sz w:val="24"/>
                <w:szCs w:val="24"/>
                <w:lang w:val="en" w:eastAsia="zh-CN"/>
              </w:rPr>
              <w:t>，最多计算</w:t>
            </w:r>
            <w:r>
              <w:rPr>
                <w:rFonts w:hint="default" w:ascii="Times New Roman" w:hAnsi="Times New Roman" w:cs="Times New Roman"/>
                <w:color w:val="auto"/>
                <w:kern w:val="0"/>
                <w:sz w:val="24"/>
                <w:szCs w:val="24"/>
                <w:lang w:val="en-US" w:eastAsia="zh-CN"/>
              </w:rPr>
              <w:t>2人</w:t>
            </w:r>
            <w:r>
              <w:rPr>
                <w:rFonts w:hint="default" w:ascii="Times New Roman" w:hAnsi="Times New Roman" w:eastAsia="仿宋_GB2312" w:cs="Times New Roman"/>
                <w:color w:val="auto"/>
                <w:kern w:val="0"/>
                <w:sz w:val="24"/>
                <w:szCs w:val="24"/>
                <w:lang w:val="en"/>
              </w:rPr>
              <w:t>）</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专业中级及以上职称</w:t>
            </w:r>
            <w:r>
              <w:rPr>
                <w:rFonts w:hint="default" w:ascii="Times New Roman" w:hAnsi="Times New Roman" w:cs="Times New Roman"/>
                <w:color w:val="auto"/>
                <w:kern w:val="0"/>
                <w:sz w:val="24"/>
                <w:szCs w:val="24"/>
                <w:lang w:val="en" w:eastAsia="zh-CN"/>
              </w:rPr>
              <w:t>的</w:t>
            </w:r>
            <w:r>
              <w:rPr>
                <w:rFonts w:hint="default" w:ascii="Times New Roman" w:hAnsi="Times New Roman" w:eastAsia="仿宋_GB2312" w:cs="Times New Roman"/>
                <w:color w:val="auto"/>
                <w:kern w:val="0"/>
                <w:sz w:val="24"/>
                <w:szCs w:val="24"/>
                <w:lang w:val="en"/>
              </w:rPr>
              <w:t>，1人得</w:t>
            </w:r>
            <w:r>
              <w:rPr>
                <w:rFonts w:hint="default" w:ascii="Times New Roman" w:hAnsi="Times New Roman"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w:t>
            </w:r>
            <w:r>
              <w:rPr>
                <w:rFonts w:hint="default" w:ascii="Times New Roman" w:hAnsi="Times New Roman" w:cs="Times New Roman"/>
                <w:color w:val="auto"/>
                <w:kern w:val="0"/>
                <w:sz w:val="24"/>
                <w:szCs w:val="24"/>
                <w:lang w:val="en" w:eastAsia="zh-CN"/>
              </w:rPr>
              <w:t>初级</w:t>
            </w:r>
            <w:r>
              <w:rPr>
                <w:rFonts w:hint="default" w:ascii="Times New Roman" w:hAnsi="Times New Roman" w:eastAsia="仿宋_GB2312" w:cs="Times New Roman"/>
                <w:color w:val="auto"/>
                <w:kern w:val="0"/>
                <w:sz w:val="24"/>
                <w:szCs w:val="24"/>
                <w:lang w:val="en"/>
              </w:rPr>
              <w:t>职称</w:t>
            </w:r>
            <w:r>
              <w:rPr>
                <w:rFonts w:hint="default" w:ascii="Times New Roman" w:hAnsi="Times New Roman" w:cs="Times New Roman"/>
                <w:color w:val="auto"/>
                <w:kern w:val="0"/>
                <w:sz w:val="24"/>
                <w:szCs w:val="24"/>
                <w:lang w:val="en" w:eastAsia="zh-CN"/>
              </w:rPr>
              <w:t>的</w:t>
            </w:r>
            <w:r>
              <w:rPr>
                <w:rFonts w:hint="default" w:ascii="Times New Roman" w:hAnsi="Times New Roman" w:eastAsia="仿宋_GB2312" w:cs="Times New Roman"/>
                <w:color w:val="auto"/>
                <w:kern w:val="0"/>
                <w:sz w:val="24"/>
                <w:szCs w:val="24"/>
                <w:lang w:val="en"/>
              </w:rPr>
              <w:t>，1人得</w:t>
            </w:r>
            <w:r>
              <w:rPr>
                <w:rFonts w:hint="default" w:ascii="Times New Roman" w:hAnsi="Times New Roman"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；同一人提供多个职称证书的，只对其中一个最高职称进行打分。本项最高得</w:t>
            </w:r>
            <w:r>
              <w:rPr>
                <w:rFonts w:hint="default" w:ascii="Times New Roman" w:hAnsi="Times New Roman" w:cs="Times New Roman"/>
                <w:color w:val="auto"/>
                <w:kern w:val="0"/>
                <w:sz w:val="24"/>
                <w:szCs w:val="24"/>
                <w:lang w:val="en-US" w:eastAsia="zh-CN"/>
              </w:rPr>
              <w:t>8分。</w:t>
            </w:r>
          </w:p>
          <w:p w14:paraId="3F60F2E1">
            <w:pPr>
              <w:snapToGrid w:val="0"/>
              <w:spacing w:line="240" w:lineRule="atLeast"/>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注：须提供上述（1）（2）人员相应技术职称证书复印件，</w:t>
            </w:r>
            <w:r>
              <w:rPr>
                <w:rFonts w:hint="default" w:ascii="Times New Roman" w:hAnsi="Times New Roman" w:eastAsia="仿宋_GB2312" w:cs="Times New Roman"/>
                <w:color w:val="auto"/>
                <w:kern w:val="0"/>
                <w:sz w:val="24"/>
                <w:szCs w:val="24"/>
                <w:lang w:val="en" w:eastAsia="zh-CN"/>
              </w:rPr>
              <w:t>最近</w:t>
            </w:r>
            <w:r>
              <w:rPr>
                <w:rFonts w:hint="default" w:ascii="Times New Roman" w:hAnsi="Times New Roman" w:eastAsia="仿宋_GB2312" w:cs="Times New Roman"/>
                <w:color w:val="auto"/>
                <w:kern w:val="0"/>
                <w:sz w:val="24"/>
                <w:szCs w:val="24"/>
                <w:lang w:val="en-US" w:eastAsia="zh-CN"/>
              </w:rPr>
              <w:t>3个月任意1个月</w:t>
            </w:r>
            <w:r>
              <w:rPr>
                <w:rFonts w:hint="default" w:ascii="Times New Roman" w:hAnsi="Times New Roman" w:eastAsia="仿宋_GB2312" w:cs="Times New Roman"/>
                <w:color w:val="auto"/>
                <w:kern w:val="0"/>
                <w:sz w:val="24"/>
                <w:szCs w:val="24"/>
                <w:lang w:val="en"/>
              </w:rPr>
              <w:t>在该供应商单位缴纳的社保证明复印件并加盖公章。</w:t>
            </w:r>
          </w:p>
        </w:tc>
        <w:tc>
          <w:tcPr>
            <w:tcW w:w="520" w:type="dxa"/>
            <w:noWrap w:val="0"/>
            <w:vAlign w:val="center"/>
          </w:tcPr>
          <w:p w14:paraId="2981C992">
            <w:pPr>
              <w:pStyle w:val="4"/>
              <w:snapToGrid w:val="0"/>
              <w:ind w:firstLine="480"/>
              <w:jc w:val="center"/>
              <w:rPr>
                <w:rFonts w:ascii="Times New Roman" w:hAnsi="Times New Roman" w:eastAsia="仿宋"/>
                <w:color w:val="auto"/>
                <w:sz w:val="24"/>
                <w:szCs w:val="24"/>
              </w:rPr>
            </w:pPr>
          </w:p>
        </w:tc>
      </w:tr>
      <w:tr w14:paraId="2DCC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662" w:type="dxa"/>
            <w:noWrap w:val="0"/>
            <w:vAlign w:val="center"/>
          </w:tcPr>
          <w:p w14:paraId="6C9C04CE">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7</w:t>
            </w:r>
          </w:p>
        </w:tc>
        <w:tc>
          <w:tcPr>
            <w:tcW w:w="1430" w:type="dxa"/>
            <w:noWrap w:val="0"/>
            <w:vAlign w:val="center"/>
          </w:tcPr>
          <w:p w14:paraId="19162F7E">
            <w:pPr>
              <w:snapToGrid w:val="0"/>
              <w:jc w:val="center"/>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同类项目业绩（</w:t>
            </w:r>
            <w:r>
              <w:rPr>
                <w:rFonts w:hint="default" w:ascii="Times New Roman" w:hAnsi="Times New Roman"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2DE4C7E3">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投标人承接过信息系统维护项目的，每提供一份业绩合同得</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lang w:val="en"/>
              </w:rPr>
              <w:t>分，最高得</w:t>
            </w:r>
            <w:r>
              <w:rPr>
                <w:rFonts w:hint="default" w:ascii="Times New Roman" w:hAnsi="Times New Roman"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
              </w:rPr>
              <w:t>分。</w:t>
            </w:r>
          </w:p>
          <w:p w14:paraId="1505E4D6">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注：提供加盖公章的合同关键信息（含签订合同双方的单位名称、合同项目名称、服务内容与含签订合同双方的落款盖章、签订日期的关键页）复印件作为得分依据。</w:t>
            </w:r>
          </w:p>
        </w:tc>
        <w:tc>
          <w:tcPr>
            <w:tcW w:w="520" w:type="dxa"/>
            <w:noWrap w:val="0"/>
            <w:vAlign w:val="center"/>
          </w:tcPr>
          <w:p w14:paraId="5A032CCB">
            <w:pPr>
              <w:pStyle w:val="4"/>
              <w:snapToGrid w:val="0"/>
              <w:ind w:firstLine="480"/>
              <w:jc w:val="center"/>
              <w:rPr>
                <w:rFonts w:ascii="Times New Roman" w:hAnsi="Times New Roman" w:eastAsia="仿宋"/>
                <w:color w:val="auto"/>
                <w:sz w:val="24"/>
                <w:szCs w:val="24"/>
              </w:rPr>
            </w:pPr>
          </w:p>
        </w:tc>
      </w:tr>
      <w:tr w14:paraId="1FBE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092" w:type="dxa"/>
            <w:gridSpan w:val="2"/>
            <w:noWrap w:val="0"/>
            <w:vAlign w:val="center"/>
          </w:tcPr>
          <w:p w14:paraId="25921FF1">
            <w:pPr>
              <w:snapToGrid w:val="0"/>
              <w:jc w:val="center"/>
              <w:rPr>
                <w:rFonts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综合得分</w:t>
            </w:r>
          </w:p>
        </w:tc>
        <w:tc>
          <w:tcPr>
            <w:tcW w:w="7089" w:type="dxa"/>
            <w:noWrap w:val="0"/>
            <w:vAlign w:val="center"/>
          </w:tcPr>
          <w:p w14:paraId="7AC07DDF">
            <w:pPr>
              <w:pStyle w:val="4"/>
              <w:spacing w:line="480" w:lineRule="exact"/>
              <w:jc w:val="center"/>
              <w:rPr>
                <w:rFonts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w:t>
            </w:r>
          </w:p>
        </w:tc>
        <w:tc>
          <w:tcPr>
            <w:tcW w:w="520" w:type="dxa"/>
            <w:noWrap w:val="0"/>
            <w:vAlign w:val="center"/>
          </w:tcPr>
          <w:p w14:paraId="7F800E88">
            <w:pPr>
              <w:pStyle w:val="2"/>
              <w:snapToGrid w:val="0"/>
              <w:spacing w:line="240" w:lineRule="auto"/>
              <w:ind w:firstLine="480"/>
              <w:jc w:val="center"/>
              <w:rPr>
                <w:rFonts w:ascii="Times New Roman" w:hAnsi="Times New Roman" w:eastAsia="仿宋" w:cs="Times New Roman"/>
                <w:color w:val="auto"/>
                <w:szCs w:val="24"/>
              </w:rPr>
            </w:pPr>
          </w:p>
        </w:tc>
      </w:tr>
    </w:tbl>
    <w:p w14:paraId="6FE5319F">
      <w:pPr>
        <w:widowControl/>
        <w:shd w:val="clear" w:color="auto" w:fill="FFFFFF"/>
        <w:spacing w:line="560" w:lineRule="exact"/>
        <w:jc w:val="both"/>
      </w:pPr>
      <w:r>
        <w:rPr>
          <w:rFonts w:hint="default" w:ascii="Times New Roman" w:hAnsi="Times New Roman" w:eastAsia="宋体" w:cs="Times New Roman"/>
          <w:b/>
          <w:color w:val="auto"/>
          <w:sz w:val="28"/>
          <w:szCs w:val="22"/>
        </w:rPr>
        <w:t>注：请投标人在投标文件中标注以上评分项目证明资料对应的页码。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96657"/>
    <w:rsid w:val="4A59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200" w:firstLineChars="200"/>
    </w:pPr>
    <w:rPr>
      <w:rFonts w:ascii="Times New Roman" w:hAnsi="Times New Roman"/>
      <w:snapToGrid w:val="0"/>
      <w:kern w:val="0"/>
      <w:sz w:val="24"/>
      <w:szCs w:val="20"/>
      <w:lang w:val="zh-CN"/>
    </w:r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eastAsia="宋体" w:cs="Times New Roman"/>
    </w:rPr>
  </w:style>
  <w:style w:type="paragraph" w:customStyle="1" w:styleId="7">
    <w:name w:val="正文缩进2格"/>
    <w:basedOn w:val="1"/>
    <w:next w:val="1"/>
    <w:qFormat/>
    <w:uiPriority w:val="99"/>
    <w:pPr>
      <w:spacing w:line="600" w:lineRule="exact"/>
      <w:ind w:firstLine="639" w:firstLineChars="206"/>
    </w:pPr>
    <w:rPr>
      <w:rFonts w:ascii="仿宋_GB2312" w:hAnsi="宋体" w:eastAsia="仿宋_GB2312" w:cs="Times New Roman"/>
      <w:sz w:val="3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2025-06-27T07:41:00Z</dcterms:created>
  <dc:creator>李耀明</dc:creator>
  <cp:lastModifiedBy>李耀明</cp:lastModifiedBy>
  <dcterms:modified xsi:type="dcterms:W3CDTF">2025-06-27T07:43:05Z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1731E9F8815D4971853C59F577E564C3_11</vt:lpwstr>
  </property>
  <property fmtid="{D5CDD505-2E9C-101B-9397-08002B2CF9AE}" pid="4" name="KSOTemplateDocerSaveRecord">
    <vt:lpwstr>eyJoZGlkIjoiMDM3NGU3YmU1ODYyYjdmN2E3ZWRhMmM0MjY3M2IwZTIifQ==</vt:lpwstr>
  </property>
</Properties>
</file>