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rPr>
          <w:rFonts w:hint="eastAsia" w:ascii="Times New Roman" w:hAnsi="Times New Roman" w:eastAsia="方正大标宋_GBK" w:cs="方正大标宋_GBK"/>
          <w:color w:val="000000" w:themeColor="text1"/>
          <w:sz w:val="42"/>
          <w:szCs w:val="42"/>
          <w:highlight w:val="none"/>
          <w14:textFill>
            <w14:solidFill>
              <w14:schemeClr w14:val="tx1"/>
            </w14:solidFill>
          </w14:textFill>
        </w:rPr>
      </w:pPr>
      <w:r>
        <w:rPr>
          <w:rFonts w:hint="eastAsia" w:ascii="Times New Roman" w:hAnsi="Times New Roman" w:eastAsia="方正大标宋_GBK" w:cs="方正大标宋_GBK"/>
          <w:color w:val="000000" w:themeColor="text1"/>
          <w:sz w:val="42"/>
          <w:szCs w:val="42"/>
          <w:highlight w:val="none"/>
          <w14:textFill>
            <w14:solidFill>
              <w14:schemeClr w14:val="tx1"/>
            </w14:solidFill>
          </w14:textFill>
        </w:rPr>
        <w:t>202</w:t>
      </w:r>
      <w:r>
        <w:rPr>
          <w:rFonts w:hint="eastAsia" w:ascii="Times New Roman" w:hAnsi="Times New Roman" w:eastAsia="方正大标宋_GBK" w:cs="方正大标宋_GBK"/>
          <w:color w:val="000000" w:themeColor="text1"/>
          <w:sz w:val="42"/>
          <w:szCs w:val="42"/>
          <w:highlight w:val="none"/>
          <w:lang w:val="en-US" w:eastAsia="zh-CN"/>
          <w14:textFill>
            <w14:solidFill>
              <w14:schemeClr w14:val="tx1"/>
            </w14:solidFill>
          </w14:textFill>
        </w:rPr>
        <w:t>5</w:t>
      </w:r>
      <w:r>
        <w:rPr>
          <w:rFonts w:hint="eastAsia" w:ascii="Times New Roman" w:hAnsi="Times New Roman" w:eastAsia="方正大标宋_GBK" w:cs="方正大标宋_GBK"/>
          <w:color w:val="000000" w:themeColor="text1"/>
          <w:sz w:val="42"/>
          <w:szCs w:val="42"/>
          <w:highlight w:val="none"/>
          <w14:textFill>
            <w14:solidFill>
              <w14:schemeClr w14:val="tx1"/>
            </w14:solidFill>
          </w14:textFill>
        </w:rPr>
        <w:t>年江门市住房和城乡建设局硬件设备</w:t>
      </w:r>
    </w:p>
    <w:p>
      <w:pPr>
        <w:keepNext w:val="0"/>
        <w:keepLines w:val="0"/>
        <w:pageBreakBefore w:val="0"/>
        <w:kinsoku/>
        <w:wordWrap/>
        <w:overflowPunct/>
        <w:topLinePunct w:val="0"/>
        <w:autoSpaceDE/>
        <w:autoSpaceDN/>
        <w:bidi w:val="0"/>
        <w:adjustRightInd/>
        <w:snapToGrid/>
        <w:spacing w:line="580" w:lineRule="exact"/>
        <w:jc w:val="center"/>
        <w:rPr>
          <w:rFonts w:hint="eastAsia" w:ascii="Times New Roman" w:hAnsi="Times New Roman" w:eastAsia="方正大标宋_GBK" w:cs="方正大标宋_GBK"/>
          <w:color w:val="000000" w:themeColor="text1"/>
          <w:sz w:val="42"/>
          <w:szCs w:val="42"/>
          <w:highlight w:val="none"/>
          <w14:textFill>
            <w14:solidFill>
              <w14:schemeClr w14:val="tx1"/>
            </w14:solidFill>
          </w14:textFill>
        </w:rPr>
      </w:pPr>
      <w:r>
        <w:rPr>
          <w:rFonts w:hint="eastAsia" w:ascii="Times New Roman" w:hAnsi="Times New Roman" w:eastAsia="方正大标宋_GBK" w:cs="方正大标宋_GBK"/>
          <w:color w:val="000000" w:themeColor="text1"/>
          <w:sz w:val="42"/>
          <w:szCs w:val="42"/>
          <w:highlight w:val="none"/>
          <w14:textFill>
            <w14:solidFill>
              <w14:schemeClr w14:val="tx1"/>
            </w14:solidFill>
          </w14:textFill>
        </w:rPr>
        <w:t>及网络维护服务采购方案</w:t>
      </w:r>
    </w:p>
    <w:p>
      <w:pPr>
        <w:keepNext w:val="0"/>
        <w:keepLines w:val="0"/>
        <w:pageBreakBefore w:val="0"/>
        <w:kinsoku/>
        <w:wordWrap/>
        <w:overflowPunct/>
        <w:topLinePunct w:val="0"/>
        <w:autoSpaceDE/>
        <w:autoSpaceDN/>
        <w:bidi w:val="0"/>
        <w:adjustRightInd/>
        <w:snapToGrid/>
        <w:spacing w:line="580" w:lineRule="exact"/>
        <w:ind w:firstLine="720" w:firstLineChars="240"/>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t>一、项目服务概况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楷体_GBK" w:cs="方正楷体_GBK"/>
          <w:color w:val="000000" w:themeColor="text1"/>
          <w:sz w:val="30"/>
          <w:szCs w:val="30"/>
          <w:highlight w:val="none"/>
          <w14:textFill>
            <w14:solidFill>
              <w14:schemeClr w14:val="tx1"/>
            </w14:solidFill>
          </w14:textFill>
        </w:rPr>
      </w:pPr>
      <w:r>
        <w:rPr>
          <w:rFonts w:hint="eastAsia" w:ascii="Times New Roman" w:hAnsi="Times New Roman" w:eastAsia="方正楷体_GBK" w:cs="方正楷体_GBK"/>
          <w:color w:val="000000" w:themeColor="text1"/>
          <w:sz w:val="30"/>
          <w:szCs w:val="30"/>
          <w:highlight w:val="none"/>
          <w:lang w:eastAsia="zh-CN"/>
          <w14:textFill>
            <w14:solidFill>
              <w14:schemeClr w14:val="tx1"/>
            </w14:solidFill>
          </w14:textFill>
        </w:rPr>
        <w:t>（一）</w:t>
      </w:r>
      <w:r>
        <w:rPr>
          <w:rFonts w:hint="eastAsia" w:ascii="Times New Roman" w:hAnsi="Times New Roman" w:eastAsia="方正楷体_GBK" w:cs="方正楷体_GBK"/>
          <w:color w:val="000000" w:themeColor="text1"/>
          <w:sz w:val="30"/>
          <w:szCs w:val="30"/>
          <w:highlight w:val="none"/>
          <w14:textFill>
            <w14:solidFill>
              <w14:schemeClr w14:val="tx1"/>
            </w14:solidFill>
          </w14:textFill>
        </w:rPr>
        <w:t>服务内容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1</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对办公设备（包括电脑、打印机、投影仪、网络设备、多媒体设备等）进行维护：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硬件故障诊断及排除，对需更换零配件的，提出建议。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各类操作系统故障诊断、排除、重装；电话线路接通、故障排查。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2</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电脑及相关软（硬）件及周边设备的安装、调试。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3</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电脑办公设备合理使用建议及帮助。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4</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内部局域网络、与相关外部单位对接的网络维护：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出现网络中断时，排查机房路由、交换机、防火墙等设备，寻找断网原因，快速给出解决方案并处理故障问题。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存储设备出现故障时排查存储设备故障原因，尝试恢复设备正常运行，使用适当技术手段防止更多数据丢失及协助从备份数据中恢复数据。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核心、接入交换机配置调整、优化。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出口端防火墙配置调整、优化。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4</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对保障网络安全提出建议，推荐网络安全设备。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5</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服务器维护：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服务器的阵列重建。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系统安装、修复、数据备份。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病毒查杀、补丁修复。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4</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网络连通性检查。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5</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硬件故障和兼容性检查。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6</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系统平台故障检查，协助系统软件上线及完成维护。</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6</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安防闭路监控维护</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对安防监控摄像头安装、调试，故障排查。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楷体_GBK" w:cs="方正楷体_GBK"/>
          <w:color w:val="000000" w:themeColor="text1"/>
          <w:sz w:val="30"/>
          <w:szCs w:val="30"/>
          <w:highlight w:val="none"/>
          <w:lang w:eastAsia="zh-CN"/>
          <w14:textFill>
            <w14:solidFill>
              <w14:schemeClr w14:val="tx1"/>
            </w14:solidFill>
          </w14:textFill>
        </w:rPr>
      </w:pPr>
      <w:r>
        <w:rPr>
          <w:rFonts w:hint="eastAsia" w:ascii="Times New Roman" w:hAnsi="Times New Roman" w:eastAsia="方正楷体_GBK" w:cs="方正楷体_GBK"/>
          <w:color w:val="000000" w:themeColor="text1"/>
          <w:sz w:val="30"/>
          <w:szCs w:val="30"/>
          <w:highlight w:val="none"/>
          <w:lang w:eastAsia="zh-CN"/>
          <w14:textFill>
            <w14:solidFill>
              <w14:schemeClr w14:val="tx1"/>
            </w14:solidFill>
          </w14:textFill>
        </w:rPr>
        <w:t>（二）服务范围</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1</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服务范围涵盖江门市住房和城乡建设局机关、服务窗口及直属单位</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、代管企业。</w:t>
      </w:r>
    </w:p>
    <w:tbl>
      <w:tblPr>
        <w:tblStyle w:val="18"/>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8"/>
        <w:gridCol w:w="4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b/>
                <w:bCs/>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b/>
                <w:bCs/>
                <w:color w:val="000000" w:themeColor="text1"/>
                <w:sz w:val="24"/>
                <w:szCs w:val="24"/>
                <w:highlight w:val="none"/>
                <w14:textFill>
                  <w14:solidFill>
                    <w14:schemeClr w14:val="tx1"/>
                  </w14:solidFill>
                </w14:textFill>
              </w:rPr>
              <w:t>服务范围</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b/>
                <w:bCs/>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b/>
                <w:bCs/>
                <w:color w:val="000000" w:themeColor="text1"/>
                <w:sz w:val="24"/>
                <w:szCs w:val="24"/>
                <w:highlight w:val="none"/>
                <w14:textFill>
                  <w14:solidFill>
                    <w14:schemeClr w14:val="tx1"/>
                  </w14:solidFill>
                </w14:textFill>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江门市住房和城乡建设局</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住建大厦9、10、11、12、13、14、15楼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江门市人民政府行政服务中心</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住建窗口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江门市住房公积金管理中心</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住建大厦2楼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江门市建设工程安全管理站</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住建大厦5楼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江门市住宅专项维修资金管理中心</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住建大厦副楼3楼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lang w:eastAsia="zh-CN"/>
                <w14:textFill>
                  <w14:solidFill>
                    <w14:schemeClr w14:val="tx1"/>
                  </w14:solidFill>
                </w14:textFill>
              </w:rPr>
              <w:t>江门市</w:t>
            </w: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建设工程造价和房地产监测中心</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住建大厦副楼3楼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江门市名城保护和城建档案管理中心</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住建大厦1楼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广东五邑建设工程设计审查有限公司</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蓬江区农林西路81号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江门市</w:t>
            </w:r>
            <w:r>
              <w:rPr>
                <w:rFonts w:hint="eastAsia" w:ascii="Times New Roman" w:hAnsi="Times New Roman" w:eastAsia="方正仿宋_GBK" w:cs="方正仿宋_GBK"/>
                <w:color w:val="000000" w:themeColor="text1"/>
                <w:sz w:val="24"/>
                <w:szCs w:val="24"/>
                <w:highlight w:val="none"/>
                <w:lang w:eastAsia="zh-CN"/>
                <w14:textFill>
                  <w14:solidFill>
                    <w14:schemeClr w14:val="tx1"/>
                  </w14:solidFill>
                </w14:textFill>
              </w:rPr>
              <w:t>市</w:t>
            </w: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区公房管理中心</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住建大厦副楼3楼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lang w:eastAsia="zh-CN"/>
                <w14:textFill>
                  <w14:solidFill>
                    <w14:schemeClr w14:val="tx1"/>
                  </w14:solidFill>
                </w14:textFill>
              </w:rPr>
              <w:t>江门市</w:t>
            </w: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市区公房管理中心北区工作站</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蓬江区福泽园5幢之二103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lang w:eastAsia="zh-CN"/>
                <w14:textFill>
                  <w14:solidFill>
                    <w14:schemeClr w14:val="tx1"/>
                  </w14:solidFill>
                </w14:textFill>
              </w:rPr>
              <w:t>江门市</w:t>
            </w: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市区公房管理中心西区工作站</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蓬江区紫云里4号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lang w:eastAsia="zh-CN"/>
                <w14:textFill>
                  <w14:solidFill>
                    <w14:schemeClr w14:val="tx1"/>
                  </w14:solidFill>
                </w14:textFill>
              </w:rPr>
              <w:t>江门市</w:t>
            </w: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市区公房管理中心中区工作站</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蓬江区莲平路新安里3号首二层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lang w:eastAsia="zh-CN"/>
                <w14:textFill>
                  <w14:solidFill>
                    <w14:schemeClr w14:val="tx1"/>
                  </w14:solidFill>
                </w14:textFill>
              </w:rPr>
              <w:t>江门市</w:t>
            </w: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市区公房管理中心东区工作站</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浮石路86号首层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lang w:eastAsia="zh-CN"/>
                <w14:textFill>
                  <w14:solidFill>
                    <w14:schemeClr w14:val="tx1"/>
                  </w14:solidFill>
                </w14:textFill>
              </w:rPr>
              <w:t>江门市</w:t>
            </w: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市区公房管理中心南区工作站</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住建大厦副楼1楼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lang w:eastAsia="zh-CN"/>
                <w14:textFill>
                  <w14:solidFill>
                    <w14:schemeClr w14:val="tx1"/>
                  </w14:solidFill>
                </w14:textFill>
              </w:rPr>
              <w:t>江门市</w:t>
            </w: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市区公房管理中心堤中路23号</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蓬江区堤中路23号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28"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江宇物业管理有限公司</w:t>
            </w:r>
          </w:p>
        </w:tc>
        <w:tc>
          <w:tcPr>
            <w:tcW w:w="466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住建大厦1、2、3、4、5楼</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配置及维护主要核心设备种类及品牌：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深信服防火墙。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锐捷核心交换机。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锐捷、3com层间交换机。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4</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联想虚拟服务器。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5</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联想、netapp磁盘阵列存储。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6</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伟思网闸。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7</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深信服全网行为管理设备。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3</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设备数量：局机关、服务窗口及下属单位</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、代管企业</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电脑和打印机总数约700台（约为人均一台电脑一台打印机），住建大厦15楼机房服务器及安全设备约40台。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楷体_GBK" w:cs="方正楷体_GBK"/>
          <w:color w:val="000000" w:themeColor="text1"/>
          <w:sz w:val="30"/>
          <w:szCs w:val="30"/>
          <w:highlight w:val="none"/>
          <w:lang w:eastAsia="zh-CN"/>
          <w14:textFill>
            <w14:solidFill>
              <w14:schemeClr w14:val="tx1"/>
            </w14:solidFill>
          </w14:textFill>
        </w:rPr>
      </w:pPr>
      <w:r>
        <w:rPr>
          <w:rFonts w:hint="eastAsia" w:ascii="Times New Roman" w:hAnsi="Times New Roman" w:eastAsia="方正楷体_GBK" w:cs="方正楷体_GBK"/>
          <w:color w:val="000000" w:themeColor="text1"/>
          <w:sz w:val="30"/>
          <w:szCs w:val="30"/>
          <w:highlight w:val="none"/>
          <w:lang w:eastAsia="zh-CN"/>
          <w14:textFill>
            <w14:solidFill>
              <w14:schemeClr w14:val="tx1"/>
            </w14:solidFill>
          </w14:textFill>
        </w:rPr>
        <w:t>（三）具体服务要求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1</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供应商安排在工作日每天选派</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至少</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一名</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技术</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人员对接</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工作</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，及时沟通解决工作需求。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2</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供应商维护服务时间以采购人的办公时间为准，并提供7*24小时电话技术支持。技术人员驻守时间与采购人正常办公时间一致，即上午8</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30－12</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00（驻场或响应上门）、下午14:30-17:30（驻场或响应上门），并根据采购人办公时间调整。如有特殊情况，需在非正常工作时间内进行维护工作的，供应商必须配合采购人开展工作。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3</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根据采购人的需求，供应商保证指派一名技术人员</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到</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采购人指定场地</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对接工作</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。如发生重大或紧急事件，供应商应派遣具有相应技术能力的服务团队到现场响应支持服务。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4</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供应商</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对接</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技术人员接到报障后，应在20分钟内响应；并有服务团队技术人员作为技术支持与应急帮手，接到电话报障后，20分钟内响应并能2小时内到场协调维护工作。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5</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供应商不得向采购人销售硬件部件、耗材等，如需供应商协助更换硬件部件、耗材等，需待采购人联系第三方供应商采购后，供应商再协助安装。</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textAlignment w:val="auto"/>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t>二、服务期限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服务期限为合同签订并生效后一年。</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textAlignment w:val="auto"/>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t>三、服务费用及支付方式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1</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服务费用是完成服务内容及要求的含税全包价，采取总价包干方式，所有价格变动的风险均由供应商承担。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2</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本项目</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预算金额</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为人民币肆万玖仟玖佰柒拾元整（¥</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49</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970</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.00元)。项目服务内容详细价格构成清单见下表。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744"/>
        <w:gridCol w:w="1744"/>
        <w:gridCol w:w="1744"/>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5"/>
          </w:tcPr>
          <w:p>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imes New Roman" w:hAnsi="Times New Roman"/>
                <w:vertAlign w:val="baseline"/>
              </w:rPr>
            </w:pPr>
            <w:r>
              <w:rPr>
                <w:rFonts w:hint="eastAsia" w:ascii="Times New Roman" w:hAnsi="Times New Roman"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2025年硬件设备及网络维护服务明细及单价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服务项目</w:t>
            </w:r>
          </w:p>
        </w:tc>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数量</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（工时/天）</w:t>
            </w:r>
          </w:p>
        </w:tc>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周期</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（工作天）</w:t>
            </w:r>
          </w:p>
        </w:tc>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控制单价</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（元/天）</w:t>
            </w:r>
          </w:p>
        </w:tc>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控制总价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技术人员</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vertAlign w:val="baseline"/>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每日对接</w:t>
            </w:r>
          </w:p>
        </w:tc>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vertAlign w:val="baseline"/>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4</w:t>
            </w:r>
          </w:p>
        </w:tc>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vertAlign w:val="baseline"/>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250</w:t>
            </w:r>
          </w:p>
        </w:tc>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vertAlign w:val="baseline"/>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 xml:space="preserve">49.97 </w:t>
            </w:r>
          </w:p>
        </w:tc>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vertAlign w:val="baseline"/>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 xml:space="preserve">49970.00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vertAlign w:val="baseline"/>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合计（元）</w:t>
            </w:r>
          </w:p>
        </w:tc>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vertAlign w:val="baseline"/>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vertAlign w:val="baseline"/>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rPr>
                <w:rFonts w:hint="eastAsia" w:ascii="Times New Roman" w:hAnsi="Times New Roman"/>
                <w:vertAlign w:val="baseline"/>
              </w:rPr>
            </w:pPr>
          </w:p>
        </w:tc>
        <w:tc>
          <w:tcPr>
            <w:tcW w:w="174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vertAlign w:val="baseline"/>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49970.00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0" w:type="dxa"/>
            <w:gridSpan w:val="5"/>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备注：</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（一）具体服务内容包括：</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1.对办公设备（包括电脑、打印机、投影仪、网络设备、多媒体设备等）进行维护；</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2.电脑及相关软（硬）件及周边设备的安装、调试；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3.电脑办公设备合理使用建议及帮助；</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4.内部局域网络、与相关外部单位对接的网络维护；</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5.服务器维护；</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6.安防闭路监控维护，对安防监控摄像头安装、调试，故障排查。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Times New Roman" w:hAnsi="Times New Roman" w:eastAsia="方正仿宋_GBK" w:cs="方正仿宋_GBK"/>
                <w:color w:val="000000" w:themeColor="text1"/>
                <w:kern w:val="0"/>
                <w:sz w:val="24"/>
                <w:szCs w:val="24"/>
                <w:highlight w:val="none"/>
                <w:u w:val="none"/>
                <w:lang w:eastAsia="zh-CN" w:bidi="ar"/>
                <w14:textFill>
                  <w14:solidFill>
                    <w14:schemeClr w14:val="tx1"/>
                  </w14:solidFill>
                </w14:textFill>
              </w:rPr>
            </w:pPr>
            <w:r>
              <w:rPr>
                <w:rFonts w:hint="eastAsia" w:ascii="Times New Roman" w:hAnsi="Times New Roman"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（二）技术人员对接费用需包含</w:t>
            </w:r>
            <w:r>
              <w:rPr>
                <w:rFonts w:hint="eastAsia" w:ascii="Times New Roman" w:hAnsi="Times New Roman" w:eastAsia="方正仿宋_GBK" w:cs="方正仿宋_GBK"/>
                <w:color w:val="000000" w:themeColor="text1"/>
                <w:kern w:val="0"/>
                <w:sz w:val="24"/>
                <w:szCs w:val="24"/>
                <w:highlight w:val="none"/>
                <w:u w:val="none"/>
                <w:lang w:bidi="ar"/>
                <w14:textFill>
                  <w14:solidFill>
                    <w14:schemeClr w14:val="tx1"/>
                  </w14:solidFill>
                </w14:textFill>
              </w:rPr>
              <w:t>24小时响应服务</w:t>
            </w:r>
            <w:r>
              <w:rPr>
                <w:rFonts w:hint="eastAsia" w:ascii="Times New Roman" w:hAnsi="Times New Roman" w:eastAsia="方正仿宋_GBK" w:cs="方正仿宋_GBK"/>
                <w:color w:val="000000" w:themeColor="text1"/>
                <w:kern w:val="0"/>
                <w:sz w:val="24"/>
                <w:szCs w:val="24"/>
                <w:highlight w:val="none"/>
                <w:u w:val="none"/>
                <w:lang w:eastAsia="zh-CN" w:bidi="ar"/>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Times New Roman" w:hAnsi="Times New Roman"/>
                <w:vertAlign w:val="baseline"/>
              </w:rPr>
            </w:pPr>
            <w:r>
              <w:rPr>
                <w:rFonts w:hint="eastAsia" w:ascii="Times New Roman" w:hAnsi="Times New Roman" w:eastAsia="方正仿宋_GBK" w:cs="方正仿宋_GBK"/>
                <w:color w:val="000000" w:themeColor="text1"/>
                <w:kern w:val="0"/>
                <w:sz w:val="24"/>
                <w:szCs w:val="24"/>
                <w:highlight w:val="none"/>
                <w:u w:val="none"/>
                <w:lang w:eastAsia="zh-CN" w:bidi="ar"/>
                <w14:textFill>
                  <w14:solidFill>
                    <w14:schemeClr w14:val="tx1"/>
                  </w14:solidFill>
                </w14:textFill>
              </w:rPr>
              <w:t>（三）技术人员对接费用依据《2023年江门市人力资源市场工资价位及行业人工成本参考信息》第四部分第一项第（一）分项中“信息传输、软件和信息技术服务业”人均人工成本</w:t>
            </w:r>
            <w:r>
              <w:rPr>
                <w:rFonts w:hint="eastAsia" w:ascii="Times New Roman" w:hAnsi="Times New Roman" w:eastAsia="方正仿宋_GBK" w:cs="方正仿宋_GBK"/>
                <w:color w:val="000000" w:themeColor="text1"/>
                <w:kern w:val="0"/>
                <w:sz w:val="24"/>
                <w:szCs w:val="24"/>
                <w:highlight w:val="none"/>
                <w:u w:val="none"/>
                <w:lang w:val="en-US" w:eastAsia="zh-CN" w:bidi="ar"/>
                <w14:textFill>
                  <w14:solidFill>
                    <w14:schemeClr w14:val="tx1"/>
                  </w14:solidFill>
                </w14:textFill>
              </w:rPr>
              <w:t>25分位计算，即5.76万元/年。</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3</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本项目采用分二期支付</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方式</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：合同签订并生效后，</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采购人</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向供应商支付合同价款的60%；服务期届满前30日，采购人开展验收，验收合格后</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且服务期满后</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向供应商支付剩余的合同价款。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供应商向采购人申请付款时，需先向采购人提供以下资料：相当于采购人付款金额的发票，且收款方、出具发票方均必须与供应商合同名称一致，否则采购人有权拒绝付款。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因采购人使用的是财政资金，前款规定的付款时间为采购经办人发起支付申请手续的时间（不含相关手续审核时间），在规定时间内发起支付申请手续后即视为采购人已经按期支付。</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t>四、验收方式</w:t>
      </w:r>
    </w:p>
    <w:p>
      <w:pPr>
        <w:pStyle w:val="25"/>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供应商</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在</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合同服务期内完成合同全部服务内容后，由采购人按照程序对合同规定的具体服务内容事项组织验收。</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t>五、供应商资格要求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1</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2</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符合《中华人民共和国政府采购法》第二十二条的规定，并应提交有效的企业法人营业执照副本复印件或法人资格凭证。分支机构投标的，须提供总公司和分公司营业执照副本复印件，总公司出具给分支机构的授权书。</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3</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应按照采购单位需求进行服务，确保具有足够的人力、物力，并依时完成服务和保证服务质量。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4</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5</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本项目不接受联合体投标。</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t>六、采购方式与投标响应资料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本次采购项目不属于集中采购目录清单和广东省网上中介服务超市服务清单，拟根据《江门市住房和城乡建设局自行采购管理办法》</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开展公开招标采购。采购人将从三家及以上</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相应的供应商</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中，根据附</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件</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中的评审内容进行综合评定，根据其综合得分，得分最高者即为中选</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供应商</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。对</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响应</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的</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供应商</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不足三家或符合资格要求不足三家的，终止采购并经调整采购方案后重新采购。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供应商响应时间为采购方案公告后</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三个工作日内</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将响应文件纸质材料交至市住房城乡建设局（江门市江海区江海一路83号）11楼办公室，逾期视为放弃响应。</w:t>
      </w:r>
      <w:bookmarkStart w:id="0" w:name="_Hlk137053161"/>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采购人将根据《202</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5</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年江门市住房和城乡建设局硬件设备及网络维护服务采购投标文件评委评审表》（详见附件）对响应文件进行综合评定。</w:t>
      </w:r>
      <w:bookmarkEnd w:id="0"/>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供应商根据采购服务要求编写响应文件，包括但不仅限于以下内容：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1</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服务项目的实施计划、方案等。</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2</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服务项目的详细报价。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相关业绩。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4.公司</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资质</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认证等</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证明文件。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5.</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技术服务团队成员</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按评审因素提供</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相关职称或职业技能证书。</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6.</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营业执照。</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t>七、其他事项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1</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本采购需求中货币单位均为人民币。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2</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采购人向供应商提供的资料和数据，是采购人现有的能供供应商利用的资料，采购人对供应商由此而做出的推论、理解和结论概不负责。供应商因自身原因未到供货现场实地查勘的，成交后签订合同时和履约过程中，供应商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3</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成交供应商不得在成交后将成交项目转包给其他企业法人、自然人或其他组织，否则采购人有权解除合同。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4</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修订原则与澄清需求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大写金额和小写金额不一致的，以大写金额为准</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单价金额小数点或者百分比有明显错位的，以投标总价为准，并修改单价</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5</w:t>
      </w:r>
      <w:r>
        <w:rPr>
          <w:rFonts w:hint="eastAsia" w:ascii="Times New Roman" w:hAnsi="Times New Roman" w:eastAsia="方正仿宋_GBK" w:cs="方正仿宋_GBK"/>
          <w:color w:val="000000" w:themeColor="text1"/>
          <w:sz w:val="30"/>
          <w:szCs w:val="30"/>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投标文件每一页均需加盖投标单位公章，否则作无效投标处理。</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0" w:firstLineChars="200"/>
        <w:textAlignment w:val="auto"/>
        <w:rPr>
          <w:rFonts w:hint="eastAsia" w:ascii="Times New Roman" w:hAnsi="Times New Roman" w:eastAsia="方正黑体_GBK" w:cs="方正黑体_GBK"/>
          <w:b w:val="0"/>
          <w:bCs w:val="0"/>
          <w:color w:val="000000" w:themeColor="text1"/>
          <w:sz w:val="30"/>
          <w:szCs w:val="30"/>
          <w:highlight w:val="none"/>
          <w14:textFill>
            <w14:solidFill>
              <w14:schemeClr w14:val="tx1"/>
            </w14:solidFill>
          </w14:textFill>
        </w:rPr>
      </w:pPr>
      <w:r>
        <w:rPr>
          <w:rFonts w:hint="eastAsia" w:ascii="Times New Roman" w:hAnsi="Times New Roman" w:eastAsia="方正黑体_GBK" w:cs="方正黑体_GBK"/>
          <w:b w:val="0"/>
          <w:bCs w:val="0"/>
          <w:color w:val="000000" w:themeColor="text1"/>
          <w:sz w:val="30"/>
          <w:szCs w:val="30"/>
          <w:highlight w:val="none"/>
          <w:lang w:eastAsia="zh-CN"/>
          <w14:textFill>
            <w14:solidFill>
              <w14:schemeClr w14:val="tx1"/>
            </w14:solidFill>
          </w14:textFill>
        </w:rPr>
        <w:t>八、</w:t>
      </w:r>
      <w:r>
        <w:rPr>
          <w:rFonts w:hint="eastAsia" w:ascii="Times New Roman" w:hAnsi="Times New Roman" w:eastAsia="方正黑体_GBK" w:cs="方正黑体_GBK"/>
          <w:b w:val="0"/>
          <w:bCs w:val="0"/>
          <w:color w:val="000000" w:themeColor="text1"/>
          <w:sz w:val="30"/>
          <w:szCs w:val="30"/>
          <w:highlight w:val="none"/>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联系人：吕先生，联系电话：0750-3829871；</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联系地址：江门市江海区江海一路83号江门市住房</w:t>
      </w:r>
      <w:r>
        <w:rPr>
          <w:rFonts w:hint="eastAsia" w:ascii="Times New Roman" w:hAnsi="Times New Roman" w:eastAsia="方正仿宋_GBK" w:cs="方正仿宋_GBK"/>
          <w:color w:val="000000" w:themeColor="text1"/>
          <w:sz w:val="30"/>
          <w:szCs w:val="30"/>
          <w:highlight w:val="none"/>
          <w:lang w:eastAsia="zh-CN"/>
          <w14:textFill>
            <w14:solidFill>
              <w14:schemeClr w14:val="tx1"/>
            </w14:solidFill>
          </w14:textFill>
        </w:rPr>
        <w:t>和</w:t>
      </w: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城乡建设局。</w:t>
      </w:r>
    </w:p>
    <w:p>
      <w:pPr>
        <w:spacing w:line="620" w:lineRule="exact"/>
        <w:ind w:firstLine="768" w:firstLineChars="240"/>
        <w:rPr>
          <w:rFonts w:hint="eastAsia" w:ascii="Times New Roman" w:hAnsi="Times New Roman" w:eastAsia="仿宋_GB2312" w:cs="仿宋_GB2312"/>
          <w:color w:val="000000" w:themeColor="text1"/>
          <w:sz w:val="32"/>
          <w:szCs w:val="32"/>
          <w:highlight w:val="none"/>
          <w14:textFill>
            <w14:solidFill>
              <w14:schemeClr w14:val="tx1"/>
            </w14:solidFill>
          </w14:textFill>
        </w:rPr>
      </w:pPr>
    </w:p>
    <w:p>
      <w:pPr>
        <w:spacing w:line="620" w:lineRule="exact"/>
        <w:jc w:val="left"/>
        <w:rPr>
          <w:rFonts w:hint="eastAsia" w:ascii="Times New Roman" w:hAnsi="Times New Roman" w:eastAsia="方正黑体_GBK" w:cs="方正黑体_GBK"/>
          <w:b w:val="0"/>
          <w:bCs w:val="0"/>
          <w:color w:val="000000" w:themeColor="text1"/>
          <w:kern w:val="0"/>
          <w:sz w:val="30"/>
          <w:szCs w:val="30"/>
          <w:highlight w:val="none"/>
          <w14:textFill>
            <w14:solidFill>
              <w14:schemeClr w14:val="tx1"/>
            </w14:solidFill>
          </w14:textFill>
        </w:rPr>
      </w:pPr>
    </w:p>
    <w:p>
      <w:pPr>
        <w:spacing w:line="620" w:lineRule="exact"/>
        <w:jc w:val="left"/>
        <w:rPr>
          <w:rFonts w:hint="eastAsia" w:ascii="Times New Roman" w:hAnsi="Times New Roman" w:eastAsia="方正黑体_GBK" w:cs="方正黑体_GBK"/>
          <w:b w:val="0"/>
          <w:bCs w:val="0"/>
          <w:color w:val="000000" w:themeColor="text1"/>
          <w:kern w:val="0"/>
          <w:sz w:val="30"/>
          <w:szCs w:val="30"/>
          <w:highlight w:val="none"/>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kern w:val="0"/>
          <w:sz w:val="30"/>
          <w:szCs w:val="30"/>
          <w:highlight w:val="none"/>
          <w14:textFill>
            <w14:solidFill>
              <w14:schemeClr w14:val="tx1"/>
            </w14:solidFill>
          </w14:textFill>
        </w:rPr>
        <w:t>附件</w:t>
      </w:r>
    </w:p>
    <w:p>
      <w:pPr>
        <w:pStyle w:val="2"/>
        <w:rPr>
          <w:rFonts w:hint="eastAsia" w:ascii="Times New Roman" w:hAnsi="Times New Roman"/>
          <w:lang w:val="en-US" w:eastAsia="zh-CN"/>
        </w:rPr>
      </w:pPr>
    </w:p>
    <w:p>
      <w:pPr>
        <w:spacing w:line="400" w:lineRule="exact"/>
        <w:jc w:val="center"/>
        <w:rPr>
          <w:rFonts w:hint="eastAsia" w:ascii="Times New Roman" w:hAnsi="Times New Roman" w:eastAsia="方正黑体_GBK" w:cs="方正黑体_GBK"/>
          <w:b w:val="0"/>
          <w:bCs w:val="0"/>
          <w:color w:val="000000" w:themeColor="text1"/>
          <w:kern w:val="0"/>
          <w:sz w:val="36"/>
          <w:szCs w:val="36"/>
          <w:highlight w:val="none"/>
          <w14:textFill>
            <w14:solidFill>
              <w14:schemeClr w14:val="tx1"/>
            </w14:solidFill>
          </w14:textFill>
        </w:rPr>
      </w:pPr>
      <w:r>
        <w:rPr>
          <w:rFonts w:hint="eastAsia" w:ascii="Times New Roman" w:hAnsi="Times New Roman" w:eastAsia="方正黑体_GBK" w:cs="方正黑体_GBK"/>
          <w:b w:val="0"/>
          <w:bCs w:val="0"/>
          <w:color w:val="000000" w:themeColor="text1"/>
          <w:kern w:val="0"/>
          <w:sz w:val="36"/>
          <w:szCs w:val="36"/>
          <w:highlight w:val="none"/>
          <w14:textFill>
            <w14:solidFill>
              <w14:schemeClr w14:val="tx1"/>
            </w14:solidFill>
          </w14:textFill>
        </w:rPr>
        <w:t>202</w:t>
      </w:r>
      <w:r>
        <w:rPr>
          <w:rFonts w:hint="eastAsia" w:ascii="Times New Roman" w:hAnsi="Times New Roman" w:eastAsia="方正黑体_GBK" w:cs="方正黑体_GBK"/>
          <w:b w:val="0"/>
          <w:bCs w:val="0"/>
          <w:color w:val="000000" w:themeColor="text1"/>
          <w:kern w:val="0"/>
          <w:sz w:val="36"/>
          <w:szCs w:val="36"/>
          <w:highlight w:val="none"/>
          <w:lang w:val="en-US" w:eastAsia="zh-CN"/>
          <w14:textFill>
            <w14:solidFill>
              <w14:schemeClr w14:val="tx1"/>
            </w14:solidFill>
          </w14:textFill>
        </w:rPr>
        <w:t>5</w:t>
      </w:r>
      <w:r>
        <w:rPr>
          <w:rFonts w:hint="eastAsia" w:ascii="Times New Roman" w:hAnsi="Times New Roman" w:eastAsia="方正黑体_GBK" w:cs="方正黑体_GBK"/>
          <w:b w:val="0"/>
          <w:bCs w:val="0"/>
          <w:color w:val="000000" w:themeColor="text1"/>
          <w:kern w:val="0"/>
          <w:sz w:val="36"/>
          <w:szCs w:val="36"/>
          <w:highlight w:val="none"/>
          <w14:textFill>
            <w14:solidFill>
              <w14:schemeClr w14:val="tx1"/>
            </w14:solidFill>
          </w14:textFill>
        </w:rPr>
        <w:t>年江门市住房和城乡建设局硬件设备</w:t>
      </w:r>
    </w:p>
    <w:p>
      <w:pPr>
        <w:spacing w:line="400" w:lineRule="exact"/>
        <w:jc w:val="center"/>
        <w:rPr>
          <w:rFonts w:hint="eastAsia" w:ascii="Times New Roman" w:hAnsi="Times New Roman" w:eastAsia="方正黑体_GBK" w:cs="方正黑体_GBK"/>
          <w:b w:val="0"/>
          <w:bCs w:val="0"/>
          <w:color w:val="000000" w:themeColor="text1"/>
          <w:kern w:val="0"/>
          <w:sz w:val="36"/>
          <w:szCs w:val="36"/>
          <w:highlight w:val="none"/>
          <w14:textFill>
            <w14:solidFill>
              <w14:schemeClr w14:val="tx1"/>
            </w14:solidFill>
          </w14:textFill>
        </w:rPr>
      </w:pPr>
      <w:r>
        <w:rPr>
          <w:rFonts w:hint="eastAsia" w:ascii="Times New Roman" w:hAnsi="Times New Roman" w:eastAsia="方正黑体_GBK" w:cs="方正黑体_GBK"/>
          <w:b w:val="0"/>
          <w:bCs w:val="0"/>
          <w:color w:val="000000" w:themeColor="text1"/>
          <w:kern w:val="0"/>
          <w:sz w:val="36"/>
          <w:szCs w:val="36"/>
          <w:highlight w:val="none"/>
          <w14:textFill>
            <w14:solidFill>
              <w14:schemeClr w14:val="tx1"/>
            </w14:solidFill>
          </w14:textFill>
        </w:rPr>
        <w:t>及网络维护服务采购投标文件评委评审表</w:t>
      </w: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ascii="Times New Roman" w:hAnsi="Times New Roman"/>
        </w:rPr>
      </w:pPr>
    </w:p>
    <w:tbl>
      <w:tblPr>
        <w:tblStyle w:val="18"/>
        <w:tblW w:w="933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FFFF00"/>
        <w:tblLayout w:type="autofit"/>
        <w:tblCellMar>
          <w:top w:w="0" w:type="dxa"/>
          <w:left w:w="108" w:type="dxa"/>
          <w:bottom w:w="0" w:type="dxa"/>
          <w:right w:w="108" w:type="dxa"/>
        </w:tblCellMar>
      </w:tblPr>
      <w:tblGrid>
        <w:gridCol w:w="824"/>
        <w:gridCol w:w="1883"/>
        <w:gridCol w:w="66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FFFF00"/>
          <w:tblCellMar>
            <w:top w:w="0" w:type="dxa"/>
            <w:left w:w="108" w:type="dxa"/>
            <w:bottom w:w="0" w:type="dxa"/>
            <w:right w:w="108" w:type="dxa"/>
          </w:tblCellMar>
        </w:tblPrEx>
        <w:trPr>
          <w:jc w:val="center"/>
        </w:trPr>
        <w:tc>
          <w:tcPr>
            <w:tcW w:w="824" w:type="dxa"/>
            <w:shd w:val="clear" w:color="auto" w:fill="auto"/>
            <w:noWrap w:val="0"/>
            <w:vAlign w:val="center"/>
          </w:tcPr>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评审因素</w:t>
            </w:r>
          </w:p>
        </w:tc>
        <w:tc>
          <w:tcPr>
            <w:tcW w:w="8511" w:type="dxa"/>
            <w:gridSpan w:val="2"/>
            <w:shd w:val="clear" w:color="auto" w:fill="auto"/>
            <w:noWrap w:val="0"/>
            <w:vAlign w:val="center"/>
          </w:tcPr>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FFFF00"/>
          <w:tblCellMar>
            <w:top w:w="0" w:type="dxa"/>
            <w:left w:w="108" w:type="dxa"/>
            <w:bottom w:w="0" w:type="dxa"/>
            <w:right w:w="108" w:type="dxa"/>
          </w:tblCellMar>
        </w:tblPrEx>
        <w:trPr>
          <w:jc w:val="center"/>
        </w:trPr>
        <w:tc>
          <w:tcPr>
            <w:tcW w:w="824" w:type="dxa"/>
            <w:shd w:val="clear" w:color="auto" w:fill="auto"/>
            <w:noWrap w:val="0"/>
            <w:vAlign w:val="center"/>
          </w:tcPr>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分值构成</w:t>
            </w:r>
          </w:p>
        </w:tc>
        <w:tc>
          <w:tcPr>
            <w:tcW w:w="8511" w:type="dxa"/>
            <w:gridSpan w:val="2"/>
            <w:shd w:val="clear" w:color="auto" w:fill="auto"/>
            <w:noWrap w:val="0"/>
            <w:vAlign w:val="center"/>
          </w:tcPr>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技术部分</w:t>
            </w:r>
            <w:r>
              <w:rPr>
                <w:rFonts w:hint="eastAsia" w:ascii="Times New Roman" w:hAnsi="Times New Roman" w:eastAsia="方正仿宋_GBK" w:cs="方正仿宋_GBK"/>
                <w:color w:val="000000"/>
                <w:sz w:val="24"/>
                <w:szCs w:val="24"/>
                <w:highlight w:val="none"/>
                <w:lang w:val="en-US" w:eastAsia="zh-CN"/>
              </w:rPr>
              <w:t>5</w:t>
            </w:r>
            <w:r>
              <w:rPr>
                <w:rFonts w:hint="eastAsia" w:ascii="Times New Roman" w:hAnsi="Times New Roman" w:eastAsia="方正仿宋_GBK" w:cs="方正仿宋_GBK"/>
                <w:color w:val="000000"/>
                <w:sz w:val="24"/>
                <w:szCs w:val="24"/>
                <w:highlight w:val="none"/>
              </w:rPr>
              <w:t>0.0分</w:t>
            </w:r>
          </w:p>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商务部分</w:t>
            </w:r>
            <w:r>
              <w:rPr>
                <w:rFonts w:hint="eastAsia" w:ascii="Times New Roman" w:hAnsi="Times New Roman" w:eastAsia="方正仿宋_GBK" w:cs="方正仿宋_GBK"/>
                <w:color w:val="000000"/>
                <w:sz w:val="24"/>
                <w:szCs w:val="24"/>
                <w:highlight w:val="none"/>
                <w:lang w:val="en-US" w:eastAsia="zh-CN"/>
              </w:rPr>
              <w:t>40</w:t>
            </w:r>
            <w:r>
              <w:rPr>
                <w:rFonts w:hint="eastAsia" w:ascii="Times New Roman" w:hAnsi="Times New Roman" w:eastAsia="方正仿宋_GBK" w:cs="方正仿宋_GBK"/>
                <w:color w:val="000000"/>
                <w:sz w:val="24"/>
                <w:szCs w:val="24"/>
                <w:highlight w:val="none"/>
              </w:rPr>
              <w:t>.0分</w:t>
            </w:r>
          </w:p>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FFFF00"/>
          <w:tblCellMar>
            <w:top w:w="0" w:type="dxa"/>
            <w:left w:w="108" w:type="dxa"/>
            <w:bottom w:w="0" w:type="dxa"/>
            <w:right w:w="108" w:type="dxa"/>
          </w:tblCellMar>
        </w:tblPrEx>
        <w:trPr>
          <w:jc w:val="center"/>
        </w:trPr>
        <w:tc>
          <w:tcPr>
            <w:tcW w:w="824"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lang w:val="en-US" w:eastAsia="zh-CN"/>
              </w:rPr>
            </w:pPr>
            <w:r>
              <w:rPr>
                <w:rFonts w:hint="eastAsia" w:ascii="Times New Roman" w:hAnsi="Times New Roman" w:eastAsia="方正仿宋_GBK" w:cs="方正仿宋_GBK"/>
                <w:color w:val="000000"/>
                <w:sz w:val="24"/>
                <w:szCs w:val="24"/>
                <w:highlight w:val="none"/>
                <w:lang w:val="en-US" w:eastAsia="zh-CN"/>
              </w:rPr>
              <w:t>技术部分</w:t>
            </w:r>
          </w:p>
        </w:tc>
        <w:tc>
          <w:tcPr>
            <w:tcW w:w="1883" w:type="dxa"/>
            <w:shd w:val="clear" w:color="auto" w:fill="auto"/>
            <w:noWrap w:val="0"/>
            <w:vAlign w:val="center"/>
          </w:tcPr>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lang w:val="en-US" w:eastAsia="zh-CN"/>
              </w:rPr>
            </w:pPr>
            <w:r>
              <w:rPr>
                <w:rFonts w:hint="eastAsia" w:ascii="Times New Roman" w:hAnsi="Times New Roman" w:eastAsia="方正仿宋_GBK" w:cs="方正仿宋_GBK"/>
                <w:color w:val="000000"/>
                <w:sz w:val="24"/>
                <w:szCs w:val="24"/>
                <w:highlight w:val="none"/>
                <w:lang w:val="en-US" w:eastAsia="zh-CN"/>
              </w:rPr>
              <w:t>售后服务方案评价</w:t>
            </w:r>
          </w:p>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lang w:val="en-US" w:eastAsia="zh-CN"/>
              </w:rPr>
              <w:t>（25</w:t>
            </w:r>
            <w:r>
              <w:rPr>
                <w:rFonts w:hint="eastAsia" w:ascii="Times New Roman" w:hAnsi="Times New Roman" w:eastAsia="方正仿宋_GBK" w:cs="方正仿宋_GBK"/>
                <w:color w:val="000000"/>
                <w:sz w:val="24"/>
                <w:szCs w:val="24"/>
                <w:highlight w:val="none"/>
              </w:rPr>
              <w:t>分</w:t>
            </w:r>
            <w:r>
              <w:rPr>
                <w:rFonts w:hint="eastAsia" w:ascii="Times New Roman" w:hAnsi="Times New Roman" w:eastAsia="方正仿宋_GBK" w:cs="方正仿宋_GBK"/>
                <w:color w:val="000000"/>
                <w:sz w:val="24"/>
                <w:szCs w:val="24"/>
                <w:highlight w:val="none"/>
                <w:lang w:eastAsia="zh-CN"/>
              </w:rPr>
              <w:t>）</w:t>
            </w:r>
          </w:p>
        </w:tc>
        <w:tc>
          <w:tcPr>
            <w:tcW w:w="6628" w:type="dxa"/>
            <w:shd w:val="clear" w:color="auto" w:fill="auto"/>
            <w:noWrap w:val="0"/>
            <w:vAlign w:val="top"/>
          </w:tcPr>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根据</w:t>
            </w:r>
            <w:r>
              <w:rPr>
                <w:rFonts w:hint="eastAsia" w:ascii="Times New Roman" w:hAnsi="Times New Roman" w:eastAsia="方正仿宋_GBK" w:cs="方正仿宋_GBK"/>
                <w:color w:val="000000"/>
                <w:sz w:val="24"/>
                <w:szCs w:val="24"/>
                <w:highlight w:val="none"/>
                <w:lang w:val="en-US" w:eastAsia="zh-CN"/>
              </w:rPr>
              <w:t>投标</w:t>
            </w:r>
            <w:r>
              <w:rPr>
                <w:rFonts w:hint="eastAsia" w:ascii="Times New Roman" w:hAnsi="Times New Roman" w:eastAsia="方正仿宋_GBK" w:cs="方正仿宋_GBK"/>
                <w:color w:val="000000"/>
                <w:sz w:val="24"/>
                <w:szCs w:val="24"/>
                <w:highlight w:val="none"/>
              </w:rPr>
              <w:t>人提供的质量保证及售后服务方案（包括</w:t>
            </w:r>
            <w:r>
              <w:rPr>
                <w:rFonts w:hint="eastAsia" w:ascii="Times New Roman" w:hAnsi="Times New Roman" w:eastAsia="方正仿宋_GBK" w:cs="方正仿宋_GBK"/>
                <w:color w:val="000000"/>
                <w:sz w:val="24"/>
                <w:szCs w:val="24"/>
                <w:highlight w:val="none"/>
                <w:lang w:val="en-US" w:eastAsia="zh-CN"/>
              </w:rPr>
              <w:t>但不限于</w:t>
            </w:r>
            <w:r>
              <w:rPr>
                <w:rFonts w:hint="eastAsia" w:ascii="Times New Roman" w:hAnsi="Times New Roman" w:eastAsia="方正仿宋_GBK" w:cs="方正仿宋_GBK"/>
                <w:color w:val="000000"/>
                <w:sz w:val="24"/>
                <w:szCs w:val="24"/>
                <w:highlight w:val="none"/>
              </w:rPr>
              <w:t>故障应对处理、售后服务体系、</w:t>
            </w:r>
            <w:r>
              <w:rPr>
                <w:rFonts w:hint="eastAsia" w:ascii="Times New Roman" w:hAnsi="Times New Roman" w:eastAsia="方正仿宋_GBK" w:cs="方正仿宋_GBK"/>
                <w:color w:val="000000"/>
                <w:sz w:val="24"/>
                <w:szCs w:val="24"/>
                <w:highlight w:val="none"/>
                <w:lang w:val="en-US" w:eastAsia="zh-CN"/>
              </w:rPr>
              <w:t>服务质量保障</w:t>
            </w:r>
            <w:r>
              <w:rPr>
                <w:rFonts w:hint="eastAsia" w:ascii="Times New Roman" w:hAnsi="Times New Roman" w:eastAsia="方正仿宋_GBK" w:cs="方正仿宋_GBK"/>
                <w:color w:val="000000"/>
                <w:sz w:val="24"/>
                <w:szCs w:val="24"/>
                <w:highlight w:val="none"/>
              </w:rPr>
              <w:t>等）进行</w:t>
            </w:r>
            <w:r>
              <w:rPr>
                <w:rFonts w:hint="eastAsia" w:ascii="Times New Roman" w:hAnsi="Times New Roman" w:eastAsia="方正仿宋_GBK" w:cs="方正仿宋_GBK"/>
                <w:color w:val="000000"/>
                <w:sz w:val="24"/>
                <w:szCs w:val="24"/>
                <w:highlight w:val="none"/>
                <w:lang w:val="en-US" w:eastAsia="zh-CN"/>
              </w:rPr>
              <w:t>评分</w:t>
            </w:r>
            <w:r>
              <w:rPr>
                <w:rFonts w:hint="eastAsia" w:ascii="Times New Roman" w:hAnsi="Times New Roman" w:eastAsia="方正仿宋_GBK" w:cs="方正仿宋_GBK"/>
                <w:color w:val="000000"/>
                <w:sz w:val="24"/>
                <w:szCs w:val="24"/>
                <w:highlight w:val="none"/>
              </w:rPr>
              <w:t>：</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rPr>
              <w:t>1</w:t>
            </w:r>
            <w:r>
              <w:rPr>
                <w:rFonts w:hint="eastAsia" w:ascii="Times New Roman" w:hAnsi="Times New Roman" w:eastAsia="方正仿宋_GBK" w:cs="方正仿宋_GBK"/>
                <w:color w:val="000000"/>
                <w:sz w:val="24"/>
                <w:szCs w:val="24"/>
                <w:highlight w:val="none"/>
                <w:lang w:val="en-US" w:eastAsia="zh-CN"/>
              </w:rPr>
              <w:t>.</w:t>
            </w:r>
            <w:r>
              <w:rPr>
                <w:rFonts w:hint="eastAsia" w:ascii="Times New Roman" w:hAnsi="Times New Roman" w:eastAsia="方正仿宋_GBK" w:cs="方正仿宋_GBK"/>
                <w:color w:val="000000"/>
                <w:sz w:val="24"/>
                <w:szCs w:val="24"/>
                <w:highlight w:val="none"/>
              </w:rPr>
              <w:t>质量保证及售后服务方案完整、合理，切实可行的</w:t>
            </w: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rPr>
              <w:t>得</w:t>
            </w:r>
            <w:r>
              <w:rPr>
                <w:rFonts w:hint="eastAsia" w:ascii="Times New Roman" w:hAnsi="Times New Roman" w:eastAsia="方正仿宋_GBK" w:cs="方正仿宋_GBK"/>
                <w:color w:val="000000"/>
                <w:sz w:val="24"/>
                <w:szCs w:val="24"/>
                <w:highlight w:val="none"/>
                <w:lang w:val="en-US" w:eastAsia="zh-CN"/>
              </w:rPr>
              <w:t>25</w:t>
            </w:r>
            <w:r>
              <w:rPr>
                <w:rFonts w:hint="eastAsia" w:ascii="Times New Roman" w:hAnsi="Times New Roman" w:eastAsia="方正仿宋_GBK" w:cs="方正仿宋_GBK"/>
                <w:color w:val="000000"/>
                <w:sz w:val="24"/>
                <w:szCs w:val="24"/>
                <w:highlight w:val="none"/>
              </w:rPr>
              <w:t>分</w:t>
            </w:r>
            <w:r>
              <w:rPr>
                <w:rFonts w:hint="eastAsia" w:ascii="Times New Roman" w:hAnsi="Times New Roman" w:eastAsia="方正仿宋_GBK" w:cs="方正仿宋_GBK"/>
                <w:color w:val="000000"/>
                <w:sz w:val="24"/>
                <w:szCs w:val="24"/>
                <w:highlight w:val="none"/>
                <w:lang w:eastAsia="zh-CN"/>
              </w:rPr>
              <w:t>。</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rPr>
              <w:t>2</w:t>
            </w:r>
            <w:r>
              <w:rPr>
                <w:rFonts w:hint="eastAsia" w:ascii="Times New Roman" w:hAnsi="Times New Roman" w:eastAsia="方正仿宋_GBK" w:cs="方正仿宋_GBK"/>
                <w:color w:val="000000"/>
                <w:sz w:val="24"/>
                <w:szCs w:val="24"/>
                <w:highlight w:val="none"/>
                <w:lang w:val="en-US" w:eastAsia="zh-CN"/>
              </w:rPr>
              <w:t>.</w:t>
            </w:r>
            <w:r>
              <w:rPr>
                <w:rFonts w:hint="eastAsia" w:ascii="Times New Roman" w:hAnsi="Times New Roman" w:eastAsia="方正仿宋_GBK" w:cs="方正仿宋_GBK"/>
                <w:color w:val="000000"/>
                <w:sz w:val="24"/>
                <w:szCs w:val="24"/>
                <w:highlight w:val="none"/>
              </w:rPr>
              <w:t>质量保证及售后服务方案</w:t>
            </w:r>
            <w:r>
              <w:rPr>
                <w:rFonts w:hint="eastAsia" w:ascii="Times New Roman" w:hAnsi="Times New Roman" w:eastAsia="方正仿宋_GBK" w:cs="方正仿宋_GBK"/>
                <w:color w:val="000000"/>
                <w:sz w:val="24"/>
                <w:szCs w:val="24"/>
                <w:highlight w:val="none"/>
                <w:lang w:val="en-US" w:eastAsia="zh-CN"/>
              </w:rPr>
              <w:t>比</w:t>
            </w:r>
            <w:r>
              <w:rPr>
                <w:rFonts w:hint="eastAsia" w:ascii="Times New Roman" w:hAnsi="Times New Roman" w:eastAsia="方正仿宋_GBK" w:cs="方正仿宋_GBK"/>
                <w:color w:val="000000"/>
                <w:sz w:val="24"/>
                <w:szCs w:val="24"/>
                <w:highlight w:val="none"/>
              </w:rPr>
              <w:t>较完整、合理，具有较好的可行性，得</w:t>
            </w:r>
            <w:r>
              <w:rPr>
                <w:rFonts w:hint="eastAsia" w:ascii="Times New Roman" w:hAnsi="Times New Roman" w:eastAsia="方正仿宋_GBK" w:cs="方正仿宋_GBK"/>
                <w:color w:val="000000"/>
                <w:sz w:val="24"/>
                <w:szCs w:val="24"/>
                <w:highlight w:val="none"/>
                <w:lang w:val="en-US" w:eastAsia="zh-CN"/>
              </w:rPr>
              <w:t>20</w:t>
            </w:r>
            <w:r>
              <w:rPr>
                <w:rFonts w:hint="eastAsia" w:ascii="Times New Roman" w:hAnsi="Times New Roman" w:eastAsia="方正仿宋_GBK" w:cs="方正仿宋_GBK"/>
                <w:color w:val="000000"/>
                <w:sz w:val="24"/>
                <w:szCs w:val="24"/>
                <w:highlight w:val="none"/>
              </w:rPr>
              <w:t>分</w:t>
            </w:r>
            <w:r>
              <w:rPr>
                <w:rFonts w:hint="eastAsia" w:ascii="Times New Roman" w:hAnsi="Times New Roman" w:eastAsia="方正仿宋_GBK" w:cs="方正仿宋_GBK"/>
                <w:color w:val="000000"/>
                <w:sz w:val="24"/>
                <w:szCs w:val="24"/>
                <w:highlight w:val="none"/>
                <w:lang w:eastAsia="zh-CN"/>
              </w:rPr>
              <w:t>。</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3</w:t>
            </w:r>
            <w:r>
              <w:rPr>
                <w:rFonts w:hint="eastAsia" w:ascii="Times New Roman" w:hAnsi="Times New Roman" w:eastAsia="方正仿宋_GBK" w:cs="方正仿宋_GBK"/>
                <w:color w:val="000000"/>
                <w:sz w:val="24"/>
                <w:szCs w:val="24"/>
                <w:highlight w:val="none"/>
                <w:lang w:val="en-US" w:eastAsia="zh-CN"/>
              </w:rPr>
              <w:t>.</w:t>
            </w:r>
            <w:r>
              <w:rPr>
                <w:rFonts w:hint="eastAsia" w:ascii="Times New Roman" w:hAnsi="Times New Roman" w:eastAsia="方正仿宋_GBK" w:cs="方正仿宋_GBK"/>
                <w:color w:val="000000"/>
                <w:sz w:val="24"/>
                <w:szCs w:val="24"/>
                <w:highlight w:val="none"/>
              </w:rPr>
              <w:t>质量保证及售后服务方案一般，有一定的完整性、合理性、可行性，得</w:t>
            </w:r>
            <w:r>
              <w:rPr>
                <w:rFonts w:hint="eastAsia" w:ascii="Times New Roman" w:hAnsi="Times New Roman" w:eastAsia="方正仿宋_GBK" w:cs="方正仿宋_GBK"/>
                <w:color w:val="000000"/>
                <w:sz w:val="24"/>
                <w:szCs w:val="24"/>
                <w:highlight w:val="none"/>
                <w:lang w:val="en-US" w:eastAsia="zh-CN"/>
              </w:rPr>
              <w:t>15</w:t>
            </w:r>
            <w:r>
              <w:rPr>
                <w:rFonts w:hint="eastAsia" w:ascii="Times New Roman" w:hAnsi="Times New Roman" w:eastAsia="方正仿宋_GBK" w:cs="方正仿宋_GBK"/>
                <w:color w:val="000000"/>
                <w:sz w:val="24"/>
                <w:szCs w:val="24"/>
                <w:highlight w:val="none"/>
              </w:rPr>
              <w:t>分。</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rPr>
              <w:t>4.方案内容部分缺失、表述模糊，只有基础框架内容的，得1</w:t>
            </w:r>
            <w:r>
              <w:rPr>
                <w:rFonts w:hint="eastAsia" w:ascii="Times New Roman" w:hAnsi="Times New Roman" w:eastAsia="方正仿宋_GBK" w:cs="方正仿宋_GBK"/>
                <w:color w:val="000000"/>
                <w:sz w:val="24"/>
                <w:szCs w:val="24"/>
                <w:highlight w:val="none"/>
                <w:lang w:val="en-US" w:eastAsia="zh-CN"/>
              </w:rPr>
              <w:t>0</w:t>
            </w:r>
            <w:r>
              <w:rPr>
                <w:rFonts w:hint="eastAsia" w:ascii="Times New Roman" w:hAnsi="Times New Roman" w:eastAsia="方正仿宋_GBK" w:cs="方正仿宋_GBK"/>
                <w:color w:val="000000"/>
                <w:sz w:val="24"/>
                <w:szCs w:val="24"/>
                <w:highlight w:val="none"/>
              </w:rPr>
              <w:t>分</w:t>
            </w:r>
            <w:r>
              <w:rPr>
                <w:rFonts w:hint="eastAsia" w:ascii="Times New Roman" w:hAnsi="Times New Roman" w:eastAsia="方正仿宋_GBK" w:cs="方正仿宋_GBK"/>
                <w:color w:val="000000"/>
                <w:sz w:val="24"/>
                <w:szCs w:val="24"/>
                <w:highlight w:val="none"/>
                <w:lang w:eastAsia="zh-CN"/>
              </w:rPr>
              <w:t>。</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val="en-US" w:eastAsia="zh-CN"/>
              </w:rPr>
              <w:t>5.</w:t>
            </w:r>
            <w:r>
              <w:rPr>
                <w:rFonts w:hint="eastAsia" w:ascii="Times New Roman" w:hAnsi="Times New Roman" w:eastAsia="方正仿宋_GBK" w:cs="方正仿宋_GBK"/>
                <w:color w:val="000000"/>
                <w:sz w:val="24"/>
                <w:szCs w:val="24"/>
                <w:highlight w:val="none"/>
              </w:rPr>
              <w:t>未提供或提供的内容与评分无关的不得分。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FFFF00"/>
        </w:tblPrEx>
        <w:trPr>
          <w:jc w:val="center"/>
        </w:trPr>
        <w:tc>
          <w:tcPr>
            <w:tcW w:w="824"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p>
        </w:tc>
        <w:tc>
          <w:tcPr>
            <w:tcW w:w="1883" w:type="dxa"/>
            <w:shd w:val="clear" w:color="auto" w:fill="auto"/>
            <w:noWrap w:val="0"/>
            <w:vAlign w:val="center"/>
          </w:tcPr>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组织实施方案评价</w:t>
            </w:r>
          </w:p>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lang w:val="en-US" w:eastAsia="zh-CN"/>
              </w:rPr>
              <w:t>25分</w:t>
            </w:r>
            <w:r>
              <w:rPr>
                <w:rFonts w:hint="eastAsia" w:ascii="Times New Roman" w:hAnsi="Times New Roman" w:eastAsia="方正仿宋_GBK" w:cs="方正仿宋_GBK"/>
                <w:color w:val="000000"/>
                <w:sz w:val="24"/>
                <w:szCs w:val="24"/>
                <w:highlight w:val="none"/>
                <w:lang w:eastAsia="zh-CN"/>
              </w:rPr>
              <w:t>）</w:t>
            </w:r>
          </w:p>
        </w:tc>
        <w:tc>
          <w:tcPr>
            <w:tcW w:w="6628" w:type="dxa"/>
            <w:shd w:val="clear" w:color="auto" w:fill="auto"/>
            <w:noWrap w:val="0"/>
            <w:vAlign w:val="top"/>
          </w:tcPr>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根据</w:t>
            </w:r>
            <w:r>
              <w:rPr>
                <w:rFonts w:hint="eastAsia" w:ascii="Times New Roman" w:hAnsi="Times New Roman" w:eastAsia="方正仿宋_GBK" w:cs="方正仿宋_GBK"/>
                <w:color w:val="000000"/>
                <w:sz w:val="24"/>
                <w:szCs w:val="24"/>
                <w:highlight w:val="none"/>
                <w:lang w:val="en-US" w:eastAsia="zh-CN"/>
              </w:rPr>
              <w:t>投标人</w:t>
            </w:r>
            <w:r>
              <w:rPr>
                <w:rFonts w:hint="eastAsia" w:ascii="Times New Roman" w:hAnsi="Times New Roman" w:eastAsia="方正仿宋_GBK" w:cs="方正仿宋_GBK"/>
                <w:color w:val="000000"/>
                <w:sz w:val="24"/>
                <w:szCs w:val="24"/>
                <w:highlight w:val="none"/>
              </w:rPr>
              <w:t>提供的项目组织实施方案（包括但不限于</w:t>
            </w:r>
            <w:r>
              <w:rPr>
                <w:rFonts w:hint="eastAsia" w:ascii="Times New Roman" w:hAnsi="Times New Roman" w:eastAsia="方正仿宋_GBK" w:cs="方正仿宋_GBK"/>
                <w:color w:val="000000"/>
                <w:sz w:val="24"/>
                <w:szCs w:val="24"/>
                <w:highlight w:val="none"/>
                <w:lang w:val="en-US" w:eastAsia="zh-CN"/>
              </w:rPr>
              <w:t>实施</w:t>
            </w:r>
            <w:r>
              <w:rPr>
                <w:rFonts w:hint="eastAsia" w:ascii="Times New Roman" w:hAnsi="Times New Roman" w:eastAsia="方正仿宋_GBK" w:cs="方正仿宋_GBK"/>
                <w:color w:val="000000"/>
                <w:sz w:val="24"/>
                <w:szCs w:val="24"/>
                <w:highlight w:val="none"/>
              </w:rPr>
              <w:t>安全策略</w:t>
            </w: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rPr>
              <w:t>安全措施</w:t>
            </w: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rPr>
              <w:t>安全步骤</w:t>
            </w: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rPr>
              <w:t>保障措施或应急预案</w:t>
            </w: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rPr>
              <w:t>应急人员配备情况等）进行评分：</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rPr>
              <w:t>1.方案内容全面完善、详细、表述清晰、科学合理、切实可行的，得</w:t>
            </w:r>
            <w:r>
              <w:rPr>
                <w:rFonts w:hint="eastAsia" w:ascii="Times New Roman" w:hAnsi="Times New Roman" w:eastAsia="方正仿宋_GBK" w:cs="方正仿宋_GBK"/>
                <w:color w:val="000000"/>
                <w:sz w:val="24"/>
                <w:szCs w:val="24"/>
                <w:highlight w:val="none"/>
                <w:lang w:val="en-US" w:eastAsia="zh-CN"/>
              </w:rPr>
              <w:t>25</w:t>
            </w:r>
            <w:r>
              <w:rPr>
                <w:rFonts w:hint="eastAsia" w:ascii="Times New Roman" w:hAnsi="Times New Roman" w:eastAsia="方正仿宋_GBK" w:cs="方正仿宋_GBK"/>
                <w:color w:val="000000"/>
                <w:sz w:val="24"/>
                <w:szCs w:val="24"/>
                <w:highlight w:val="none"/>
              </w:rPr>
              <w:t>分</w:t>
            </w:r>
            <w:r>
              <w:rPr>
                <w:rFonts w:hint="eastAsia" w:ascii="Times New Roman" w:hAnsi="Times New Roman" w:eastAsia="方正仿宋_GBK" w:cs="方正仿宋_GBK"/>
                <w:color w:val="000000"/>
                <w:sz w:val="24"/>
                <w:szCs w:val="24"/>
                <w:highlight w:val="none"/>
                <w:lang w:eastAsia="zh-CN"/>
              </w:rPr>
              <w:t>。</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rPr>
              <w:t>2.方案内容比较完整、比较详细、表述比较清晰、比较科学合理、比较可行的，得</w:t>
            </w:r>
            <w:r>
              <w:rPr>
                <w:rFonts w:hint="eastAsia" w:ascii="Times New Roman" w:hAnsi="Times New Roman" w:eastAsia="方正仿宋_GBK" w:cs="方正仿宋_GBK"/>
                <w:color w:val="000000"/>
                <w:sz w:val="24"/>
                <w:szCs w:val="24"/>
                <w:highlight w:val="none"/>
                <w:lang w:val="en-US" w:eastAsia="zh-CN"/>
              </w:rPr>
              <w:t>20</w:t>
            </w:r>
            <w:r>
              <w:rPr>
                <w:rFonts w:hint="eastAsia" w:ascii="Times New Roman" w:hAnsi="Times New Roman" w:eastAsia="方正仿宋_GBK" w:cs="方正仿宋_GBK"/>
                <w:color w:val="000000"/>
                <w:sz w:val="24"/>
                <w:szCs w:val="24"/>
                <w:highlight w:val="none"/>
              </w:rPr>
              <w:t>分</w:t>
            </w:r>
            <w:r>
              <w:rPr>
                <w:rFonts w:hint="eastAsia" w:ascii="Times New Roman" w:hAnsi="Times New Roman" w:eastAsia="方正仿宋_GBK" w:cs="方正仿宋_GBK"/>
                <w:color w:val="000000"/>
                <w:sz w:val="24"/>
                <w:szCs w:val="24"/>
                <w:highlight w:val="none"/>
                <w:lang w:eastAsia="zh-CN"/>
              </w:rPr>
              <w:t>。</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rPr>
              <w:t>3.方案内容基本完整、表述基本清晰、基本合理、基本可行的，得</w:t>
            </w:r>
            <w:r>
              <w:rPr>
                <w:rFonts w:hint="eastAsia" w:ascii="Times New Roman" w:hAnsi="Times New Roman" w:eastAsia="方正仿宋_GBK" w:cs="方正仿宋_GBK"/>
                <w:color w:val="000000"/>
                <w:sz w:val="24"/>
                <w:szCs w:val="24"/>
                <w:highlight w:val="none"/>
                <w:lang w:val="en-US" w:eastAsia="zh-CN"/>
              </w:rPr>
              <w:t>15</w:t>
            </w:r>
            <w:r>
              <w:rPr>
                <w:rFonts w:hint="eastAsia" w:ascii="Times New Roman" w:hAnsi="Times New Roman" w:eastAsia="方正仿宋_GBK" w:cs="方正仿宋_GBK"/>
                <w:color w:val="000000"/>
                <w:sz w:val="24"/>
                <w:szCs w:val="24"/>
                <w:highlight w:val="none"/>
              </w:rPr>
              <w:t>分</w:t>
            </w:r>
            <w:r>
              <w:rPr>
                <w:rFonts w:hint="eastAsia" w:ascii="Times New Roman" w:hAnsi="Times New Roman" w:eastAsia="方正仿宋_GBK" w:cs="方正仿宋_GBK"/>
                <w:color w:val="000000"/>
                <w:sz w:val="24"/>
                <w:szCs w:val="24"/>
                <w:highlight w:val="none"/>
                <w:lang w:eastAsia="zh-CN"/>
              </w:rPr>
              <w:t>。</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rPr>
              <w:t>4.方案内容部分缺失、表述模糊，只有基础框架内容的，得1</w:t>
            </w:r>
            <w:r>
              <w:rPr>
                <w:rFonts w:hint="eastAsia" w:ascii="Times New Roman" w:hAnsi="Times New Roman" w:eastAsia="方正仿宋_GBK" w:cs="方正仿宋_GBK"/>
                <w:color w:val="000000"/>
                <w:sz w:val="24"/>
                <w:szCs w:val="24"/>
                <w:highlight w:val="none"/>
                <w:lang w:val="en-US" w:eastAsia="zh-CN"/>
              </w:rPr>
              <w:t>0</w:t>
            </w:r>
            <w:r>
              <w:rPr>
                <w:rFonts w:hint="eastAsia" w:ascii="Times New Roman" w:hAnsi="Times New Roman" w:eastAsia="方正仿宋_GBK" w:cs="方正仿宋_GBK"/>
                <w:color w:val="000000"/>
                <w:sz w:val="24"/>
                <w:szCs w:val="24"/>
                <w:highlight w:val="none"/>
              </w:rPr>
              <w:t>分</w:t>
            </w:r>
            <w:r>
              <w:rPr>
                <w:rFonts w:hint="eastAsia" w:ascii="Times New Roman" w:hAnsi="Times New Roman" w:eastAsia="方正仿宋_GBK" w:cs="方正仿宋_GBK"/>
                <w:color w:val="000000"/>
                <w:sz w:val="24"/>
                <w:szCs w:val="24"/>
                <w:highlight w:val="none"/>
                <w:lang w:eastAsia="zh-CN"/>
              </w:rPr>
              <w:t>。</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5.未提供或提供的内容与评分无关的不得分。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FFFF00"/>
          <w:tblCellMar>
            <w:top w:w="0" w:type="dxa"/>
            <w:left w:w="108" w:type="dxa"/>
            <w:bottom w:w="0" w:type="dxa"/>
            <w:right w:w="108" w:type="dxa"/>
          </w:tblCellMar>
        </w:tblPrEx>
        <w:trPr>
          <w:jc w:val="center"/>
        </w:trPr>
        <w:tc>
          <w:tcPr>
            <w:tcW w:w="824" w:type="dxa"/>
            <w:vMerge w:val="restart"/>
            <w:shd w:val="clear" w:color="auto" w:fill="auto"/>
            <w:noWrap w:val="0"/>
            <w:vAlign w:val="center"/>
          </w:tcPr>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商务部分</w:t>
            </w:r>
          </w:p>
        </w:tc>
        <w:tc>
          <w:tcPr>
            <w:tcW w:w="1883" w:type="dxa"/>
            <w:shd w:val="clear" w:color="auto" w:fill="auto"/>
            <w:noWrap w:val="0"/>
            <w:vAlign w:val="center"/>
          </w:tcPr>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同类项目经验</w:t>
            </w:r>
          </w:p>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val="en-US" w:eastAsia="zh-CN"/>
              </w:rPr>
              <w:t>（3</w:t>
            </w:r>
            <w:r>
              <w:rPr>
                <w:rFonts w:hint="eastAsia" w:ascii="Times New Roman" w:hAnsi="Times New Roman" w:eastAsia="方正仿宋_GBK" w:cs="方正仿宋_GBK"/>
                <w:color w:val="000000"/>
                <w:sz w:val="24"/>
                <w:szCs w:val="24"/>
                <w:highlight w:val="none"/>
              </w:rPr>
              <w:t>分)</w:t>
            </w:r>
          </w:p>
        </w:tc>
        <w:tc>
          <w:tcPr>
            <w:tcW w:w="6628" w:type="dxa"/>
            <w:shd w:val="clear" w:color="auto" w:fill="auto"/>
            <w:noWrap w:val="0"/>
            <w:vAlign w:val="top"/>
          </w:tcPr>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投标人2021年1月1日至今承担的同类型项目，每个合同得</w:t>
            </w:r>
            <w:r>
              <w:rPr>
                <w:rFonts w:hint="eastAsia" w:ascii="Times New Roman" w:hAnsi="Times New Roman" w:eastAsia="方正仿宋_GBK" w:cs="方正仿宋_GBK"/>
                <w:color w:val="000000"/>
                <w:sz w:val="24"/>
                <w:szCs w:val="24"/>
                <w:highlight w:val="none"/>
                <w:lang w:val="en-US" w:eastAsia="zh-CN"/>
              </w:rPr>
              <w:t>1</w:t>
            </w:r>
            <w:r>
              <w:rPr>
                <w:rFonts w:hint="eastAsia" w:ascii="Times New Roman" w:hAnsi="Times New Roman" w:eastAsia="方正仿宋_GBK" w:cs="方正仿宋_GBK"/>
                <w:color w:val="000000"/>
                <w:sz w:val="24"/>
                <w:szCs w:val="24"/>
                <w:highlight w:val="none"/>
              </w:rPr>
              <w:t>分，最高得</w:t>
            </w:r>
            <w:r>
              <w:rPr>
                <w:rFonts w:hint="eastAsia" w:ascii="Times New Roman" w:hAnsi="Times New Roman" w:eastAsia="方正仿宋_GBK" w:cs="方正仿宋_GBK"/>
                <w:color w:val="000000"/>
                <w:sz w:val="24"/>
                <w:szCs w:val="24"/>
                <w:highlight w:val="none"/>
                <w:lang w:val="en-US" w:eastAsia="zh-CN"/>
              </w:rPr>
              <w:t>3</w:t>
            </w:r>
            <w:r>
              <w:rPr>
                <w:rFonts w:hint="eastAsia" w:ascii="Times New Roman" w:hAnsi="Times New Roman" w:eastAsia="方正仿宋_GBK" w:cs="方正仿宋_GBK"/>
                <w:color w:val="000000"/>
                <w:sz w:val="24"/>
                <w:szCs w:val="24"/>
                <w:highlight w:val="none"/>
              </w:rPr>
              <w:t>分；需提供合同关键页（首页、金额页、盖章页），以合同签订时间为准。分公司已具有总公司有效授权的，其上级公司或总公司的相关</w:t>
            </w:r>
            <w:r>
              <w:rPr>
                <w:rFonts w:hint="eastAsia" w:ascii="Times New Roman" w:hAnsi="Times New Roman" w:eastAsia="方正仿宋_GBK" w:cs="方正仿宋_GBK"/>
                <w:color w:val="000000"/>
                <w:sz w:val="24"/>
                <w:szCs w:val="24"/>
                <w:highlight w:val="none"/>
                <w:lang w:val="en-US" w:eastAsia="zh-CN"/>
              </w:rPr>
              <w:t>项目经验</w:t>
            </w:r>
            <w:r>
              <w:rPr>
                <w:rFonts w:hint="eastAsia" w:ascii="Times New Roman" w:hAnsi="Times New Roman" w:eastAsia="方正仿宋_GBK" w:cs="方正仿宋_GBK"/>
                <w:color w:val="000000"/>
                <w:sz w:val="24"/>
                <w:szCs w:val="24"/>
                <w:highlight w:val="none"/>
              </w:rPr>
              <w:t>对分公司有效，可按规则评分。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FFFF00"/>
          <w:tblCellMar>
            <w:top w:w="0" w:type="dxa"/>
            <w:left w:w="108" w:type="dxa"/>
            <w:bottom w:w="0" w:type="dxa"/>
            <w:right w:w="108" w:type="dxa"/>
          </w:tblCellMar>
        </w:tblPrEx>
        <w:trPr>
          <w:jc w:val="center"/>
        </w:trPr>
        <w:tc>
          <w:tcPr>
            <w:tcW w:w="824"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p>
        </w:tc>
        <w:tc>
          <w:tcPr>
            <w:tcW w:w="1883" w:type="dxa"/>
            <w:shd w:val="clear" w:color="auto" w:fill="auto"/>
            <w:noWrap w:val="0"/>
            <w:vAlign w:val="center"/>
          </w:tcPr>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lang w:val="en-US" w:eastAsia="zh-CN"/>
              </w:rPr>
            </w:pPr>
            <w:r>
              <w:rPr>
                <w:rFonts w:hint="eastAsia" w:ascii="Times New Roman" w:hAnsi="Times New Roman" w:eastAsia="方正仿宋_GBK" w:cs="方正仿宋_GBK"/>
                <w:color w:val="000000"/>
                <w:sz w:val="24"/>
                <w:szCs w:val="24"/>
                <w:highlight w:val="none"/>
                <w:lang w:val="en-US" w:eastAsia="zh-CN"/>
              </w:rPr>
              <w:t>企业实力</w:t>
            </w:r>
          </w:p>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lang w:val="en-US" w:eastAsia="zh-CN"/>
              </w:rPr>
              <w:t>25分</w:t>
            </w:r>
            <w:r>
              <w:rPr>
                <w:rFonts w:hint="eastAsia" w:ascii="Times New Roman" w:hAnsi="Times New Roman" w:eastAsia="方正仿宋_GBK" w:cs="方正仿宋_GBK"/>
                <w:color w:val="000000"/>
                <w:sz w:val="24"/>
                <w:szCs w:val="24"/>
                <w:highlight w:val="none"/>
                <w:lang w:eastAsia="zh-CN"/>
              </w:rPr>
              <w:t>）</w:t>
            </w:r>
          </w:p>
        </w:tc>
        <w:tc>
          <w:tcPr>
            <w:tcW w:w="6628" w:type="dxa"/>
            <w:shd w:val="clear" w:color="auto" w:fill="auto"/>
            <w:noWrap w:val="0"/>
            <w:vAlign w:val="top"/>
          </w:tcPr>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val="en-US" w:eastAsia="zh-CN"/>
              </w:rPr>
              <w:t>投标人</w:t>
            </w:r>
            <w:r>
              <w:rPr>
                <w:rFonts w:hint="eastAsia" w:ascii="Times New Roman" w:hAnsi="Times New Roman" w:eastAsia="方正仿宋_GBK" w:cs="方正仿宋_GBK"/>
                <w:color w:val="000000"/>
                <w:sz w:val="24"/>
                <w:szCs w:val="24"/>
                <w:highlight w:val="none"/>
              </w:rPr>
              <w:t>具有在有效期内的以下证书：</w:t>
            </w:r>
          </w:p>
          <w:p>
            <w:pPr>
              <w:pStyle w:val="27"/>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lang w:val="en-US" w:eastAsia="zh-CN"/>
              </w:rPr>
            </w:pPr>
            <w:r>
              <w:rPr>
                <w:rFonts w:hint="eastAsia" w:ascii="Times New Roman" w:hAnsi="Times New Roman" w:eastAsia="方正仿宋_GBK" w:cs="方正仿宋_GBK"/>
                <w:color w:val="000000"/>
                <w:sz w:val="24"/>
                <w:szCs w:val="24"/>
                <w:highlight w:val="none"/>
                <w:lang w:val="en-US" w:eastAsia="zh-CN"/>
              </w:rPr>
              <w:t>1.具有</w:t>
            </w:r>
            <w:r>
              <w:rPr>
                <w:rFonts w:hint="eastAsia" w:ascii="Times New Roman" w:hAnsi="Times New Roman" w:eastAsia="方正仿宋_GBK" w:cs="方正仿宋_GBK"/>
                <w:color w:val="000000"/>
                <w:sz w:val="24"/>
                <w:szCs w:val="24"/>
                <w:highlight w:val="none"/>
              </w:rPr>
              <w:t>ISO9001质量管理体系认证</w:t>
            </w:r>
            <w:r>
              <w:rPr>
                <w:rFonts w:hint="eastAsia" w:ascii="Times New Roman" w:hAnsi="Times New Roman" w:eastAsia="方正仿宋_GBK" w:cs="方正仿宋_GBK"/>
                <w:color w:val="000000"/>
                <w:sz w:val="24"/>
                <w:szCs w:val="24"/>
                <w:highlight w:val="none"/>
                <w:lang w:val="en-US" w:eastAsia="zh-CN"/>
              </w:rPr>
              <w:t>的，得5分。</w:t>
            </w:r>
          </w:p>
          <w:p>
            <w:pPr>
              <w:pStyle w:val="27"/>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val="en-US" w:eastAsia="zh-CN"/>
              </w:rPr>
              <w:t>2.具有ISO55001</w:t>
            </w:r>
            <w:r>
              <w:rPr>
                <w:rFonts w:hint="eastAsia" w:ascii="Times New Roman" w:hAnsi="Times New Roman" w:eastAsia="方正仿宋_GBK" w:cs="方正仿宋_GBK"/>
                <w:color w:val="000000"/>
                <w:sz w:val="24"/>
                <w:szCs w:val="24"/>
                <w:highlight w:val="none"/>
              </w:rPr>
              <w:t>资产管理体系认证</w:t>
            </w:r>
            <w:r>
              <w:rPr>
                <w:rFonts w:hint="eastAsia" w:ascii="Times New Roman" w:hAnsi="Times New Roman" w:eastAsia="方正仿宋_GBK" w:cs="方正仿宋_GBK"/>
                <w:color w:val="000000"/>
                <w:sz w:val="24"/>
                <w:szCs w:val="24"/>
                <w:highlight w:val="none"/>
                <w:lang w:val="en-US" w:eastAsia="zh-CN"/>
              </w:rPr>
              <w:t>的，得</w:t>
            </w:r>
            <w:r>
              <w:rPr>
                <w:rFonts w:hint="eastAsia" w:ascii="Times New Roman" w:hAnsi="Times New Roman" w:eastAsia="方正仿宋_GBK" w:cs="方正仿宋_GBK"/>
                <w:color w:val="000000"/>
                <w:sz w:val="24"/>
                <w:szCs w:val="24"/>
                <w:highlight w:val="none"/>
              </w:rPr>
              <w:t>5分</w:t>
            </w:r>
            <w:r>
              <w:rPr>
                <w:rFonts w:hint="eastAsia" w:ascii="Times New Roman" w:hAnsi="Times New Roman" w:eastAsia="方正仿宋_GBK" w:cs="方正仿宋_GBK"/>
                <w:color w:val="000000"/>
                <w:sz w:val="24"/>
                <w:szCs w:val="24"/>
                <w:highlight w:val="none"/>
                <w:lang w:eastAsia="zh-CN"/>
              </w:rPr>
              <w:t>。</w:t>
            </w:r>
          </w:p>
          <w:p>
            <w:pPr>
              <w:pStyle w:val="27"/>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val="en-US" w:eastAsia="zh-CN"/>
              </w:rPr>
              <w:t>3.</w:t>
            </w:r>
            <w:r>
              <w:rPr>
                <w:rFonts w:hint="eastAsia" w:ascii="Times New Roman" w:hAnsi="Times New Roman" w:eastAsia="方正仿宋_GBK" w:cs="方正仿宋_GBK"/>
                <w:color w:val="000000"/>
                <w:sz w:val="24"/>
                <w:szCs w:val="24"/>
                <w:highlight w:val="none"/>
              </w:rPr>
              <w:t>具有ITSS信息技术服务标准符合性证书（运行维护）一、二级的，得5分，具有ITSS信息技术服务标准符合性证书（运行维护）三、四级的，得2分；其余不得分</w:t>
            </w:r>
            <w:r>
              <w:rPr>
                <w:rFonts w:hint="eastAsia" w:ascii="Times New Roman" w:hAnsi="Times New Roman" w:eastAsia="方正仿宋_GBK" w:cs="方正仿宋_GBK"/>
                <w:color w:val="000000"/>
                <w:sz w:val="24"/>
                <w:szCs w:val="24"/>
                <w:highlight w:val="none"/>
                <w:lang w:eastAsia="zh-CN"/>
              </w:rPr>
              <w:t>。</w:t>
            </w:r>
          </w:p>
          <w:p>
            <w:pPr>
              <w:pStyle w:val="27"/>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Times New Roman" w:hAnsi="Times New Roman" w:eastAsia="方正仿宋_GBK" w:cs="方正仿宋_GBK"/>
                <w:color w:val="000000"/>
                <w:sz w:val="24"/>
                <w:szCs w:val="24"/>
                <w:highlight w:val="none"/>
                <w:lang w:val="en-US" w:eastAsia="zh-CN"/>
              </w:rPr>
            </w:pPr>
            <w:r>
              <w:rPr>
                <w:rFonts w:hint="eastAsia" w:ascii="Times New Roman" w:hAnsi="Times New Roman" w:eastAsia="方正仿宋_GBK" w:cs="方正仿宋_GBK"/>
                <w:color w:val="000000"/>
                <w:sz w:val="24"/>
                <w:szCs w:val="24"/>
                <w:highlight w:val="none"/>
                <w:lang w:val="en-US" w:eastAsia="zh-CN"/>
              </w:rPr>
              <w:t>4.具有应急预案管理能力评价体系认证证书的，得5分。</w:t>
            </w:r>
          </w:p>
          <w:p>
            <w:pPr>
              <w:pStyle w:val="27"/>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val="en-US" w:eastAsia="zh-CN"/>
              </w:rPr>
              <w:t>5.具有ISO20000信息技术服务管理体系认证证书，得5分；</w:t>
            </w:r>
            <w:r>
              <w:rPr>
                <w:rFonts w:hint="eastAsia" w:ascii="Times New Roman" w:hAnsi="Times New Roman" w:eastAsia="方正仿宋_GBK" w:cs="方正仿宋_GBK"/>
                <w:color w:val="000000"/>
                <w:sz w:val="24"/>
                <w:szCs w:val="24"/>
                <w:highlight w:val="none"/>
              </w:rPr>
              <w:t>本项最高得</w:t>
            </w:r>
            <w:r>
              <w:rPr>
                <w:rFonts w:hint="eastAsia" w:ascii="Times New Roman" w:hAnsi="Times New Roman" w:eastAsia="方正仿宋_GBK" w:cs="方正仿宋_GBK"/>
                <w:color w:val="000000"/>
                <w:sz w:val="24"/>
                <w:szCs w:val="24"/>
                <w:highlight w:val="none"/>
                <w:lang w:val="en-US" w:eastAsia="zh-CN"/>
              </w:rPr>
              <w:t>25</w:t>
            </w:r>
            <w:r>
              <w:rPr>
                <w:rFonts w:hint="eastAsia" w:ascii="Times New Roman" w:hAnsi="Times New Roman" w:eastAsia="方正仿宋_GBK" w:cs="方正仿宋_GBK"/>
                <w:color w:val="000000"/>
                <w:sz w:val="24"/>
                <w:szCs w:val="24"/>
                <w:highlight w:val="none"/>
              </w:rPr>
              <w:t xml:space="preserve">分。 </w:t>
            </w:r>
          </w:p>
          <w:p>
            <w:pPr>
              <w:pStyle w:val="27"/>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注：须提供在有效期内的相关证书的复印件（或扫描件）并加盖公章，不提供不得分。分公司已具有总公司有效授权的，其上级公司或总公司的相关资质证书对分公司有效，可按规则评分。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FFFF00"/>
          <w:tblCellMar>
            <w:top w:w="0" w:type="dxa"/>
            <w:left w:w="108" w:type="dxa"/>
            <w:bottom w:w="0" w:type="dxa"/>
            <w:right w:w="108" w:type="dxa"/>
          </w:tblCellMar>
        </w:tblPrEx>
        <w:trPr>
          <w:trHeight w:val="6658" w:hRule="atLeast"/>
          <w:jc w:val="center"/>
        </w:trPr>
        <w:tc>
          <w:tcPr>
            <w:tcW w:w="824" w:type="dxa"/>
            <w:vMerge w:val="continue"/>
            <w:shd w:val="clear" w:color="auto" w:fill="auto"/>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方正仿宋_GBK" w:cs="方正仿宋_GBK"/>
                <w:color w:val="000000"/>
                <w:sz w:val="24"/>
                <w:szCs w:val="24"/>
                <w:highlight w:val="none"/>
              </w:rPr>
            </w:pPr>
          </w:p>
        </w:tc>
        <w:tc>
          <w:tcPr>
            <w:tcW w:w="1883" w:type="dxa"/>
            <w:shd w:val="clear" w:color="auto" w:fill="auto"/>
            <w:noWrap w:val="0"/>
            <w:vAlign w:val="center"/>
          </w:tcPr>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项目团队资质情况</w:t>
            </w:r>
          </w:p>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lang w:val="en-US" w:eastAsia="zh-CN"/>
              </w:rPr>
              <w:t>12</w:t>
            </w:r>
            <w:r>
              <w:rPr>
                <w:rFonts w:hint="eastAsia" w:ascii="Times New Roman" w:hAnsi="Times New Roman" w:eastAsia="方正仿宋_GBK" w:cs="方正仿宋_GBK"/>
                <w:color w:val="000000"/>
                <w:sz w:val="24"/>
                <w:szCs w:val="24"/>
                <w:highlight w:val="none"/>
              </w:rPr>
              <w:t>分)</w:t>
            </w:r>
          </w:p>
        </w:tc>
        <w:tc>
          <w:tcPr>
            <w:tcW w:w="6628" w:type="dxa"/>
            <w:shd w:val="clear" w:color="auto" w:fill="auto"/>
            <w:noWrap w:val="0"/>
            <w:vAlign w:val="top"/>
          </w:tcPr>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rPr>
              <w:t>1</w:t>
            </w:r>
            <w:r>
              <w:rPr>
                <w:rFonts w:hint="eastAsia" w:ascii="Times New Roman" w:hAnsi="Times New Roman" w:eastAsia="方正仿宋_GBK" w:cs="方正仿宋_GBK"/>
                <w:color w:val="000000"/>
                <w:sz w:val="24"/>
                <w:szCs w:val="24"/>
                <w:highlight w:val="none"/>
                <w:lang w:val="en-US" w:eastAsia="zh-CN"/>
              </w:rPr>
              <w:t>.</w:t>
            </w:r>
            <w:r>
              <w:rPr>
                <w:rFonts w:hint="eastAsia" w:ascii="Times New Roman" w:hAnsi="Times New Roman" w:eastAsia="方正仿宋_GBK" w:cs="方正仿宋_GBK"/>
                <w:color w:val="000000"/>
                <w:sz w:val="24"/>
                <w:szCs w:val="24"/>
                <w:highlight w:val="none"/>
              </w:rPr>
              <w:t>项目负责人同时具备以下条件得</w:t>
            </w:r>
            <w:r>
              <w:rPr>
                <w:rFonts w:hint="eastAsia" w:ascii="Times New Roman" w:hAnsi="Times New Roman" w:eastAsia="方正仿宋_GBK" w:cs="方正仿宋_GBK"/>
                <w:color w:val="000000"/>
                <w:sz w:val="24"/>
                <w:szCs w:val="24"/>
                <w:highlight w:val="none"/>
                <w:lang w:val="en-US" w:eastAsia="zh-CN"/>
              </w:rPr>
              <w:t>6</w:t>
            </w:r>
            <w:r>
              <w:rPr>
                <w:rFonts w:hint="eastAsia" w:ascii="Times New Roman" w:hAnsi="Times New Roman" w:eastAsia="方正仿宋_GBK" w:cs="方正仿宋_GBK"/>
                <w:color w:val="000000"/>
                <w:sz w:val="24"/>
                <w:szCs w:val="24"/>
                <w:highlight w:val="none"/>
              </w:rPr>
              <w:t>分，任意一项不满足扣</w:t>
            </w:r>
            <w:r>
              <w:rPr>
                <w:rFonts w:hint="eastAsia" w:ascii="Times New Roman" w:hAnsi="Times New Roman" w:eastAsia="方正仿宋_GBK" w:cs="方正仿宋_GBK"/>
                <w:color w:val="000000"/>
                <w:sz w:val="24"/>
                <w:szCs w:val="24"/>
                <w:highlight w:val="none"/>
                <w:lang w:val="en-US" w:eastAsia="zh-CN"/>
              </w:rPr>
              <w:t>2</w:t>
            </w:r>
            <w:r>
              <w:rPr>
                <w:rFonts w:hint="eastAsia" w:ascii="Times New Roman" w:hAnsi="Times New Roman" w:eastAsia="方正仿宋_GBK" w:cs="方正仿宋_GBK"/>
                <w:color w:val="000000"/>
                <w:sz w:val="24"/>
                <w:szCs w:val="24"/>
                <w:highlight w:val="none"/>
              </w:rPr>
              <w:t>分，扣完为止：（1）电子技术工程师（2）CISP证书（3）电工</w:t>
            </w:r>
            <w:r>
              <w:rPr>
                <w:rFonts w:hint="eastAsia" w:ascii="Times New Roman" w:hAnsi="Times New Roman" w:eastAsia="方正仿宋_GBK" w:cs="方正仿宋_GBK"/>
                <w:color w:val="000000"/>
                <w:sz w:val="24"/>
                <w:szCs w:val="24"/>
                <w:highlight w:val="none"/>
                <w:lang w:val="en-US" w:eastAsia="zh-CN"/>
              </w:rPr>
              <w:t>技师</w:t>
            </w:r>
            <w:r>
              <w:rPr>
                <w:rFonts w:hint="eastAsia" w:ascii="Times New Roman" w:hAnsi="Times New Roman" w:eastAsia="方正仿宋_GBK" w:cs="方正仿宋_GBK"/>
                <w:color w:val="000000"/>
                <w:sz w:val="24"/>
                <w:szCs w:val="24"/>
                <w:highlight w:val="none"/>
                <w:lang w:eastAsia="zh-CN"/>
              </w:rPr>
              <w:t>。</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2</w:t>
            </w:r>
            <w:r>
              <w:rPr>
                <w:rFonts w:hint="eastAsia" w:ascii="Times New Roman" w:hAnsi="Times New Roman" w:eastAsia="方正仿宋_GBK" w:cs="方正仿宋_GBK"/>
                <w:color w:val="000000"/>
                <w:sz w:val="24"/>
                <w:szCs w:val="24"/>
                <w:highlight w:val="none"/>
                <w:lang w:val="en-US" w:eastAsia="zh-CN"/>
              </w:rPr>
              <w:t>.</w:t>
            </w:r>
            <w:r>
              <w:rPr>
                <w:rFonts w:hint="eastAsia" w:ascii="Times New Roman" w:hAnsi="Times New Roman" w:eastAsia="方正仿宋_GBK" w:cs="方正仿宋_GBK"/>
                <w:color w:val="000000"/>
                <w:sz w:val="24"/>
                <w:szCs w:val="24"/>
                <w:highlight w:val="none"/>
              </w:rPr>
              <w:t>除项目</w:t>
            </w:r>
            <w:r>
              <w:rPr>
                <w:rFonts w:hint="eastAsia" w:ascii="Times New Roman" w:hAnsi="Times New Roman" w:eastAsia="方正仿宋_GBK" w:cs="方正仿宋_GBK"/>
                <w:color w:val="000000"/>
                <w:sz w:val="24"/>
                <w:szCs w:val="24"/>
                <w:highlight w:val="none"/>
                <w:lang w:val="en-US" w:eastAsia="zh-CN"/>
              </w:rPr>
              <w:t>负责人</w:t>
            </w:r>
            <w:r>
              <w:rPr>
                <w:rFonts w:hint="eastAsia" w:ascii="Times New Roman" w:hAnsi="Times New Roman" w:eastAsia="方正仿宋_GBK" w:cs="方正仿宋_GBK"/>
                <w:color w:val="000000"/>
                <w:sz w:val="24"/>
                <w:szCs w:val="24"/>
                <w:highlight w:val="none"/>
              </w:rPr>
              <w:t>外，拟投入本项目的</w:t>
            </w:r>
            <w:r>
              <w:rPr>
                <w:rFonts w:hint="eastAsia" w:ascii="Times New Roman" w:hAnsi="Times New Roman" w:eastAsia="方正仿宋_GBK" w:cs="方正仿宋_GBK"/>
                <w:color w:val="000000"/>
                <w:sz w:val="24"/>
                <w:szCs w:val="24"/>
                <w:highlight w:val="none"/>
                <w:lang w:val="en-US" w:eastAsia="zh-CN"/>
              </w:rPr>
              <w:t>其他</w:t>
            </w:r>
            <w:r>
              <w:rPr>
                <w:rFonts w:hint="eastAsia" w:ascii="Times New Roman" w:hAnsi="Times New Roman" w:eastAsia="方正仿宋_GBK" w:cs="方正仿宋_GBK"/>
                <w:color w:val="000000"/>
                <w:sz w:val="24"/>
                <w:szCs w:val="24"/>
                <w:highlight w:val="none"/>
              </w:rPr>
              <w:t>人员具有CISP、网络工程师、通信网络管理员</w:t>
            </w:r>
            <w:r>
              <w:rPr>
                <w:rFonts w:hint="eastAsia" w:ascii="Times New Roman" w:hAnsi="Times New Roman" w:eastAsia="方正仿宋_GBK" w:cs="方正仿宋_GBK"/>
                <w:color w:val="000000"/>
                <w:sz w:val="24"/>
                <w:szCs w:val="24"/>
                <w:highlight w:val="none"/>
                <w:lang w:eastAsia="zh-CN"/>
              </w:rPr>
              <w:t>、计算机技术与软件专业技术资格相关证书</w:t>
            </w:r>
            <w:r>
              <w:rPr>
                <w:rFonts w:hint="eastAsia" w:ascii="Times New Roman" w:hAnsi="Times New Roman" w:eastAsia="方正仿宋_GBK" w:cs="方正仿宋_GBK"/>
                <w:color w:val="000000"/>
                <w:sz w:val="24"/>
                <w:szCs w:val="24"/>
                <w:highlight w:val="none"/>
              </w:rPr>
              <w:t>，每证得</w:t>
            </w:r>
            <w:r>
              <w:rPr>
                <w:rFonts w:hint="eastAsia" w:ascii="Times New Roman" w:hAnsi="Times New Roman" w:eastAsia="方正仿宋_GBK" w:cs="方正仿宋_GBK"/>
                <w:color w:val="000000"/>
                <w:sz w:val="24"/>
                <w:szCs w:val="24"/>
                <w:highlight w:val="none"/>
                <w:lang w:val="en-US" w:eastAsia="zh-CN"/>
              </w:rPr>
              <w:t>2</w:t>
            </w:r>
            <w:r>
              <w:rPr>
                <w:rFonts w:hint="eastAsia" w:ascii="Times New Roman" w:hAnsi="Times New Roman" w:eastAsia="方正仿宋_GBK" w:cs="方正仿宋_GBK"/>
                <w:color w:val="000000"/>
                <w:sz w:val="24"/>
                <w:szCs w:val="24"/>
                <w:highlight w:val="none"/>
              </w:rPr>
              <w:t>分，本小项最高得</w:t>
            </w:r>
            <w:r>
              <w:rPr>
                <w:rFonts w:hint="eastAsia" w:ascii="Times New Roman" w:hAnsi="Times New Roman" w:eastAsia="方正仿宋_GBK" w:cs="方正仿宋_GBK"/>
                <w:color w:val="000000"/>
                <w:sz w:val="24"/>
                <w:szCs w:val="24"/>
                <w:highlight w:val="none"/>
                <w:lang w:val="en-US" w:eastAsia="zh-CN"/>
              </w:rPr>
              <w:t>6</w:t>
            </w:r>
            <w:r>
              <w:rPr>
                <w:rFonts w:hint="eastAsia" w:ascii="Times New Roman" w:hAnsi="Times New Roman" w:eastAsia="方正仿宋_GBK" w:cs="方正仿宋_GBK"/>
                <w:color w:val="000000"/>
                <w:sz w:val="24"/>
                <w:szCs w:val="24"/>
                <w:highlight w:val="none"/>
              </w:rPr>
              <w:t>分。注：提供相关证明材料，未提供不得分。</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注：需提供上述人员相应证书</w:t>
            </w:r>
            <w:r>
              <w:rPr>
                <w:rFonts w:hint="eastAsia" w:ascii="Times New Roman" w:hAnsi="Times New Roman" w:eastAsia="方正仿宋_GBK" w:cs="方正仿宋_GBK"/>
                <w:color w:val="000000"/>
                <w:sz w:val="24"/>
                <w:szCs w:val="24"/>
                <w:highlight w:val="none"/>
                <w:lang w:eastAsia="zh-CN"/>
              </w:rPr>
              <w:t>原件或复印件</w:t>
            </w:r>
            <w:r>
              <w:rPr>
                <w:rFonts w:hint="eastAsia" w:ascii="Times New Roman" w:hAnsi="Times New Roman" w:eastAsia="方正仿宋_GBK" w:cs="方正仿宋_GBK"/>
                <w:color w:val="000000"/>
                <w:sz w:val="24"/>
                <w:szCs w:val="24"/>
                <w:highlight w:val="none"/>
              </w:rPr>
              <w:t>、与投标人（或其总公司或其总公司下属其他分支机构）</w:t>
            </w:r>
            <w:r>
              <w:rPr>
                <w:rFonts w:hint="eastAsia" w:ascii="Times New Roman" w:hAnsi="Times New Roman" w:eastAsia="方正仿宋_GBK" w:cs="方正仿宋_GBK"/>
                <w:color w:val="000000"/>
                <w:sz w:val="24"/>
                <w:szCs w:val="24"/>
                <w:highlight w:val="none"/>
                <w:lang w:eastAsia="zh-CN"/>
              </w:rPr>
              <w:t>为其</w:t>
            </w:r>
            <w:r>
              <w:rPr>
                <w:rFonts w:hint="eastAsia" w:ascii="Times New Roman" w:hAnsi="Times New Roman" w:eastAsia="方正仿宋_GBK" w:cs="方正仿宋_GBK"/>
                <w:color w:val="000000"/>
                <w:sz w:val="24"/>
                <w:szCs w:val="24"/>
                <w:highlight w:val="none"/>
              </w:rPr>
              <w:t>缴纳的社保证明，证明须：</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lang w:val="en-US" w:eastAsia="zh-CN"/>
              </w:rPr>
              <w:t>1</w:t>
            </w: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rPr>
              <w:t>连续覆盖开标日期前推近3个月（即开标当月及此前2个月）；</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lang w:val="en-US" w:eastAsia="zh-CN"/>
              </w:rPr>
              <w:t>2</w:t>
            </w: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rPr>
              <w:t>由社保部门官方出具或经社保系统验证（如缴费明细表、参保证明等）；</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lang w:val="en-US" w:eastAsia="zh-CN"/>
              </w:rPr>
              <w:t>3</w:t>
            </w: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rPr>
              <w:t>清晰体现参保单位名称与投标人名称一致。</w:t>
            </w:r>
          </w:p>
          <w:p>
            <w:pPr>
              <w:pStyle w:val="27"/>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未提供、参保时段不全、单位信息不符或无法验证真实性的，本项不得分。若分支机构投标的，提供其总公司或其总公司其他分支机构的相关人员证书复印件也可按照评分规则计分。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FFFF00"/>
          <w:tblCellMar>
            <w:top w:w="0" w:type="dxa"/>
            <w:left w:w="108" w:type="dxa"/>
            <w:bottom w:w="0" w:type="dxa"/>
            <w:right w:w="108" w:type="dxa"/>
          </w:tblCellMar>
        </w:tblPrEx>
        <w:trPr>
          <w:trHeight w:val="1247" w:hRule="atLeast"/>
          <w:jc w:val="center"/>
        </w:trPr>
        <w:tc>
          <w:tcPr>
            <w:tcW w:w="824" w:type="dxa"/>
            <w:shd w:val="clear" w:color="auto" w:fill="auto"/>
            <w:noWrap w:val="0"/>
            <w:vAlign w:val="center"/>
          </w:tcPr>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投标报价</w:t>
            </w:r>
          </w:p>
        </w:tc>
        <w:tc>
          <w:tcPr>
            <w:tcW w:w="1883" w:type="dxa"/>
            <w:shd w:val="clear" w:color="auto" w:fill="auto"/>
            <w:noWrap w:val="0"/>
            <w:vAlign w:val="center"/>
          </w:tcPr>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投标价格得分</w:t>
            </w:r>
          </w:p>
          <w:p>
            <w:pPr>
              <w:pStyle w:val="2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rPr>
              <w:t>10分</w:t>
            </w:r>
            <w:r>
              <w:rPr>
                <w:rFonts w:hint="eastAsia" w:ascii="Times New Roman" w:hAnsi="Times New Roman" w:eastAsia="方正仿宋_GBK" w:cs="方正仿宋_GBK"/>
                <w:color w:val="000000"/>
                <w:sz w:val="24"/>
                <w:szCs w:val="24"/>
                <w:highlight w:val="none"/>
                <w:lang w:eastAsia="zh-CN"/>
              </w:rPr>
              <w:t>）</w:t>
            </w:r>
          </w:p>
        </w:tc>
        <w:tc>
          <w:tcPr>
            <w:tcW w:w="6628" w:type="dxa"/>
            <w:shd w:val="clear" w:color="auto" w:fill="auto"/>
            <w:noWrap w:val="0"/>
            <w:vAlign w:val="center"/>
          </w:tcPr>
          <w:p>
            <w:pPr>
              <w:pStyle w:val="27"/>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 xml:space="preserve">投标报价得分＝（评标基准价/投标报价）×价格分值（注：满足招标文件要求且投标价格最低的投标报价为评标基准价。）最低报价不是中标的唯一依据。 </w:t>
            </w:r>
          </w:p>
        </w:tc>
      </w:tr>
    </w:tbl>
    <w:p>
      <w:pPr>
        <w:spacing w:line="620" w:lineRule="exact"/>
        <w:ind w:right="1280"/>
        <w:rPr>
          <w:rFonts w:hint="eastAsia" w:ascii="Times New Roman" w:hAnsi="Times New Roman"/>
          <w:color w:val="000000" w:themeColor="text1"/>
          <w:highlight w:val="none"/>
          <w14:textFill>
            <w14:solidFill>
              <w14:schemeClr w14:val="tx1"/>
            </w14:solidFill>
          </w14:textFill>
        </w:rPr>
      </w:pPr>
      <w:bookmarkStart w:id="1" w:name="_GoBack"/>
      <w:bookmarkEnd w:id="1"/>
    </w:p>
    <w:p>
      <w:pPr>
        <w:spacing w:line="620" w:lineRule="exact"/>
        <w:ind w:right="1280"/>
        <w:rPr>
          <w:rFonts w:hint="eastAsia" w:ascii="Times New Roman" w:hAnsi="Times New Roman" w:eastAsia="方正仿宋_GBK" w:cs="方正仿宋_GBK"/>
          <w:color w:val="000000" w:themeColor="text1"/>
          <w:sz w:val="30"/>
          <w:szCs w:val="30"/>
          <w:highlight w:val="none"/>
          <w14:textFill>
            <w14:solidFill>
              <w14:schemeClr w14:val="tx1"/>
            </w14:solidFill>
          </w14:textFill>
        </w:rPr>
      </w:pPr>
      <w:r>
        <w:rPr>
          <w:rFonts w:hint="eastAsia" w:ascii="Times New Roman" w:hAnsi="Times New Roman" w:eastAsia="方正仿宋_GBK" w:cs="方正仿宋_GBK"/>
          <w:color w:val="000000" w:themeColor="text1"/>
          <w:sz w:val="30"/>
          <w:szCs w:val="30"/>
          <w:highlight w:val="none"/>
          <w14:textFill>
            <w14:solidFill>
              <w14:schemeClr w14:val="tx1"/>
            </w14:solidFill>
          </w14:textFill>
        </w:rPr>
        <w:t>评委签名：</w:t>
      </w:r>
    </w:p>
    <w:sectPr>
      <w:pgSz w:w="11906" w:h="16838"/>
      <w:pgMar w:top="1417" w:right="1701" w:bottom="1417" w:left="170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EF9EA"/>
    <w:multiLevelType w:val="multilevel"/>
    <w:tmpl w:val="B7CEF9EA"/>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EC"/>
    <w:rsid w:val="0002692F"/>
    <w:rsid w:val="000279A6"/>
    <w:rsid w:val="0003757B"/>
    <w:rsid w:val="0004494D"/>
    <w:rsid w:val="00052C87"/>
    <w:rsid w:val="00056BC7"/>
    <w:rsid w:val="000916C5"/>
    <w:rsid w:val="000A4A9B"/>
    <w:rsid w:val="000B5F43"/>
    <w:rsid w:val="000D5DA2"/>
    <w:rsid w:val="000E2B6B"/>
    <w:rsid w:val="000F5C5C"/>
    <w:rsid w:val="001045E1"/>
    <w:rsid w:val="00104EF8"/>
    <w:rsid w:val="001059DD"/>
    <w:rsid w:val="00106FE9"/>
    <w:rsid w:val="00112EC3"/>
    <w:rsid w:val="001254BE"/>
    <w:rsid w:val="00136C85"/>
    <w:rsid w:val="0013730F"/>
    <w:rsid w:val="001626D8"/>
    <w:rsid w:val="00187779"/>
    <w:rsid w:val="001C32C7"/>
    <w:rsid w:val="001D1F8E"/>
    <w:rsid w:val="001E21DD"/>
    <w:rsid w:val="001E3C5F"/>
    <w:rsid w:val="001E6853"/>
    <w:rsid w:val="001F1A88"/>
    <w:rsid w:val="001F2321"/>
    <w:rsid w:val="001F4350"/>
    <w:rsid w:val="00217387"/>
    <w:rsid w:val="0022618E"/>
    <w:rsid w:val="0023189C"/>
    <w:rsid w:val="00256FFF"/>
    <w:rsid w:val="00262AAB"/>
    <w:rsid w:val="00280F5D"/>
    <w:rsid w:val="00290099"/>
    <w:rsid w:val="00296B42"/>
    <w:rsid w:val="002A7732"/>
    <w:rsid w:val="002B4F57"/>
    <w:rsid w:val="002C0415"/>
    <w:rsid w:val="002C171D"/>
    <w:rsid w:val="002C3BCD"/>
    <w:rsid w:val="002D2D1A"/>
    <w:rsid w:val="002F4E6D"/>
    <w:rsid w:val="00305E5B"/>
    <w:rsid w:val="0030794B"/>
    <w:rsid w:val="00323D60"/>
    <w:rsid w:val="00327716"/>
    <w:rsid w:val="00345AD7"/>
    <w:rsid w:val="00365F9D"/>
    <w:rsid w:val="003679F2"/>
    <w:rsid w:val="003717F8"/>
    <w:rsid w:val="00381CF1"/>
    <w:rsid w:val="00386663"/>
    <w:rsid w:val="00386E18"/>
    <w:rsid w:val="00387527"/>
    <w:rsid w:val="0039570C"/>
    <w:rsid w:val="003A187F"/>
    <w:rsid w:val="003B4779"/>
    <w:rsid w:val="003D04EE"/>
    <w:rsid w:val="003E2F08"/>
    <w:rsid w:val="003E49CA"/>
    <w:rsid w:val="003F0B48"/>
    <w:rsid w:val="003F6375"/>
    <w:rsid w:val="0040038E"/>
    <w:rsid w:val="004075DA"/>
    <w:rsid w:val="00417EBC"/>
    <w:rsid w:val="004302DE"/>
    <w:rsid w:val="00455585"/>
    <w:rsid w:val="0046773C"/>
    <w:rsid w:val="00477889"/>
    <w:rsid w:val="00493663"/>
    <w:rsid w:val="004A5EEE"/>
    <w:rsid w:val="004B3F9A"/>
    <w:rsid w:val="004D0B5A"/>
    <w:rsid w:val="004D0CC7"/>
    <w:rsid w:val="004D50C6"/>
    <w:rsid w:val="004E0289"/>
    <w:rsid w:val="004F7AF5"/>
    <w:rsid w:val="00500DFA"/>
    <w:rsid w:val="00517820"/>
    <w:rsid w:val="005207B0"/>
    <w:rsid w:val="00523507"/>
    <w:rsid w:val="00533AA3"/>
    <w:rsid w:val="00536246"/>
    <w:rsid w:val="00555212"/>
    <w:rsid w:val="0056189D"/>
    <w:rsid w:val="00584076"/>
    <w:rsid w:val="00585DE3"/>
    <w:rsid w:val="00587787"/>
    <w:rsid w:val="0059149A"/>
    <w:rsid w:val="005A2766"/>
    <w:rsid w:val="005A6817"/>
    <w:rsid w:val="005B719D"/>
    <w:rsid w:val="005B75D5"/>
    <w:rsid w:val="005D18F4"/>
    <w:rsid w:val="005E1371"/>
    <w:rsid w:val="005F110B"/>
    <w:rsid w:val="00604EA8"/>
    <w:rsid w:val="00605CC9"/>
    <w:rsid w:val="00606494"/>
    <w:rsid w:val="006064B2"/>
    <w:rsid w:val="00617FE5"/>
    <w:rsid w:val="00622F00"/>
    <w:rsid w:val="006327FF"/>
    <w:rsid w:val="006431FE"/>
    <w:rsid w:val="00657B8C"/>
    <w:rsid w:val="00671320"/>
    <w:rsid w:val="00696664"/>
    <w:rsid w:val="006A0646"/>
    <w:rsid w:val="006A4A43"/>
    <w:rsid w:val="006A59E3"/>
    <w:rsid w:val="006B6ADE"/>
    <w:rsid w:val="006C1EB3"/>
    <w:rsid w:val="006C2F29"/>
    <w:rsid w:val="006D1698"/>
    <w:rsid w:val="006D599D"/>
    <w:rsid w:val="006D6883"/>
    <w:rsid w:val="006E0E7F"/>
    <w:rsid w:val="00705164"/>
    <w:rsid w:val="00712458"/>
    <w:rsid w:val="007200C5"/>
    <w:rsid w:val="007254C2"/>
    <w:rsid w:val="00751478"/>
    <w:rsid w:val="00752647"/>
    <w:rsid w:val="007720F0"/>
    <w:rsid w:val="00774E87"/>
    <w:rsid w:val="00775435"/>
    <w:rsid w:val="00790D54"/>
    <w:rsid w:val="007A44AF"/>
    <w:rsid w:val="007A7678"/>
    <w:rsid w:val="007B40AC"/>
    <w:rsid w:val="007B5DF6"/>
    <w:rsid w:val="007B75DF"/>
    <w:rsid w:val="007F3073"/>
    <w:rsid w:val="007F7DAF"/>
    <w:rsid w:val="00801B4F"/>
    <w:rsid w:val="00803147"/>
    <w:rsid w:val="00803BE8"/>
    <w:rsid w:val="008165EF"/>
    <w:rsid w:val="008367EC"/>
    <w:rsid w:val="00855619"/>
    <w:rsid w:val="00866196"/>
    <w:rsid w:val="0087010B"/>
    <w:rsid w:val="00872DDA"/>
    <w:rsid w:val="00874110"/>
    <w:rsid w:val="0087717E"/>
    <w:rsid w:val="008877B5"/>
    <w:rsid w:val="008A4FA0"/>
    <w:rsid w:val="008C1450"/>
    <w:rsid w:val="008C425F"/>
    <w:rsid w:val="008D0162"/>
    <w:rsid w:val="0090247C"/>
    <w:rsid w:val="00902928"/>
    <w:rsid w:val="00902FE6"/>
    <w:rsid w:val="009203D2"/>
    <w:rsid w:val="00937DB8"/>
    <w:rsid w:val="009413DA"/>
    <w:rsid w:val="009463AF"/>
    <w:rsid w:val="0094724D"/>
    <w:rsid w:val="0095675F"/>
    <w:rsid w:val="00957544"/>
    <w:rsid w:val="0095785B"/>
    <w:rsid w:val="0097190D"/>
    <w:rsid w:val="00973B46"/>
    <w:rsid w:val="009759B2"/>
    <w:rsid w:val="0099501A"/>
    <w:rsid w:val="009C7547"/>
    <w:rsid w:val="009D7E2B"/>
    <w:rsid w:val="009E17A7"/>
    <w:rsid w:val="009E3B4D"/>
    <w:rsid w:val="009E48C8"/>
    <w:rsid w:val="00A0650B"/>
    <w:rsid w:val="00A212E0"/>
    <w:rsid w:val="00A2136E"/>
    <w:rsid w:val="00A35233"/>
    <w:rsid w:val="00A36202"/>
    <w:rsid w:val="00A521D2"/>
    <w:rsid w:val="00A52231"/>
    <w:rsid w:val="00A529AE"/>
    <w:rsid w:val="00A73478"/>
    <w:rsid w:val="00A779F6"/>
    <w:rsid w:val="00A80F5C"/>
    <w:rsid w:val="00A84C6E"/>
    <w:rsid w:val="00AA4514"/>
    <w:rsid w:val="00AB16BC"/>
    <w:rsid w:val="00AC05A4"/>
    <w:rsid w:val="00AC0ED6"/>
    <w:rsid w:val="00AD447F"/>
    <w:rsid w:val="00AE12CF"/>
    <w:rsid w:val="00AE3226"/>
    <w:rsid w:val="00AF33C2"/>
    <w:rsid w:val="00AF4787"/>
    <w:rsid w:val="00B05F78"/>
    <w:rsid w:val="00B20866"/>
    <w:rsid w:val="00B215E0"/>
    <w:rsid w:val="00B32AF0"/>
    <w:rsid w:val="00B348AB"/>
    <w:rsid w:val="00B40CF5"/>
    <w:rsid w:val="00B54502"/>
    <w:rsid w:val="00B56336"/>
    <w:rsid w:val="00B66E7A"/>
    <w:rsid w:val="00BB2D63"/>
    <w:rsid w:val="00BC3002"/>
    <w:rsid w:val="00BC4567"/>
    <w:rsid w:val="00BC55C0"/>
    <w:rsid w:val="00BD07EB"/>
    <w:rsid w:val="00BD5DF0"/>
    <w:rsid w:val="00C07641"/>
    <w:rsid w:val="00C233BB"/>
    <w:rsid w:val="00C30FFD"/>
    <w:rsid w:val="00C468A3"/>
    <w:rsid w:val="00C65F1E"/>
    <w:rsid w:val="00C85E46"/>
    <w:rsid w:val="00C923F2"/>
    <w:rsid w:val="00C955AA"/>
    <w:rsid w:val="00CA5229"/>
    <w:rsid w:val="00CC5332"/>
    <w:rsid w:val="00CD7D77"/>
    <w:rsid w:val="00D021B0"/>
    <w:rsid w:val="00D1189E"/>
    <w:rsid w:val="00D226B4"/>
    <w:rsid w:val="00D2419C"/>
    <w:rsid w:val="00D356DF"/>
    <w:rsid w:val="00D35DD2"/>
    <w:rsid w:val="00D361E0"/>
    <w:rsid w:val="00D537A4"/>
    <w:rsid w:val="00D543E7"/>
    <w:rsid w:val="00D61233"/>
    <w:rsid w:val="00D7354F"/>
    <w:rsid w:val="00D7396A"/>
    <w:rsid w:val="00D77F46"/>
    <w:rsid w:val="00D8096C"/>
    <w:rsid w:val="00D82287"/>
    <w:rsid w:val="00D8653A"/>
    <w:rsid w:val="00D86BFF"/>
    <w:rsid w:val="00D87027"/>
    <w:rsid w:val="00DA0BA0"/>
    <w:rsid w:val="00DA6F69"/>
    <w:rsid w:val="00DD1A2E"/>
    <w:rsid w:val="00DD4C79"/>
    <w:rsid w:val="00DE62AB"/>
    <w:rsid w:val="00DF368A"/>
    <w:rsid w:val="00E00193"/>
    <w:rsid w:val="00E256C6"/>
    <w:rsid w:val="00E33A3A"/>
    <w:rsid w:val="00E37EAB"/>
    <w:rsid w:val="00E51068"/>
    <w:rsid w:val="00E511EA"/>
    <w:rsid w:val="00E53739"/>
    <w:rsid w:val="00E61938"/>
    <w:rsid w:val="00E670E2"/>
    <w:rsid w:val="00E70D25"/>
    <w:rsid w:val="00E818D7"/>
    <w:rsid w:val="00EA1491"/>
    <w:rsid w:val="00EA1731"/>
    <w:rsid w:val="00EB165E"/>
    <w:rsid w:val="00EC28F9"/>
    <w:rsid w:val="00EC4F72"/>
    <w:rsid w:val="00EC71F0"/>
    <w:rsid w:val="00EE13AE"/>
    <w:rsid w:val="00EE5475"/>
    <w:rsid w:val="00EE6A58"/>
    <w:rsid w:val="00EE727B"/>
    <w:rsid w:val="00EF4490"/>
    <w:rsid w:val="00F10491"/>
    <w:rsid w:val="00F105B0"/>
    <w:rsid w:val="00F243CE"/>
    <w:rsid w:val="00F420BD"/>
    <w:rsid w:val="00F423B7"/>
    <w:rsid w:val="00F4588E"/>
    <w:rsid w:val="00F7084F"/>
    <w:rsid w:val="00F714BB"/>
    <w:rsid w:val="00F739BB"/>
    <w:rsid w:val="00F8353E"/>
    <w:rsid w:val="00F9067D"/>
    <w:rsid w:val="00F97404"/>
    <w:rsid w:val="00FA72F9"/>
    <w:rsid w:val="00FB31D3"/>
    <w:rsid w:val="00FC04EC"/>
    <w:rsid w:val="00FD4429"/>
    <w:rsid w:val="00FD5738"/>
    <w:rsid w:val="00FD6207"/>
    <w:rsid w:val="00FE174C"/>
    <w:rsid w:val="00FE23F7"/>
    <w:rsid w:val="00FF108B"/>
    <w:rsid w:val="00FF1752"/>
    <w:rsid w:val="00FF2737"/>
    <w:rsid w:val="076D1FFA"/>
    <w:rsid w:val="0A9057CD"/>
    <w:rsid w:val="0D344B7F"/>
    <w:rsid w:val="131717EA"/>
    <w:rsid w:val="176055DC"/>
    <w:rsid w:val="1B49CD95"/>
    <w:rsid w:val="1BF73209"/>
    <w:rsid w:val="1FDF7C42"/>
    <w:rsid w:val="21FF2915"/>
    <w:rsid w:val="230546F9"/>
    <w:rsid w:val="279DA92B"/>
    <w:rsid w:val="27FF198C"/>
    <w:rsid w:val="299D3B2B"/>
    <w:rsid w:val="2A1E6975"/>
    <w:rsid w:val="2D3633E7"/>
    <w:rsid w:val="2DE26FDA"/>
    <w:rsid w:val="33E7D5D5"/>
    <w:rsid w:val="34E36B4F"/>
    <w:rsid w:val="36D503D3"/>
    <w:rsid w:val="37475D85"/>
    <w:rsid w:val="399C5BE6"/>
    <w:rsid w:val="39FC5B43"/>
    <w:rsid w:val="3A234215"/>
    <w:rsid w:val="3C3733F9"/>
    <w:rsid w:val="3DA863F9"/>
    <w:rsid w:val="3DFB0A2A"/>
    <w:rsid w:val="3E765AC8"/>
    <w:rsid w:val="3FBF5C08"/>
    <w:rsid w:val="3FFB2140"/>
    <w:rsid w:val="413C505D"/>
    <w:rsid w:val="41FA1D4A"/>
    <w:rsid w:val="45DBE868"/>
    <w:rsid w:val="48033C4E"/>
    <w:rsid w:val="4A7B2678"/>
    <w:rsid w:val="4BFACF63"/>
    <w:rsid w:val="4CBF70ED"/>
    <w:rsid w:val="4D6C5C94"/>
    <w:rsid w:val="4E5E0298"/>
    <w:rsid w:val="4EFF334B"/>
    <w:rsid w:val="4F9B02B1"/>
    <w:rsid w:val="4FE24B16"/>
    <w:rsid w:val="552DA6BE"/>
    <w:rsid w:val="555FED47"/>
    <w:rsid w:val="55667D42"/>
    <w:rsid w:val="559522B8"/>
    <w:rsid w:val="55EF44F8"/>
    <w:rsid w:val="56073158"/>
    <w:rsid w:val="57041494"/>
    <w:rsid w:val="58821859"/>
    <w:rsid w:val="59B3791C"/>
    <w:rsid w:val="5ADB8275"/>
    <w:rsid w:val="5C942DD1"/>
    <w:rsid w:val="5EF51031"/>
    <w:rsid w:val="62893FBF"/>
    <w:rsid w:val="64A1090E"/>
    <w:rsid w:val="6507575F"/>
    <w:rsid w:val="65B38944"/>
    <w:rsid w:val="65F273EA"/>
    <w:rsid w:val="66551A36"/>
    <w:rsid w:val="67B648C3"/>
    <w:rsid w:val="694B7961"/>
    <w:rsid w:val="695C25A7"/>
    <w:rsid w:val="69F7238E"/>
    <w:rsid w:val="6AD753F2"/>
    <w:rsid w:val="6B1E2354"/>
    <w:rsid w:val="6EEB6D81"/>
    <w:rsid w:val="6F7B4AC4"/>
    <w:rsid w:val="6F7E9ED8"/>
    <w:rsid w:val="71ACBA80"/>
    <w:rsid w:val="71FC1CEC"/>
    <w:rsid w:val="72FF548A"/>
    <w:rsid w:val="75E929D8"/>
    <w:rsid w:val="76603F13"/>
    <w:rsid w:val="77F596A3"/>
    <w:rsid w:val="77FF090B"/>
    <w:rsid w:val="7AFD2F9A"/>
    <w:rsid w:val="7B3B1647"/>
    <w:rsid w:val="7B3F8781"/>
    <w:rsid w:val="7BBE0B8A"/>
    <w:rsid w:val="7BF534EE"/>
    <w:rsid w:val="7BFB81E2"/>
    <w:rsid w:val="7D451A24"/>
    <w:rsid w:val="7DBD67CA"/>
    <w:rsid w:val="7E8F73E9"/>
    <w:rsid w:val="7EFB9919"/>
    <w:rsid w:val="7F376945"/>
    <w:rsid w:val="7F39AC41"/>
    <w:rsid w:val="7F773336"/>
    <w:rsid w:val="7FB9A70B"/>
    <w:rsid w:val="7FF7E5D4"/>
    <w:rsid w:val="7FFB1C2A"/>
    <w:rsid w:val="7FFF7A4B"/>
    <w:rsid w:val="96F8D66A"/>
    <w:rsid w:val="97BED385"/>
    <w:rsid w:val="A7E75FC5"/>
    <w:rsid w:val="A9F4ECA3"/>
    <w:rsid w:val="B3FD3DD5"/>
    <w:rsid w:val="B6FF1D65"/>
    <w:rsid w:val="BD49D767"/>
    <w:rsid w:val="BDB74A6E"/>
    <w:rsid w:val="BDD33DFB"/>
    <w:rsid w:val="BDFC1502"/>
    <w:rsid w:val="BE6F95B8"/>
    <w:rsid w:val="BFCF9EB3"/>
    <w:rsid w:val="BFE526C4"/>
    <w:rsid w:val="BFF7C7AA"/>
    <w:rsid w:val="C7FD3A16"/>
    <w:rsid w:val="CE6777E0"/>
    <w:rsid w:val="DACA158A"/>
    <w:rsid w:val="DAF96976"/>
    <w:rsid w:val="DB79648F"/>
    <w:rsid w:val="DB979E50"/>
    <w:rsid w:val="DE5FA05C"/>
    <w:rsid w:val="DFDF1671"/>
    <w:rsid w:val="E3F78E6F"/>
    <w:rsid w:val="E75789D5"/>
    <w:rsid w:val="E7FFA1A8"/>
    <w:rsid w:val="EB668EF6"/>
    <w:rsid w:val="F3FF54A5"/>
    <w:rsid w:val="F49F18BE"/>
    <w:rsid w:val="F5CEAFC2"/>
    <w:rsid w:val="F7EFD728"/>
    <w:rsid w:val="F7F7B726"/>
    <w:rsid w:val="F9FF0794"/>
    <w:rsid w:val="FB5F4D24"/>
    <w:rsid w:val="FBEF1309"/>
    <w:rsid w:val="FBEF88AC"/>
    <w:rsid w:val="FBEFC193"/>
    <w:rsid w:val="FCFB75E6"/>
    <w:rsid w:val="FDD7F0C9"/>
    <w:rsid w:val="FEBB9E3F"/>
    <w:rsid w:val="FEBFAB25"/>
    <w:rsid w:val="FFBF00C8"/>
    <w:rsid w:val="FFD19C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keepLines/>
      <w:numPr>
        <w:ilvl w:val="0"/>
        <w:numId w:val="1"/>
      </w:numPr>
      <w:spacing w:before="340" w:after="330" w:line="576" w:lineRule="auto"/>
      <w:outlineLvl w:val="0"/>
    </w:pPr>
    <w:rPr>
      <w:b/>
      <w:kern w:val="44"/>
      <w:sz w:val="44"/>
    </w:rPr>
  </w:style>
  <w:style w:type="paragraph" w:styleId="5">
    <w:name w:val="heading 2"/>
    <w:basedOn w:val="1"/>
    <w:next w:val="1"/>
    <w:unhideWhenUsed/>
    <w:qFormat/>
    <w:uiPriority w:val="9"/>
    <w:pPr>
      <w:keepNext/>
      <w:keepLines/>
      <w:numPr>
        <w:ilvl w:val="1"/>
        <w:numId w:val="1"/>
      </w:numPr>
      <w:spacing w:before="260" w:after="260" w:line="413" w:lineRule="auto"/>
      <w:outlineLvl w:val="1"/>
    </w:pPr>
    <w:rPr>
      <w:rFonts w:ascii="Arial" w:hAnsi="Arial" w:eastAsia="黑体"/>
      <w:b/>
      <w:sz w:val="32"/>
    </w:rPr>
  </w:style>
  <w:style w:type="paragraph" w:styleId="6">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7">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8">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9">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10">
    <w:name w:val="heading 7"/>
    <w:basedOn w:val="1"/>
    <w:next w:val="1"/>
    <w:unhideWhenUsed/>
    <w:qFormat/>
    <w:uiPriority w:val="9"/>
    <w:pPr>
      <w:keepNext/>
      <w:keepLines/>
      <w:numPr>
        <w:ilvl w:val="6"/>
        <w:numId w:val="1"/>
      </w:numPr>
      <w:spacing w:before="240" w:after="64" w:line="317" w:lineRule="auto"/>
      <w:outlineLvl w:val="6"/>
    </w:pPr>
    <w:rPr>
      <w:b/>
      <w:sz w:val="24"/>
    </w:rPr>
  </w:style>
  <w:style w:type="paragraph" w:styleId="11">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2">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qFormat/>
    <w:uiPriority w:val="0"/>
    <w:pPr>
      <w:ind w:firstLine="420" w:firstLineChars="100"/>
    </w:pPr>
    <w:rPr>
      <w:rFonts w:ascii="Times New Roman"/>
    </w:rPr>
  </w:style>
  <w:style w:type="paragraph" w:styleId="13">
    <w:name w:val="Normal Indent"/>
    <w:basedOn w:val="1"/>
    <w:unhideWhenUsed/>
    <w:qFormat/>
    <w:uiPriority w:val="0"/>
    <w:pPr>
      <w:ind w:firstLine="420" w:firstLineChars="200"/>
    </w:pPr>
    <w:rPr>
      <w:rFonts w:cs="Calibri"/>
      <w:szCs w:val="24"/>
    </w:rPr>
  </w:style>
  <w:style w:type="paragraph" w:styleId="14">
    <w:name w:val="Balloon Text"/>
    <w:basedOn w:val="1"/>
    <w:link w:val="22"/>
    <w:unhideWhenUsed/>
    <w:qFormat/>
    <w:uiPriority w:val="99"/>
    <w:rPr>
      <w:sz w:val="18"/>
      <w:szCs w:val="18"/>
    </w:rPr>
  </w:style>
  <w:style w:type="paragraph" w:styleId="15">
    <w:name w:val="footer"/>
    <w:basedOn w:val="1"/>
    <w:link w:val="23"/>
    <w:unhideWhenUsed/>
    <w:qFormat/>
    <w:uiPriority w:val="99"/>
    <w:pPr>
      <w:tabs>
        <w:tab w:val="center" w:pos="4153"/>
        <w:tab w:val="right" w:pos="8306"/>
      </w:tabs>
      <w:snapToGrid w:val="0"/>
      <w:jc w:val="left"/>
    </w:pPr>
    <w:rPr>
      <w:sz w:val="18"/>
      <w:szCs w:val="18"/>
    </w:rPr>
  </w:style>
  <w:style w:type="paragraph" w:styleId="16">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customStyle="1" w:styleId="22">
    <w:name w:val="批注框文本 字符"/>
    <w:basedOn w:val="20"/>
    <w:link w:val="14"/>
    <w:semiHidden/>
    <w:qFormat/>
    <w:uiPriority w:val="99"/>
    <w:rPr>
      <w:sz w:val="18"/>
      <w:szCs w:val="18"/>
    </w:rPr>
  </w:style>
  <w:style w:type="character" w:customStyle="1" w:styleId="23">
    <w:name w:val="页脚 字符"/>
    <w:basedOn w:val="20"/>
    <w:link w:val="15"/>
    <w:qFormat/>
    <w:uiPriority w:val="99"/>
    <w:rPr>
      <w:sz w:val="18"/>
      <w:szCs w:val="18"/>
    </w:rPr>
  </w:style>
  <w:style w:type="character" w:customStyle="1" w:styleId="24">
    <w:name w:val="页眉 字符"/>
    <w:basedOn w:val="20"/>
    <w:link w:val="16"/>
    <w:qFormat/>
    <w:uiPriority w:val="99"/>
    <w:rPr>
      <w:sz w:val="18"/>
      <w:szCs w:val="18"/>
    </w:rPr>
  </w:style>
  <w:style w:type="paragraph" w:styleId="25">
    <w:name w:val="List Paragraph"/>
    <w:basedOn w:val="1"/>
    <w:qFormat/>
    <w:uiPriority w:val="34"/>
    <w:pPr>
      <w:ind w:firstLine="420" w:firstLineChars="200"/>
    </w:pPr>
  </w:style>
  <w:style w:type="paragraph" w:customStyle="1" w:styleId="26">
    <w:name w:val="Revision"/>
    <w:semiHidden/>
    <w:qFormat/>
    <w:uiPriority w:val="99"/>
    <w:rPr>
      <w:rFonts w:ascii="Calibri" w:hAnsi="Calibri" w:eastAsia="宋体" w:cs="Times New Roman"/>
      <w:kern w:val="2"/>
      <w:sz w:val="21"/>
      <w:szCs w:val="22"/>
      <w:lang w:val="en-US" w:eastAsia="zh-CN" w:bidi="ar-SA"/>
    </w:rPr>
  </w:style>
  <w:style w:type="paragraph" w:customStyle="1" w:styleId="2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639</Words>
  <Characters>3643</Characters>
  <Lines>30</Lines>
  <Paragraphs>8</Paragraphs>
  <TotalTime>1</TotalTime>
  <ScaleCrop>false</ScaleCrop>
  <LinksUpToDate>false</LinksUpToDate>
  <CharactersWithSpaces>4274</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2023-06-13T15:56:00Z</dcterms:created>
  <dc:creator>吕学成</dc:creator>
  <cp:lastModifiedBy>LXC</cp:lastModifiedBy>
  <cp:lastPrinted>2025-06-19T23:43:00Z</cp:lastPrinted>
  <dcterms:modified xsi:type="dcterms:W3CDTF">2025-06-20T16:37:26Z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D7027A2851A4BA90427C5268057E0367_43</vt:lpwstr>
  </property>
</Properties>
</file>