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E1F55">
      <w:pPr>
        <w:spacing w:line="50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49A60D2B">
      <w:pPr>
        <w:snapToGrid w:val="0"/>
        <w:spacing w:line="560" w:lineRule="exact"/>
        <w:jc w:val="center"/>
        <w:rPr>
          <w:rFonts w:hint="default" w:ascii="Times New Roman" w:hAnsi="Times New Roman" w:eastAsia="方正大标宋_GBK" w:cs="Times New Roman"/>
          <w:sz w:val="42"/>
          <w:szCs w:val="42"/>
        </w:rPr>
      </w:pPr>
      <w:r>
        <w:rPr>
          <w:rFonts w:hint="default" w:ascii="Times New Roman" w:hAnsi="Times New Roman" w:eastAsia="方正大标宋_GBK" w:cs="Times New Roman"/>
          <w:sz w:val="42"/>
          <w:szCs w:val="42"/>
        </w:rPr>
        <w:t>江门市2025-2026年建设用地土壤污染状况调查报告评审及质量监督</w:t>
      </w:r>
    </w:p>
    <w:p w14:paraId="1A1B01E1">
      <w:pPr>
        <w:snapToGrid w:val="0"/>
        <w:spacing w:line="560" w:lineRule="exact"/>
        <w:jc w:val="center"/>
        <w:rPr>
          <w:rFonts w:hint="default" w:ascii="Times New Roman" w:hAnsi="Times New Roman" w:eastAsia="方正大标宋_GBK" w:cs="Times New Roman"/>
          <w:sz w:val="42"/>
          <w:szCs w:val="42"/>
        </w:rPr>
      </w:pPr>
      <w:r>
        <w:rPr>
          <w:rFonts w:hint="default" w:ascii="Times New Roman" w:hAnsi="Times New Roman" w:eastAsia="方正大标宋_GBK" w:cs="Times New Roman"/>
          <w:sz w:val="42"/>
          <w:szCs w:val="42"/>
        </w:rPr>
        <w:t>检查项目招标</w:t>
      </w:r>
      <w:bookmarkStart w:id="0" w:name="_GoBack"/>
      <w:r>
        <w:rPr>
          <w:rFonts w:hint="default" w:ascii="Times New Roman" w:hAnsi="Times New Roman" w:eastAsia="方正大标宋_GBK" w:cs="Times New Roman"/>
          <w:sz w:val="42"/>
          <w:szCs w:val="42"/>
        </w:rPr>
        <w:t>评分表</w:t>
      </w:r>
      <w:bookmarkEnd w:id="0"/>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694"/>
        <w:gridCol w:w="9039"/>
        <w:gridCol w:w="736"/>
        <w:gridCol w:w="952"/>
        <w:gridCol w:w="955"/>
        <w:gridCol w:w="952"/>
      </w:tblGrid>
      <w:tr w14:paraId="27B34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67" w:type="pct"/>
            <w:tcBorders>
              <w:top w:val="single" w:color="auto" w:sz="12" w:space="0"/>
              <w:left w:val="single" w:color="auto" w:sz="12" w:space="0"/>
              <w:bottom w:val="single" w:color="auto" w:sz="6" w:space="0"/>
              <w:right w:val="single" w:color="auto" w:sz="6" w:space="0"/>
            </w:tcBorders>
            <w:noWrap w:val="0"/>
            <w:vAlign w:val="center"/>
          </w:tcPr>
          <w:p w14:paraId="26359450">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序号</w:t>
            </w:r>
          </w:p>
        </w:tc>
        <w:tc>
          <w:tcPr>
            <w:tcW w:w="250" w:type="pct"/>
            <w:tcBorders>
              <w:top w:val="single" w:color="auto" w:sz="12" w:space="0"/>
              <w:left w:val="single" w:color="auto" w:sz="6" w:space="0"/>
              <w:bottom w:val="single" w:color="auto" w:sz="6" w:space="0"/>
              <w:right w:val="single" w:color="auto" w:sz="6" w:space="0"/>
            </w:tcBorders>
            <w:noWrap w:val="0"/>
            <w:vAlign w:val="center"/>
          </w:tcPr>
          <w:p w14:paraId="6F4B4CFB">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评审</w:t>
            </w:r>
          </w:p>
          <w:p w14:paraId="1BC4F4F7">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因素</w:t>
            </w:r>
          </w:p>
        </w:tc>
        <w:tc>
          <w:tcPr>
            <w:tcW w:w="3194" w:type="pct"/>
            <w:tcBorders>
              <w:top w:val="single" w:color="auto" w:sz="12" w:space="0"/>
              <w:left w:val="single" w:color="auto" w:sz="6" w:space="0"/>
              <w:bottom w:val="single" w:color="auto" w:sz="6" w:space="0"/>
              <w:right w:val="single" w:color="auto" w:sz="6" w:space="0"/>
            </w:tcBorders>
            <w:noWrap w:val="0"/>
            <w:vAlign w:val="center"/>
          </w:tcPr>
          <w:p w14:paraId="525FE908">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评分细则</w:t>
            </w:r>
          </w:p>
        </w:tc>
        <w:tc>
          <w:tcPr>
            <w:tcW w:w="265" w:type="pct"/>
            <w:tcBorders>
              <w:top w:val="single" w:color="auto" w:sz="12" w:space="0"/>
              <w:left w:val="single" w:color="auto" w:sz="6" w:space="0"/>
              <w:bottom w:val="single" w:color="auto" w:sz="6" w:space="0"/>
              <w:right w:val="single" w:color="auto" w:sz="6" w:space="0"/>
            </w:tcBorders>
            <w:noWrap w:val="0"/>
            <w:vAlign w:val="center"/>
          </w:tcPr>
          <w:p w14:paraId="53FB4DC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分值（分）</w:t>
            </w:r>
          </w:p>
        </w:tc>
        <w:tc>
          <w:tcPr>
            <w:tcW w:w="341" w:type="pct"/>
            <w:tcBorders>
              <w:top w:val="single" w:color="auto" w:sz="12" w:space="0"/>
              <w:left w:val="single" w:color="auto" w:sz="6" w:space="0"/>
              <w:bottom w:val="single" w:color="auto" w:sz="6" w:space="0"/>
              <w:right w:val="single" w:color="auto" w:sz="6" w:space="0"/>
            </w:tcBorders>
            <w:noWrap w:val="0"/>
            <w:vAlign w:val="center"/>
          </w:tcPr>
          <w:p w14:paraId="5F897D9D">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供应商1</w:t>
            </w:r>
          </w:p>
          <w:p w14:paraId="60F83C63">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352CEB4C">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供应商2</w:t>
            </w:r>
          </w:p>
          <w:p w14:paraId="0EB2B2A9">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22C894E7">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供应商3</w:t>
            </w:r>
          </w:p>
          <w:p w14:paraId="63A9D5BA">
            <w:pPr>
              <w:autoSpaceDE w:val="0"/>
              <w:autoSpaceDN w:val="0"/>
              <w:adjustRightInd w:val="0"/>
              <w:snapToGrid w:val="0"/>
              <w:spacing w:line="300" w:lineRule="exact"/>
              <w:ind w:left="-111" w:leftChars="-37" w:right="-105" w:rightChars="-35"/>
              <w:jc w:val="center"/>
              <w:rPr>
                <w:rFonts w:hint="default" w:ascii="Times New Roman" w:hAnsi="Times New Roman" w:eastAsia="方正黑体_GBK" w:cs="Times New Roman"/>
                <w:kern w:val="0"/>
                <w:sz w:val="21"/>
                <w:szCs w:val="21"/>
              </w:rPr>
            </w:pPr>
            <w:r>
              <w:rPr>
                <w:rFonts w:hint="default" w:ascii="Times New Roman" w:hAnsi="Times New Roman" w:eastAsia="方正黑体_GBK" w:cs="Times New Roman"/>
                <w:kern w:val="0"/>
                <w:sz w:val="21"/>
                <w:szCs w:val="21"/>
              </w:rPr>
              <w:t>得分（分）</w:t>
            </w:r>
          </w:p>
        </w:tc>
      </w:tr>
      <w:tr w14:paraId="7FA79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12" w:space="0"/>
              <w:left w:val="single" w:color="auto" w:sz="12" w:space="0"/>
              <w:bottom w:val="single" w:color="auto" w:sz="6" w:space="0"/>
              <w:right w:val="single" w:color="auto" w:sz="6" w:space="0"/>
            </w:tcBorders>
            <w:noWrap w:val="0"/>
            <w:vAlign w:val="center"/>
          </w:tcPr>
          <w:p w14:paraId="739A0E22">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highlight w:val="none"/>
              </w:rPr>
            </w:pPr>
            <w:r>
              <w:rPr>
                <w:rFonts w:hint="default" w:ascii="Times New Roman" w:hAnsi="Times New Roman" w:eastAsia="黑体"/>
                <w:kern w:val="0"/>
                <w:sz w:val="21"/>
                <w:szCs w:val="21"/>
                <w:highlight w:val="none"/>
              </w:rPr>
              <w:t>一、技术部分（3</w:t>
            </w:r>
            <w:r>
              <w:rPr>
                <w:rFonts w:hint="default" w:ascii="Times New Roman" w:hAnsi="Times New Roman" w:eastAsia="黑体"/>
                <w:kern w:val="0"/>
                <w:sz w:val="21"/>
                <w:szCs w:val="21"/>
                <w:highlight w:val="none"/>
                <w:lang w:val="en-US" w:eastAsia="zh-CN"/>
              </w:rPr>
              <w:t>2</w:t>
            </w:r>
            <w:r>
              <w:rPr>
                <w:rFonts w:hint="default" w:ascii="Times New Roman" w:hAnsi="Times New Roman" w:eastAsia="黑体"/>
                <w:kern w:val="0"/>
                <w:sz w:val="21"/>
                <w:szCs w:val="21"/>
                <w:highlight w:val="none"/>
              </w:rPr>
              <w:t>分）</w:t>
            </w:r>
          </w:p>
        </w:tc>
      </w:tr>
      <w:tr w14:paraId="398B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31C72379">
            <w:pPr>
              <w:autoSpaceDE w:val="0"/>
              <w:autoSpaceDN w:val="0"/>
              <w:adjustRightInd w:val="0"/>
              <w:snapToGrid w:val="0"/>
              <w:spacing w:line="300" w:lineRule="exact"/>
              <w:jc w:val="center"/>
              <w:rPr>
                <w:rFonts w:hint="default" w:ascii="Times New Roman" w:hAnsi="Times New Roman" w:eastAsia="仿宋_GB2312" w:cs="Times New Roman"/>
                <w:bCs/>
                <w:sz w:val="21"/>
                <w:szCs w:val="21"/>
              </w:rPr>
            </w:pPr>
            <w:r>
              <w:rPr>
                <w:rFonts w:hint="default" w:ascii="Times New Roman" w:hAnsi="Times New Roman" w:eastAsia="仿宋_GB2312" w:cs="Times New Roman"/>
                <w:bCs/>
                <w:sz w:val="21"/>
                <w:szCs w:val="21"/>
              </w:rPr>
              <w:t>（一）</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79AA1009">
            <w:pPr>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实施方案</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1B76FD81">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根据供应商针对本项目的实施方案进行评审：</w:t>
            </w:r>
          </w:p>
          <w:p w14:paraId="79935E8A">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1.对项目背景、工作目标及工作内容的理解和认识准确、深入，项目实施方案完整详细、科学合理、可行性强，有针对性，响应情况满足或优于采购文件要求的，得20分；</w:t>
            </w:r>
          </w:p>
          <w:p w14:paraId="6C9DDF37">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2.对项目背景、工作目标及工作内容的理解和认识准确，项目实施方案详细、合理、具有一定的可行性，响应情况大部分能满足采购文件要求的，得15分；</w:t>
            </w:r>
          </w:p>
          <w:p w14:paraId="1F4DD721">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3.基本理解和认识项目背景、工作目标及工作内容，项目实施方案完整、但可行性不足，响应情况部分能满足采购文件要求，得10分；</w:t>
            </w:r>
          </w:p>
          <w:p w14:paraId="2D535D80">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4.未能全面理解和认识项目背景、工作目标及工作内容，项目实施方案不详细，响应情况不能满足采购文件要求，得5分；</w:t>
            </w:r>
          </w:p>
          <w:p w14:paraId="5E7FE861">
            <w:pPr>
              <w:spacing w:line="300" w:lineRule="exac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5.未提交响应内容或其他情况，不得分。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2A5DFACD">
            <w:pPr>
              <w:autoSpaceDE w:val="0"/>
              <w:autoSpaceDN w:val="0"/>
              <w:adjustRightInd w:val="0"/>
              <w:snapToGrid w:val="0"/>
              <w:spacing w:line="300" w:lineRule="exact"/>
              <w:jc w:val="center"/>
              <w:rPr>
                <w:rFonts w:hint="default" w:ascii="Times New Roman" w:hAnsi="Times New Roman" w:eastAsia="仿宋_GB2312" w:cs="Times New Roman"/>
                <w:bCs/>
                <w:kern w:val="0"/>
                <w:sz w:val="21"/>
                <w:szCs w:val="21"/>
              </w:rPr>
            </w:pPr>
            <w:r>
              <w:rPr>
                <w:rFonts w:hint="default" w:ascii="Times New Roman" w:hAnsi="Times New Roman" w:eastAsia="仿宋_GB2312" w:cs="Times New Roman"/>
                <w:bCs/>
                <w:kern w:val="0"/>
                <w:sz w:val="21"/>
                <w:szCs w:val="21"/>
              </w:rPr>
              <w:t>20</w:t>
            </w:r>
          </w:p>
        </w:tc>
        <w:tc>
          <w:tcPr>
            <w:tcW w:w="341" w:type="pct"/>
            <w:tcBorders>
              <w:top w:val="single" w:color="auto" w:sz="6" w:space="0"/>
              <w:left w:val="single" w:color="auto" w:sz="6" w:space="0"/>
              <w:bottom w:val="single" w:color="auto" w:sz="6" w:space="0"/>
              <w:right w:val="single" w:color="auto" w:sz="6" w:space="0"/>
            </w:tcBorders>
            <w:noWrap w:val="0"/>
            <w:vAlign w:val="top"/>
          </w:tcPr>
          <w:p w14:paraId="0BA62BBE">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9F43CBD">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28D37814">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rPr>
            </w:pPr>
          </w:p>
        </w:tc>
      </w:tr>
      <w:tr w14:paraId="767922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3F89361F">
            <w:pPr>
              <w:autoSpaceDE w:val="0"/>
              <w:autoSpaceDN w:val="0"/>
              <w:adjustRightInd w:val="0"/>
              <w:snapToGrid w:val="0"/>
              <w:spacing w:line="300" w:lineRule="exact"/>
              <w:jc w:val="center"/>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（二）</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60F7A138">
            <w:pPr>
              <w:spacing w:line="30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质量保证措施</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30683CD6">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根据供应商的成果质量保证措施和进度保障措施是否全面、合理等进行评审：</w:t>
            </w:r>
          </w:p>
          <w:p w14:paraId="300E798D">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1.项目成果质量保证和进度保障措施全面、合理、得当的，得</w:t>
            </w:r>
            <w:r>
              <w:rPr>
                <w:rFonts w:hint="default" w:ascii="Times New Roman" w:hAnsi="Times New Roman" w:eastAsia="仿宋_GB2312" w:cs="Times New Roman"/>
                <w:sz w:val="21"/>
                <w:szCs w:val="21"/>
                <w:highlight w:val="none"/>
                <w:lang w:val="en-US" w:eastAsia="zh-CN"/>
              </w:rPr>
              <w:t>7</w:t>
            </w:r>
            <w:r>
              <w:rPr>
                <w:rFonts w:hint="default" w:ascii="Times New Roman" w:hAnsi="Times New Roman" w:eastAsia="仿宋_GB2312" w:cs="Times New Roman"/>
                <w:sz w:val="21"/>
                <w:szCs w:val="21"/>
                <w:highlight w:val="none"/>
              </w:rPr>
              <w:t>分；</w:t>
            </w:r>
          </w:p>
          <w:p w14:paraId="398661C0">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2.项目成果质量保证和进度保障措施较全面、较合理、较得当的，得</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sz w:val="21"/>
                <w:szCs w:val="21"/>
                <w:highlight w:val="none"/>
              </w:rPr>
              <w:t>分；</w:t>
            </w:r>
          </w:p>
          <w:p w14:paraId="4DAA28CA">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3.项目成果质量保证和进度保障措施一般的，得3分；</w:t>
            </w:r>
          </w:p>
          <w:p w14:paraId="0E272398">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4.没有的不得分。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48DD963A">
            <w:pPr>
              <w:autoSpaceDE w:val="0"/>
              <w:autoSpaceDN w:val="0"/>
              <w:adjustRightInd w:val="0"/>
              <w:snapToGrid w:val="0"/>
              <w:spacing w:line="300" w:lineRule="exact"/>
              <w:jc w:val="center"/>
              <w:rPr>
                <w:rFonts w:hint="default" w:ascii="Times New Roman" w:hAnsi="Times New Roman" w:eastAsia="仿宋_GB2312" w:cs="Times New Roman"/>
                <w:bCs/>
                <w:kern w:val="0"/>
                <w:sz w:val="21"/>
                <w:szCs w:val="21"/>
                <w:highlight w:val="none"/>
                <w:lang w:eastAsia="zh-CN"/>
              </w:rPr>
            </w:pPr>
            <w:r>
              <w:rPr>
                <w:rFonts w:hint="default" w:ascii="Times New Roman" w:hAnsi="Times New Roman" w:eastAsia="仿宋_GB2312" w:cs="Times New Roman"/>
                <w:bCs/>
                <w:kern w:val="0"/>
                <w:sz w:val="21"/>
                <w:szCs w:val="21"/>
                <w:highlight w:val="none"/>
                <w:lang w:val="en-US" w:eastAsia="zh-CN"/>
              </w:rPr>
              <w:t>7</w:t>
            </w:r>
          </w:p>
        </w:tc>
        <w:tc>
          <w:tcPr>
            <w:tcW w:w="341" w:type="pct"/>
            <w:tcBorders>
              <w:top w:val="single" w:color="auto" w:sz="6" w:space="0"/>
              <w:left w:val="single" w:color="auto" w:sz="6" w:space="0"/>
              <w:bottom w:val="single" w:color="auto" w:sz="6" w:space="0"/>
              <w:right w:val="single" w:color="auto" w:sz="6" w:space="0"/>
            </w:tcBorders>
            <w:noWrap w:val="0"/>
            <w:vAlign w:val="top"/>
          </w:tcPr>
          <w:p w14:paraId="4F4B9797">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75B0C369">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56835CEC">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r>
      <w:tr w14:paraId="4CF04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5"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53CB89E1">
            <w:pPr>
              <w:autoSpaceDE w:val="0"/>
              <w:autoSpaceDN w:val="0"/>
              <w:adjustRightInd w:val="0"/>
              <w:snapToGrid w:val="0"/>
              <w:spacing w:line="300" w:lineRule="exact"/>
              <w:jc w:val="center"/>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Cs/>
                <w:sz w:val="21"/>
                <w:szCs w:val="21"/>
                <w:highlight w:val="none"/>
              </w:rPr>
              <w:t>（三）</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50C8CA27">
            <w:pPr>
              <w:spacing w:line="300" w:lineRule="exact"/>
              <w:jc w:val="center"/>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保密</w:t>
            </w:r>
            <w:r>
              <w:rPr>
                <w:rFonts w:hint="default" w:ascii="Times New Roman" w:hAnsi="Times New Roman" w:eastAsia="仿宋_GB2312" w:cs="Times New Roman"/>
                <w:sz w:val="21"/>
                <w:szCs w:val="21"/>
                <w:highlight w:val="none"/>
                <w:lang w:eastAsia="zh-CN"/>
              </w:rPr>
              <w:t>制度</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122CBC4E">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eastAsia="zh-CN"/>
              </w:rPr>
              <w:t>健全保密制度</w:t>
            </w:r>
            <w:r>
              <w:rPr>
                <w:rFonts w:hint="default" w:ascii="Times New Roman" w:hAnsi="Times New Roman" w:eastAsia="仿宋_GB2312" w:cs="Times New Roman"/>
                <w:sz w:val="21"/>
                <w:szCs w:val="21"/>
                <w:highlight w:val="none"/>
              </w:rPr>
              <w:t>，包括但不限于专家选取、质控结果、材料归档等环节的保密：</w:t>
            </w:r>
          </w:p>
          <w:p w14:paraId="4CDF8BE7">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1.保密</w:t>
            </w:r>
            <w:r>
              <w:rPr>
                <w:rFonts w:hint="default" w:ascii="Times New Roman" w:hAnsi="Times New Roman" w:eastAsia="仿宋_GB2312" w:cs="Times New Roman"/>
                <w:sz w:val="21"/>
                <w:szCs w:val="21"/>
                <w:highlight w:val="none"/>
                <w:lang w:eastAsia="zh-CN"/>
              </w:rPr>
              <w:t>制度健全</w:t>
            </w:r>
            <w:r>
              <w:rPr>
                <w:rFonts w:hint="default" w:ascii="Times New Roman" w:hAnsi="Times New Roman" w:eastAsia="仿宋_GB2312" w:cs="Times New Roman"/>
                <w:sz w:val="21"/>
                <w:szCs w:val="21"/>
                <w:highlight w:val="none"/>
              </w:rPr>
              <w:t>、详细，可行性高，得5分；</w:t>
            </w:r>
          </w:p>
          <w:p w14:paraId="79181268">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2.保密</w:t>
            </w:r>
            <w:r>
              <w:rPr>
                <w:rFonts w:hint="default" w:ascii="Times New Roman" w:hAnsi="Times New Roman" w:eastAsia="仿宋_GB2312" w:cs="Times New Roman"/>
                <w:sz w:val="21"/>
                <w:szCs w:val="21"/>
                <w:highlight w:val="none"/>
                <w:lang w:eastAsia="zh-CN"/>
              </w:rPr>
              <w:t>制度</w:t>
            </w:r>
            <w:r>
              <w:rPr>
                <w:rFonts w:hint="default" w:ascii="Times New Roman" w:hAnsi="Times New Roman" w:eastAsia="仿宋_GB2312" w:cs="Times New Roman"/>
                <w:sz w:val="21"/>
                <w:szCs w:val="21"/>
                <w:highlight w:val="none"/>
              </w:rPr>
              <w:t>较</w:t>
            </w:r>
            <w:r>
              <w:rPr>
                <w:rFonts w:hint="default" w:ascii="Times New Roman" w:hAnsi="Times New Roman" w:eastAsia="仿宋_GB2312" w:cs="Times New Roman"/>
                <w:sz w:val="21"/>
                <w:szCs w:val="21"/>
                <w:highlight w:val="none"/>
                <w:lang w:eastAsia="zh-CN"/>
              </w:rPr>
              <w:t>健全</w:t>
            </w:r>
            <w:r>
              <w:rPr>
                <w:rFonts w:hint="default" w:ascii="Times New Roman" w:hAnsi="Times New Roman" w:eastAsia="仿宋_GB2312" w:cs="Times New Roman"/>
                <w:sz w:val="21"/>
                <w:szCs w:val="21"/>
                <w:highlight w:val="none"/>
              </w:rPr>
              <w:t>、详细，可行性较高，得3分；</w:t>
            </w:r>
          </w:p>
          <w:p w14:paraId="2489950C">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3.保密</w:t>
            </w:r>
            <w:r>
              <w:rPr>
                <w:rFonts w:hint="default" w:ascii="Times New Roman" w:hAnsi="Times New Roman" w:eastAsia="仿宋_GB2312" w:cs="Times New Roman"/>
                <w:sz w:val="21"/>
                <w:szCs w:val="21"/>
                <w:highlight w:val="none"/>
                <w:lang w:eastAsia="zh-CN"/>
              </w:rPr>
              <w:t>制度</w:t>
            </w:r>
            <w:r>
              <w:rPr>
                <w:rFonts w:hint="default" w:ascii="Times New Roman" w:hAnsi="Times New Roman" w:eastAsia="仿宋_GB2312" w:cs="Times New Roman"/>
                <w:sz w:val="21"/>
                <w:szCs w:val="21"/>
                <w:highlight w:val="none"/>
              </w:rPr>
              <w:t>不够具体，可行性</w:t>
            </w:r>
            <w:r>
              <w:rPr>
                <w:rFonts w:hint="default" w:ascii="Times New Roman" w:hAnsi="Times New Roman" w:eastAsia="仿宋_GB2312" w:cs="Times New Roman"/>
                <w:sz w:val="21"/>
                <w:szCs w:val="21"/>
                <w:highlight w:val="none"/>
                <w:lang w:eastAsia="zh-CN"/>
              </w:rPr>
              <w:t>不高</w:t>
            </w:r>
            <w:r>
              <w:rPr>
                <w:rFonts w:hint="default" w:ascii="Times New Roman" w:hAnsi="Times New Roman" w:eastAsia="仿宋_GB2312" w:cs="Times New Roman"/>
                <w:sz w:val="21"/>
                <w:szCs w:val="21"/>
                <w:highlight w:val="none"/>
              </w:rPr>
              <w:t>，得1分；</w:t>
            </w:r>
          </w:p>
          <w:p w14:paraId="30266A32">
            <w:pPr>
              <w:spacing w:line="30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4.未提供得0分。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7FE501BE">
            <w:pPr>
              <w:autoSpaceDE w:val="0"/>
              <w:autoSpaceDN w:val="0"/>
              <w:adjustRightInd w:val="0"/>
              <w:snapToGrid w:val="0"/>
              <w:spacing w:line="300" w:lineRule="exact"/>
              <w:jc w:val="center"/>
              <w:rPr>
                <w:rFonts w:hint="default" w:ascii="Times New Roman" w:hAnsi="Times New Roman" w:eastAsia="仿宋_GB2312" w:cs="Times New Roman"/>
                <w:bCs/>
                <w:kern w:val="0"/>
                <w:sz w:val="21"/>
                <w:szCs w:val="21"/>
                <w:highlight w:val="none"/>
              </w:rPr>
            </w:pPr>
            <w:r>
              <w:rPr>
                <w:rFonts w:hint="default" w:ascii="Times New Roman" w:hAnsi="Times New Roman" w:eastAsia="仿宋_GB2312" w:cs="Times New Roman"/>
                <w:bCs/>
                <w:kern w:val="0"/>
                <w:sz w:val="21"/>
                <w:szCs w:val="21"/>
                <w:highlight w:val="none"/>
              </w:rPr>
              <w:t>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7A703CBE">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6A398AA">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7B195EC">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highlight w:val="none"/>
              </w:rPr>
            </w:pPr>
          </w:p>
        </w:tc>
      </w:tr>
      <w:tr w14:paraId="54616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555D2576">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r>
              <w:rPr>
                <w:rFonts w:hint="default" w:ascii="Times New Roman" w:hAnsi="Times New Roman" w:eastAsia="黑体"/>
                <w:kern w:val="0"/>
                <w:sz w:val="21"/>
                <w:szCs w:val="21"/>
                <w:highlight w:val="none"/>
              </w:rPr>
              <w:t>二、商务部分（5</w:t>
            </w:r>
            <w:r>
              <w:rPr>
                <w:rFonts w:hint="default" w:ascii="Times New Roman" w:hAnsi="Times New Roman" w:eastAsia="黑体"/>
                <w:kern w:val="0"/>
                <w:sz w:val="21"/>
                <w:szCs w:val="21"/>
                <w:highlight w:val="none"/>
                <w:lang w:val="en-US" w:eastAsia="zh-CN"/>
              </w:rPr>
              <w:t>3</w:t>
            </w:r>
            <w:r>
              <w:rPr>
                <w:rFonts w:hint="default" w:ascii="Times New Roman" w:hAnsi="Times New Roman" w:eastAsia="黑体"/>
                <w:kern w:val="0"/>
                <w:sz w:val="21"/>
                <w:szCs w:val="21"/>
                <w:highlight w:val="none"/>
              </w:rPr>
              <w:t>分）</w:t>
            </w:r>
          </w:p>
        </w:tc>
      </w:tr>
      <w:tr w14:paraId="40068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660F8225">
            <w:pPr>
              <w:autoSpaceDE w:val="0"/>
              <w:autoSpaceDN w:val="0"/>
              <w:adjustRightInd w:val="0"/>
              <w:snapToGrid w:val="0"/>
              <w:spacing w:line="300" w:lineRule="exact"/>
              <w:jc w:val="center"/>
              <w:rPr>
                <w:rFonts w:hint="default" w:ascii="Times New Roman" w:hAnsi="Times New Roman" w:eastAsia="仿宋_GB2312" w:cs="Times New Roman"/>
                <w:bCs/>
                <w:color w:val="000000"/>
                <w:sz w:val="21"/>
                <w:szCs w:val="21"/>
              </w:rPr>
            </w:pPr>
            <w:r>
              <w:rPr>
                <w:rFonts w:hint="default" w:ascii="Times New Roman" w:hAnsi="Times New Roman" w:eastAsia="仿宋_GB2312" w:cs="Times New Roman"/>
                <w:bCs/>
                <w:color w:val="000000"/>
                <w:sz w:val="21"/>
                <w:szCs w:val="21"/>
              </w:rPr>
              <w:t>（四）</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35B7ACB7">
            <w:pPr>
              <w:spacing w:line="300" w:lineRule="exact"/>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业绩情况</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15391690">
            <w:pPr>
              <w:spacing w:line="30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供应商自2020年1月1日以来（以签订合同为准）承担过建设用地土壤污染状况调查报告评审类项目或建设用地土壤污染状况调查报告质量监督检查类项目的，每个得5分，最高得25分。</w:t>
            </w:r>
          </w:p>
          <w:p w14:paraId="6A17F1F6">
            <w:pPr>
              <w:spacing w:line="300" w:lineRule="exact"/>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注：供应商须提供合同（含签订合同双方的单位名称、合同项目名称、签订合同双方的落款盖章、签订日期的关键页）复印件加盖供应商公章作为同类业绩证明资料，同一个合同涉及两个项目的，按一个得分项计算。不提供或资料不全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62D7C2DC">
            <w:pPr>
              <w:autoSpaceDE w:val="0"/>
              <w:autoSpaceDN w:val="0"/>
              <w:adjustRightInd w:val="0"/>
              <w:snapToGrid w:val="0"/>
              <w:spacing w:line="300" w:lineRule="exact"/>
              <w:ind w:left="-90" w:leftChars="-30" w:right="-126" w:rightChars="-42"/>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67B931EA">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87801D6">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9619365">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rPr>
            </w:pPr>
          </w:p>
        </w:tc>
      </w:tr>
      <w:tr w14:paraId="4DA216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704B6E7C">
            <w:pPr>
              <w:autoSpaceDE w:val="0"/>
              <w:autoSpaceDN w:val="0"/>
              <w:adjustRightInd w:val="0"/>
              <w:snapToGrid w:val="0"/>
              <w:spacing w:line="300" w:lineRule="exact"/>
              <w:jc w:val="center"/>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（五）</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21B663C8">
            <w:pPr>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项目负责人实力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5127A161">
            <w:pPr>
              <w:spacing w:line="300" w:lineRule="exac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拟委派的项目负责人，具有环境类相关专业副高级（或以上）技术职称的，得</w:t>
            </w:r>
            <w:r>
              <w:rPr>
                <w:rFonts w:hint="default" w:ascii="Times New Roman" w:hAnsi="Times New Roman" w:eastAsia="仿宋_GB2312" w:cs="Times New Roman"/>
                <w:color w:val="000000"/>
                <w:sz w:val="21"/>
                <w:szCs w:val="21"/>
                <w:highlight w:val="none"/>
                <w:lang w:val="en-US" w:eastAsia="zh-CN"/>
              </w:rPr>
              <w:t>8</w:t>
            </w:r>
            <w:r>
              <w:rPr>
                <w:rFonts w:hint="default" w:ascii="Times New Roman" w:hAnsi="Times New Roman" w:eastAsia="仿宋_GB2312" w:cs="Times New Roman"/>
                <w:color w:val="000000"/>
                <w:sz w:val="21"/>
                <w:szCs w:val="21"/>
                <w:highlight w:val="none"/>
              </w:rPr>
              <w:t>分；具有环境类相关专业中级技术职称的，得</w:t>
            </w:r>
            <w:r>
              <w:rPr>
                <w:rFonts w:hint="default" w:ascii="Times New Roman" w:hAnsi="Times New Roman" w:eastAsia="仿宋_GB2312" w:cs="Times New Roman"/>
                <w:color w:val="000000"/>
                <w:sz w:val="21"/>
                <w:szCs w:val="21"/>
                <w:highlight w:val="none"/>
                <w:lang w:val="en-US" w:eastAsia="zh-CN"/>
              </w:rPr>
              <w:t>5</w:t>
            </w:r>
            <w:r>
              <w:rPr>
                <w:rFonts w:hint="default" w:ascii="Times New Roman" w:hAnsi="Times New Roman" w:eastAsia="仿宋_GB2312" w:cs="Times New Roman"/>
                <w:color w:val="000000"/>
                <w:sz w:val="21"/>
                <w:szCs w:val="21"/>
                <w:highlight w:val="none"/>
              </w:rPr>
              <w:t>分。其余不得分。</w:t>
            </w:r>
          </w:p>
          <w:p w14:paraId="44318252">
            <w:pPr>
              <w:spacing w:line="300" w:lineRule="exac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3F76A4BD">
            <w:pPr>
              <w:autoSpaceDE w:val="0"/>
              <w:autoSpaceDN w:val="0"/>
              <w:adjustRightInd w:val="0"/>
              <w:snapToGrid w:val="0"/>
              <w:spacing w:line="300" w:lineRule="exact"/>
              <w:ind w:left="-90" w:leftChars="-30" w:right="-126" w:rightChars="-42"/>
              <w:jc w:val="center"/>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bCs/>
                <w:color w:val="000000"/>
                <w:kern w:val="0"/>
                <w:sz w:val="21"/>
                <w:szCs w:val="21"/>
                <w:highlight w:val="none"/>
                <w:lang w:val="en-US" w:eastAsia="zh-CN"/>
              </w:rPr>
              <w:t>8</w:t>
            </w:r>
          </w:p>
        </w:tc>
        <w:tc>
          <w:tcPr>
            <w:tcW w:w="341" w:type="pct"/>
            <w:tcBorders>
              <w:top w:val="single" w:color="auto" w:sz="6" w:space="0"/>
              <w:left w:val="single" w:color="auto" w:sz="6" w:space="0"/>
              <w:bottom w:val="single" w:color="auto" w:sz="6" w:space="0"/>
              <w:right w:val="single" w:color="auto" w:sz="6" w:space="0"/>
            </w:tcBorders>
            <w:noWrap w:val="0"/>
            <w:vAlign w:val="top"/>
          </w:tcPr>
          <w:p w14:paraId="5BE13CFA">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459D8632">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5BFCCFD5">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r>
      <w:tr w14:paraId="476BC9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590F6D22">
            <w:pPr>
              <w:autoSpaceDE w:val="0"/>
              <w:autoSpaceDN w:val="0"/>
              <w:adjustRightInd w:val="0"/>
              <w:snapToGrid w:val="0"/>
              <w:spacing w:line="300" w:lineRule="exact"/>
              <w:jc w:val="center"/>
              <w:rPr>
                <w:rFonts w:hint="default" w:ascii="Times New Roman" w:hAnsi="Times New Roman" w:eastAsia="仿宋_GB2312" w:cs="Times New Roman"/>
                <w:bCs/>
                <w:color w:val="000000"/>
                <w:sz w:val="21"/>
                <w:szCs w:val="21"/>
                <w:highlight w:val="none"/>
              </w:rPr>
            </w:pPr>
            <w:r>
              <w:rPr>
                <w:rFonts w:hint="default" w:ascii="Times New Roman" w:hAnsi="Times New Roman" w:eastAsia="仿宋_GB2312" w:cs="Times New Roman"/>
                <w:bCs/>
                <w:color w:val="000000"/>
                <w:sz w:val="21"/>
                <w:szCs w:val="21"/>
                <w:highlight w:val="none"/>
              </w:rPr>
              <w:t>（六）</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07917E7C">
            <w:pPr>
              <w:spacing w:line="300" w:lineRule="exact"/>
              <w:jc w:val="center"/>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团队实力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62F66C52">
            <w:pPr>
              <w:spacing w:line="300" w:lineRule="exac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拟委派的技术人员（不含项目负责人），具有环境类相关专业副高级（或以上）技术职称的，每人得</w:t>
            </w:r>
            <w:r>
              <w:rPr>
                <w:rFonts w:hint="default" w:ascii="Times New Roman" w:hAnsi="Times New Roman" w:eastAsia="仿宋_GB2312" w:cs="Times New Roman"/>
                <w:color w:val="000000"/>
                <w:sz w:val="21"/>
                <w:szCs w:val="21"/>
                <w:highlight w:val="none"/>
                <w:lang w:val="en-US" w:eastAsia="zh-CN"/>
              </w:rPr>
              <w:t>5</w:t>
            </w:r>
            <w:r>
              <w:rPr>
                <w:rFonts w:hint="default" w:ascii="Times New Roman" w:hAnsi="Times New Roman" w:eastAsia="仿宋_GB2312" w:cs="Times New Roman"/>
                <w:color w:val="000000"/>
                <w:sz w:val="21"/>
                <w:szCs w:val="21"/>
                <w:highlight w:val="none"/>
              </w:rPr>
              <w:t>分；具有环境类相关专业中级技术职称的，每人得</w:t>
            </w:r>
            <w:r>
              <w:rPr>
                <w:rFonts w:hint="default" w:ascii="Times New Roman" w:hAnsi="Times New Roman" w:eastAsia="仿宋_GB2312" w:cs="Times New Roman"/>
                <w:color w:val="000000"/>
                <w:sz w:val="21"/>
                <w:szCs w:val="21"/>
                <w:highlight w:val="none"/>
                <w:lang w:val="en-US" w:eastAsia="zh-CN"/>
              </w:rPr>
              <w:t>3</w:t>
            </w:r>
            <w:r>
              <w:rPr>
                <w:rFonts w:hint="default" w:ascii="Times New Roman" w:hAnsi="Times New Roman" w:eastAsia="仿宋_GB2312" w:cs="Times New Roman"/>
                <w:color w:val="000000"/>
                <w:sz w:val="21"/>
                <w:szCs w:val="21"/>
                <w:highlight w:val="none"/>
              </w:rPr>
              <w:t>分；否则不得分。</w:t>
            </w:r>
          </w:p>
          <w:p w14:paraId="4562F018">
            <w:pPr>
              <w:spacing w:line="300" w:lineRule="exact"/>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注：上述合计最高得20分，同一人员具备多个不同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12EEBC2B">
            <w:pPr>
              <w:autoSpaceDE w:val="0"/>
              <w:autoSpaceDN w:val="0"/>
              <w:adjustRightInd w:val="0"/>
              <w:snapToGrid w:val="0"/>
              <w:spacing w:line="300" w:lineRule="exact"/>
              <w:ind w:left="-90" w:leftChars="-30" w:right="-126" w:rightChars="-42"/>
              <w:jc w:val="center"/>
              <w:rPr>
                <w:rFonts w:hint="default" w:ascii="Times New Roman" w:hAnsi="Times New Roman" w:eastAsia="仿宋_GB2312" w:cs="Times New Roman"/>
                <w:bCs/>
                <w:color w:val="000000"/>
                <w:kern w:val="0"/>
                <w:sz w:val="21"/>
                <w:szCs w:val="21"/>
                <w:highlight w:val="none"/>
              </w:rPr>
            </w:pPr>
            <w:r>
              <w:rPr>
                <w:rFonts w:hint="default" w:ascii="Times New Roman" w:hAnsi="Times New Roman" w:eastAsia="仿宋_GB2312" w:cs="Times New Roman"/>
                <w:bCs/>
                <w:color w:val="000000"/>
                <w:kern w:val="0"/>
                <w:sz w:val="21"/>
                <w:szCs w:val="21"/>
                <w:highlight w:val="none"/>
              </w:rPr>
              <w:t>20</w:t>
            </w:r>
          </w:p>
        </w:tc>
        <w:tc>
          <w:tcPr>
            <w:tcW w:w="341" w:type="pct"/>
            <w:tcBorders>
              <w:top w:val="single" w:color="auto" w:sz="6" w:space="0"/>
              <w:left w:val="single" w:color="auto" w:sz="6" w:space="0"/>
              <w:bottom w:val="single" w:color="auto" w:sz="6" w:space="0"/>
              <w:right w:val="single" w:color="auto" w:sz="6" w:space="0"/>
            </w:tcBorders>
            <w:noWrap w:val="0"/>
            <w:vAlign w:val="top"/>
          </w:tcPr>
          <w:p w14:paraId="1F566F64">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6C258884">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73EC606F">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color w:val="000000"/>
                <w:kern w:val="0"/>
                <w:sz w:val="21"/>
                <w:szCs w:val="21"/>
                <w:highlight w:val="none"/>
              </w:rPr>
            </w:pPr>
          </w:p>
        </w:tc>
      </w:tr>
      <w:tr w14:paraId="30636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53E02360">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r>
              <w:rPr>
                <w:rFonts w:hint="default" w:ascii="Times New Roman" w:hAnsi="Times New Roman" w:eastAsia="黑体"/>
                <w:kern w:val="0"/>
                <w:sz w:val="21"/>
                <w:szCs w:val="21"/>
                <w:highlight w:val="none"/>
              </w:rPr>
              <w:t>三、价格部分（15分）</w:t>
            </w:r>
          </w:p>
        </w:tc>
      </w:tr>
      <w:tr w14:paraId="2524A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125057C5">
            <w:pPr>
              <w:autoSpaceDE w:val="0"/>
              <w:autoSpaceDN w:val="0"/>
              <w:adjustRightInd w:val="0"/>
              <w:snapToGrid w:val="0"/>
              <w:spacing w:line="300" w:lineRule="exact"/>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（七）</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1FF45E1C">
            <w:pPr>
              <w:autoSpaceDE w:val="0"/>
              <w:autoSpaceDN w:val="0"/>
              <w:adjustRightInd w:val="0"/>
              <w:snapToGrid w:val="0"/>
              <w:spacing w:line="30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价格得分</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2A053663">
            <w:pPr>
              <w:autoSpaceDE w:val="0"/>
              <w:autoSpaceDN w:val="0"/>
              <w:adjustRightInd w:val="0"/>
              <w:snapToGrid w:val="0"/>
              <w:spacing w:line="300" w:lineRule="exact"/>
              <w:jc w:val="left"/>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价格分应当采用低价优先法计算，即满足采购需求且报价最低的为基准价，该项价格得分为满分。其他供应商的价格得分统一按照下列公式计算：供应商价格得分=(基准价／报价)×15，价格得分四舍五入后保留小数点后两位有效数。</w:t>
            </w:r>
            <w:r>
              <w:rPr>
                <w:rFonts w:hint="default" w:ascii="Times New Roman" w:hAnsi="Times New Roman" w:eastAsia="仿宋_GB2312" w:cs="Times New Roman"/>
                <w:b/>
                <w:sz w:val="21"/>
                <w:szCs w:val="21"/>
              </w:rPr>
              <w:t>（对符合规定的小型和微型企业（监狱企业、残疾人福利单位视同小型、微型企业）报价给予10%的价格扣除。）</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20CEADB2">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15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24EB881A">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9806EE6">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43148607">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kern w:val="0"/>
                <w:sz w:val="21"/>
                <w:szCs w:val="21"/>
              </w:rPr>
            </w:pPr>
          </w:p>
        </w:tc>
      </w:tr>
      <w:tr w14:paraId="44CE78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11" w:type="pct"/>
            <w:gridSpan w:val="3"/>
            <w:tcBorders>
              <w:top w:val="single" w:color="auto" w:sz="6" w:space="0"/>
              <w:left w:val="single" w:color="auto" w:sz="12" w:space="0"/>
              <w:bottom w:val="single" w:color="auto" w:sz="12" w:space="0"/>
              <w:right w:val="single" w:color="auto" w:sz="6" w:space="0"/>
            </w:tcBorders>
            <w:noWrap w:val="0"/>
            <w:vAlign w:val="center"/>
          </w:tcPr>
          <w:p w14:paraId="48CFD3DF">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合计</w:t>
            </w:r>
          </w:p>
        </w:tc>
        <w:tc>
          <w:tcPr>
            <w:tcW w:w="265" w:type="pct"/>
            <w:tcBorders>
              <w:top w:val="single" w:color="auto" w:sz="6" w:space="0"/>
              <w:left w:val="single" w:color="auto" w:sz="6" w:space="0"/>
              <w:bottom w:val="single" w:color="auto" w:sz="12" w:space="0"/>
              <w:right w:val="single" w:color="auto" w:sz="6" w:space="0"/>
            </w:tcBorders>
            <w:noWrap w:val="0"/>
            <w:vAlign w:val="center"/>
          </w:tcPr>
          <w:p w14:paraId="5711C1E9">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kern w:val="0"/>
                <w:sz w:val="21"/>
                <w:szCs w:val="21"/>
              </w:rPr>
            </w:pPr>
            <w:r>
              <w:rPr>
                <w:rFonts w:hint="default" w:ascii="Times New Roman" w:hAnsi="Times New Roman" w:eastAsia="仿宋_GB2312" w:cs="Times New Roman"/>
                <w:b/>
                <w:kern w:val="0"/>
                <w:sz w:val="21"/>
                <w:szCs w:val="21"/>
              </w:rPr>
              <w:t xml:space="preserve">100 </w:t>
            </w:r>
          </w:p>
        </w:tc>
        <w:tc>
          <w:tcPr>
            <w:tcW w:w="341" w:type="pct"/>
            <w:tcBorders>
              <w:top w:val="single" w:color="auto" w:sz="6" w:space="0"/>
              <w:left w:val="single" w:color="auto" w:sz="6" w:space="0"/>
              <w:bottom w:val="single" w:color="auto" w:sz="12" w:space="0"/>
              <w:right w:val="single" w:color="auto" w:sz="6" w:space="0"/>
            </w:tcBorders>
            <w:noWrap w:val="0"/>
            <w:vAlign w:val="top"/>
          </w:tcPr>
          <w:p w14:paraId="71358886">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kern w:val="0"/>
                <w:sz w:val="21"/>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27495947">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kern w:val="0"/>
                <w:sz w:val="21"/>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6D4965C2">
            <w:pPr>
              <w:autoSpaceDE w:val="0"/>
              <w:autoSpaceDN w:val="0"/>
              <w:adjustRightInd w:val="0"/>
              <w:snapToGrid w:val="0"/>
              <w:spacing w:line="300" w:lineRule="exact"/>
              <w:ind w:left="-111" w:leftChars="-37" w:right="-105" w:rightChars="-35"/>
              <w:jc w:val="center"/>
              <w:rPr>
                <w:rFonts w:hint="default" w:ascii="Times New Roman" w:hAnsi="Times New Roman" w:eastAsia="仿宋_GB2312" w:cs="Times New Roman"/>
                <w:b/>
                <w:kern w:val="0"/>
                <w:sz w:val="21"/>
                <w:szCs w:val="21"/>
              </w:rPr>
            </w:pPr>
          </w:p>
        </w:tc>
      </w:tr>
    </w:tbl>
    <w:p w14:paraId="236CAB6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C66AF"/>
    <w:rsid w:val="6C9C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2025-06-20T06:50:00Z</dcterms:created>
  <dc:creator>李耀明</dc:creator>
  <cp:lastModifiedBy>李耀明</cp:lastModifiedBy>
  <dcterms:modified xsi:type="dcterms:W3CDTF">2025-06-20T06:50:39Z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39999E654EBD415B98E8432C540FB474_11</vt:lpwstr>
  </property>
  <property fmtid="{D5CDD505-2E9C-101B-9397-08002B2CF9AE}" pid="4" name="KSOTemplateDocerSaveRecord">
    <vt:lpwstr>eyJoZGlkIjoiMDM3NGU3YmU1ODYyYjdmN2E3ZWRhMmM0MjY3M2IwZTIifQ==</vt:lpwstr>
  </property>
</Properties>
</file>