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宋体"/>
          <w:color w:val="auto"/>
          <w:sz w:val="44"/>
          <w:szCs w:val="44"/>
          <w:u w:val="none"/>
          <w:lang w:eastAsia="zh-CN"/>
        </w:rPr>
      </w:pPr>
      <w:r>
        <w:rPr>
          <w:rFonts w:hint="eastAsia"/>
          <w:b/>
          <w:bCs/>
          <w:color w:val="auto"/>
          <w:sz w:val="44"/>
          <w:szCs w:val="44"/>
          <w:u w:val="none"/>
          <w:lang w:eastAsia="zh-CN"/>
        </w:rPr>
        <w:t>关于开展</w:t>
      </w:r>
      <w:r>
        <w:rPr>
          <w:rFonts w:hint="eastAsia"/>
          <w:b/>
          <w:bCs/>
          <w:color w:val="auto"/>
          <w:sz w:val="44"/>
          <w:szCs w:val="44"/>
          <w:u w:val="none"/>
        </w:rPr>
        <w:t>20</w:t>
      </w:r>
      <w:r>
        <w:rPr>
          <w:rFonts w:hint="eastAsia"/>
          <w:b/>
          <w:bCs/>
          <w:color w:val="auto"/>
          <w:sz w:val="44"/>
          <w:szCs w:val="44"/>
          <w:u w:val="none"/>
          <w:lang w:val="en-US" w:eastAsia="zh-CN"/>
        </w:rPr>
        <w:t>25</w:t>
      </w:r>
      <w:r>
        <w:rPr>
          <w:rFonts w:hint="eastAsia"/>
          <w:b/>
          <w:bCs/>
          <w:color w:val="auto"/>
          <w:sz w:val="44"/>
          <w:szCs w:val="44"/>
          <w:u w:val="none"/>
        </w:rPr>
        <w:t>年</w:t>
      </w:r>
      <w:r>
        <w:rPr>
          <w:rFonts w:hint="eastAsia"/>
          <w:b/>
          <w:bCs/>
          <w:color w:val="auto"/>
          <w:sz w:val="44"/>
          <w:szCs w:val="44"/>
          <w:u w:val="none"/>
          <w:lang w:eastAsia="zh-CN"/>
        </w:rPr>
        <w:t>度市本级住房保障对象</w:t>
      </w:r>
      <w:r>
        <w:rPr>
          <w:rFonts w:hint="eastAsia"/>
          <w:b/>
          <w:bCs/>
          <w:color w:val="auto"/>
          <w:sz w:val="44"/>
          <w:szCs w:val="44"/>
          <w:u w:val="none"/>
        </w:rPr>
        <w:t>档案</w:t>
      </w:r>
      <w:r>
        <w:rPr>
          <w:rFonts w:hint="eastAsia"/>
          <w:b/>
          <w:bCs/>
          <w:color w:val="auto"/>
          <w:sz w:val="44"/>
          <w:szCs w:val="44"/>
          <w:u w:val="none"/>
          <w:lang w:eastAsia="zh-CN"/>
        </w:rPr>
        <w:t>电子化和纸质化整理工作的采购方案</w:t>
      </w:r>
    </w:p>
    <w:p>
      <w:pPr>
        <w:rPr>
          <w:rFonts w:hint="eastAsia" w:ascii="仿宋_GB2312" w:eastAsia="仿宋_GB2312"/>
          <w:color w:val="auto"/>
          <w:sz w:val="32"/>
          <w:szCs w:val="32"/>
          <w:u w:val="none"/>
        </w:rPr>
      </w:pPr>
    </w:p>
    <w:p>
      <w:pPr>
        <w:pStyle w:val="3"/>
        <w:keepNext w:val="0"/>
        <w:keepLines w:val="0"/>
        <w:pageBreakBefore w:val="0"/>
        <w:kinsoku/>
        <w:wordWrap/>
        <w:overflowPunct/>
        <w:topLinePunct w:val="0"/>
        <w:autoSpaceDE/>
        <w:autoSpaceDN/>
        <w:bidi w:val="0"/>
        <w:adjustRightInd/>
        <w:spacing w:before="0" w:beforeAutospacing="0" w:after="0" w:afterAutospacing="0" w:line="5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根据住建部《住房保障档案管理办法》</w:t>
      </w:r>
      <w:r>
        <w:rPr>
          <w:rFonts w:hint="eastAsia" w:ascii="仿宋_GB2312" w:hAnsi="仿宋_GB2312" w:eastAsia="仿宋_GB2312" w:cs="仿宋_GB2312"/>
          <w:color w:val="auto"/>
          <w:sz w:val="32"/>
          <w:szCs w:val="32"/>
          <w:u w:val="none"/>
          <w:lang w:eastAsia="zh-CN"/>
        </w:rPr>
        <w:t>和</w:t>
      </w:r>
      <w:r>
        <w:rPr>
          <w:rFonts w:hint="eastAsia" w:ascii="仿宋_GB2312" w:eastAsia="仿宋_GB2312"/>
          <w:color w:val="auto"/>
          <w:sz w:val="32"/>
          <w:szCs w:val="32"/>
          <w:u w:val="none"/>
        </w:rPr>
        <w:t>《江门市公共租赁住房管理实施细则》</w:t>
      </w:r>
      <w:r>
        <w:rPr>
          <w:rFonts w:hint="eastAsia" w:ascii="仿宋_GB2312" w:eastAsia="仿宋_GB2312"/>
          <w:color w:val="auto"/>
          <w:sz w:val="32"/>
          <w:szCs w:val="32"/>
          <w:u w:val="none"/>
          <w:lang w:eastAsia="zh-CN"/>
        </w:rPr>
        <w:t>等相关文件</w:t>
      </w:r>
      <w:r>
        <w:rPr>
          <w:rFonts w:hint="eastAsia" w:ascii="仿宋_GB2312" w:hAnsi="仿宋_GB2312" w:eastAsia="仿宋_GB2312" w:cs="仿宋_GB2312"/>
          <w:color w:val="auto"/>
          <w:sz w:val="32"/>
          <w:szCs w:val="32"/>
          <w:u w:val="none"/>
          <w:lang w:eastAsia="zh-CN"/>
        </w:rPr>
        <w:t>要求</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eastAsia="zh-CN"/>
        </w:rPr>
        <w:t>加强和规范我局住房保障档案管理，确保其完整、准确、安全和有效利用，</w:t>
      </w:r>
      <w:r>
        <w:rPr>
          <w:rFonts w:hint="eastAsia" w:ascii="仿宋_GB2312" w:hAnsi="仿宋_GB2312" w:eastAsia="仿宋_GB2312" w:cs="仿宋_GB2312"/>
          <w:color w:val="auto"/>
          <w:sz w:val="32"/>
          <w:szCs w:val="32"/>
          <w:u w:val="none"/>
        </w:rPr>
        <w:t>健全</w:t>
      </w:r>
      <w:r>
        <w:rPr>
          <w:rFonts w:hint="eastAsia" w:ascii="仿宋_GB2312" w:hAnsi="仿宋_GB2312" w:eastAsia="仿宋_GB2312" w:cs="仿宋_GB2312"/>
          <w:color w:val="auto"/>
          <w:sz w:val="32"/>
          <w:szCs w:val="32"/>
          <w:u w:val="none"/>
          <w:lang w:eastAsia="zh-CN"/>
        </w:rPr>
        <w:t>我局</w:t>
      </w:r>
      <w:r>
        <w:rPr>
          <w:rFonts w:hint="eastAsia" w:ascii="仿宋_GB2312" w:hAnsi="仿宋_GB2312" w:eastAsia="仿宋_GB2312" w:cs="仿宋_GB2312"/>
          <w:color w:val="auto"/>
          <w:sz w:val="32"/>
          <w:szCs w:val="32"/>
          <w:u w:val="none"/>
        </w:rPr>
        <w:t>住房保障档案管理</w:t>
      </w:r>
      <w:r>
        <w:rPr>
          <w:rFonts w:hint="eastAsia" w:ascii="仿宋_GB2312" w:hAnsi="仿宋_GB2312" w:eastAsia="仿宋_GB2312" w:cs="仿宋_GB2312"/>
          <w:color w:val="auto"/>
          <w:sz w:val="32"/>
          <w:szCs w:val="32"/>
          <w:u w:val="none"/>
          <w:lang w:eastAsia="zh-CN"/>
        </w:rPr>
        <w:t>体系，</w:t>
      </w:r>
      <w:r>
        <w:rPr>
          <w:rFonts w:hint="eastAsia" w:ascii="仿宋_GB2312" w:eastAsia="仿宋_GB2312"/>
          <w:color w:val="auto"/>
          <w:sz w:val="32"/>
          <w:szCs w:val="32"/>
          <w:u w:val="none"/>
        </w:rPr>
        <w:t>严格做好我</w:t>
      </w:r>
      <w:r>
        <w:rPr>
          <w:rFonts w:hint="eastAsia" w:ascii="仿宋_GB2312" w:eastAsia="仿宋_GB2312"/>
          <w:color w:val="auto"/>
          <w:sz w:val="32"/>
          <w:szCs w:val="32"/>
          <w:u w:val="none"/>
          <w:lang w:eastAsia="zh-CN"/>
        </w:rPr>
        <w:t>局</w:t>
      </w:r>
      <w:r>
        <w:rPr>
          <w:rFonts w:hint="eastAsia" w:ascii="仿宋_GB2312" w:eastAsia="仿宋_GB2312"/>
          <w:color w:val="auto"/>
          <w:sz w:val="32"/>
          <w:szCs w:val="32"/>
          <w:u w:val="none"/>
        </w:rPr>
        <w:t>住房保障年审</w:t>
      </w:r>
      <w:r>
        <w:rPr>
          <w:rFonts w:hint="eastAsia" w:ascii="仿宋_GB2312" w:eastAsia="仿宋_GB2312"/>
          <w:color w:val="auto"/>
          <w:sz w:val="32"/>
          <w:szCs w:val="32"/>
          <w:u w:val="none"/>
          <w:lang w:eastAsia="zh-CN"/>
        </w:rPr>
        <w:t>等</w:t>
      </w:r>
      <w:r>
        <w:rPr>
          <w:rFonts w:hint="eastAsia" w:ascii="仿宋_GB2312" w:eastAsia="仿宋_GB2312"/>
          <w:color w:val="auto"/>
          <w:sz w:val="32"/>
          <w:szCs w:val="32"/>
          <w:u w:val="none"/>
        </w:rPr>
        <w:t>管理工作,</w:t>
      </w:r>
      <w:r>
        <w:rPr>
          <w:rFonts w:hint="eastAsia" w:ascii="仿宋_GB2312" w:hAnsi="仿宋_GB2312" w:eastAsia="仿宋_GB2312" w:cs="仿宋_GB2312"/>
          <w:color w:val="auto"/>
          <w:sz w:val="32"/>
          <w:szCs w:val="32"/>
          <w:u w:val="none"/>
          <w:lang w:eastAsia="zh-CN"/>
        </w:rPr>
        <w:t>我局需采购专业档案公司开展</w:t>
      </w:r>
      <w:r>
        <w:rPr>
          <w:rFonts w:hint="eastAsia" w:ascii="仿宋_GB2312" w:hAnsi="仿宋_GB2312" w:eastAsia="仿宋_GB2312" w:cs="仿宋_GB2312"/>
          <w:color w:val="auto"/>
          <w:sz w:val="32"/>
          <w:szCs w:val="32"/>
          <w:u w:val="none"/>
          <w:lang w:val="en-US" w:eastAsia="zh-CN"/>
        </w:rPr>
        <w:t>2025年度市本级住房保障对象档案纸质化和电子化整理工作</w:t>
      </w:r>
      <w:r>
        <w:rPr>
          <w:rFonts w:hint="eastAsia" w:ascii="仿宋_GB2312" w:hAnsi="仿宋_GB2312" w:eastAsia="仿宋_GB2312" w:cs="仿宋_GB2312"/>
          <w:color w:val="auto"/>
          <w:sz w:val="32"/>
          <w:szCs w:val="32"/>
          <w:u w:val="none"/>
        </w:rPr>
        <w:t>，具体采购要求如下：</w:t>
      </w:r>
    </w:p>
    <w:p>
      <w:pPr>
        <w:pStyle w:val="3"/>
        <w:keepNext w:val="0"/>
        <w:keepLines w:val="0"/>
        <w:pageBreakBefore w:val="0"/>
        <w:kinsoku/>
        <w:wordWrap/>
        <w:overflowPunct/>
        <w:topLinePunct w:val="0"/>
        <w:autoSpaceDE/>
        <w:autoSpaceDN/>
        <w:bidi w:val="0"/>
        <w:adjustRightInd/>
        <w:spacing w:before="0" w:beforeAutospacing="0" w:after="0" w:afterAutospacing="0" w:line="500" w:lineRule="exact"/>
        <w:ind w:firstLine="642" w:firstLineChars="200"/>
        <w:textAlignment w:val="auto"/>
        <w:rPr>
          <w:rFonts w:hint="eastAsia" w:ascii="黑体" w:hAnsi="黑体" w:eastAsia="黑体" w:cs="黑体"/>
          <w:b/>
          <w:bCs/>
          <w:color w:val="auto"/>
          <w:sz w:val="32"/>
          <w:szCs w:val="32"/>
          <w:u w:val="none"/>
        </w:rPr>
      </w:pPr>
      <w:r>
        <w:rPr>
          <w:rFonts w:hint="eastAsia" w:ascii="黑体" w:hAnsi="黑体" w:eastAsia="黑体" w:cs="黑体"/>
          <w:b/>
          <w:bCs/>
          <w:color w:val="auto"/>
          <w:sz w:val="32"/>
          <w:szCs w:val="32"/>
          <w:u w:val="none"/>
          <w:lang w:eastAsia="zh-CN"/>
        </w:rPr>
        <w:t>一</w:t>
      </w:r>
      <w:r>
        <w:rPr>
          <w:rFonts w:hint="eastAsia" w:ascii="黑体" w:hAnsi="黑体" w:eastAsia="黑体" w:cs="黑体"/>
          <w:b/>
          <w:bCs/>
          <w:color w:val="auto"/>
          <w:sz w:val="32"/>
          <w:szCs w:val="32"/>
          <w:u w:val="none"/>
        </w:rPr>
        <w:t>、服务具体内容和要求</w:t>
      </w:r>
    </w:p>
    <w:p>
      <w:pPr>
        <w:pStyle w:val="3"/>
        <w:keepNext w:val="0"/>
        <w:keepLines w:val="0"/>
        <w:pageBreakBefore w:val="0"/>
        <w:numPr>
          <w:ilvl w:val="0"/>
          <w:numId w:val="0"/>
        </w:numPr>
        <w:kinsoku/>
        <w:wordWrap/>
        <w:overflowPunct/>
        <w:topLinePunct w:val="0"/>
        <w:autoSpaceDE/>
        <w:autoSpaceDN/>
        <w:bidi w:val="0"/>
        <w:adjustRightInd/>
        <w:spacing w:before="0" w:beforeAutospacing="0" w:after="0" w:afterAutospacing="0" w:line="500" w:lineRule="exact"/>
        <w:ind w:firstLine="642" w:firstLineChars="200"/>
        <w:textAlignment w:val="auto"/>
        <w:rPr>
          <w:rFonts w:hint="default"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bCs/>
          <w:color w:val="auto"/>
          <w:sz w:val="32"/>
          <w:szCs w:val="32"/>
          <w:u w:val="none"/>
          <w:lang w:val="en-US" w:eastAsia="zh-CN"/>
        </w:rPr>
        <w:t>（一）住房保障对象年审对象资料规范化整理工作</w:t>
      </w:r>
    </w:p>
    <w:p>
      <w:pPr>
        <w:pStyle w:val="3"/>
        <w:keepNext w:val="0"/>
        <w:keepLines w:val="0"/>
        <w:pageBreakBefore w:val="0"/>
        <w:numPr>
          <w:ilvl w:val="0"/>
          <w:numId w:val="1"/>
        </w:numPr>
        <w:kinsoku/>
        <w:wordWrap/>
        <w:overflowPunct/>
        <w:topLinePunct w:val="0"/>
        <w:autoSpaceDE/>
        <w:autoSpaceDN/>
        <w:bidi w:val="0"/>
        <w:adjustRightInd/>
        <w:spacing w:before="0" w:beforeAutospacing="0" w:after="0" w:afterAutospacing="0" w:line="500" w:lineRule="exact"/>
        <w:ind w:firstLine="642" w:firstLineChars="200"/>
        <w:textAlignment w:val="auto"/>
        <w:rPr>
          <w:rFonts w:hint="eastAsia" w:ascii="仿宋_GB2312" w:hAnsi="仿宋_GB2312" w:eastAsia="仿宋_GB2312" w:cs="仿宋_GB2312"/>
          <w:b/>
          <w:bCs/>
          <w:color w:val="auto"/>
          <w:sz w:val="32"/>
          <w:szCs w:val="32"/>
          <w:u w:val="none"/>
          <w:lang w:val="en-US" w:eastAsia="zh-CN"/>
        </w:rPr>
      </w:pPr>
      <w:r>
        <w:rPr>
          <w:rFonts w:hint="eastAsia" w:ascii="仿宋_GB2312" w:hAnsi="仿宋_GB2312" w:eastAsia="仿宋_GB2312" w:cs="仿宋_GB2312"/>
          <w:b/>
          <w:bCs/>
          <w:color w:val="auto"/>
          <w:sz w:val="32"/>
          <w:szCs w:val="32"/>
          <w:u w:val="none"/>
          <w:lang w:val="en-US" w:eastAsia="zh-CN"/>
        </w:rPr>
        <w:t>纸质档案建设</w:t>
      </w:r>
    </w:p>
    <w:p>
      <w:pPr>
        <w:keepNext w:val="0"/>
        <w:keepLines w:val="0"/>
        <w:pageBreakBefore w:val="0"/>
        <w:kinsoku/>
        <w:wordWrap/>
        <w:overflowPunct/>
        <w:topLinePunct w:val="0"/>
        <w:autoSpaceDE/>
        <w:autoSpaceDN/>
        <w:bidi w:val="0"/>
        <w:adjustRightInd/>
        <w:spacing w:line="50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对2024年的1200份住房保障对象申请及年审资料建立档案目录册、档案立卷、拟写案卷卷内目录、档案页打码、目录资料装订等，具体以实际资料为准，形成一户一档。</w:t>
      </w:r>
    </w:p>
    <w:p>
      <w:pPr>
        <w:keepNext w:val="0"/>
        <w:keepLines w:val="0"/>
        <w:pageBreakBefore w:val="0"/>
        <w:kinsoku/>
        <w:wordWrap/>
        <w:overflowPunct/>
        <w:topLinePunct w:val="0"/>
        <w:autoSpaceDE/>
        <w:autoSpaceDN/>
        <w:bidi w:val="0"/>
        <w:adjustRightInd/>
        <w:spacing w:line="50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格式要求：目录资料装订要打孔接线、确保可以增页；资料内含不规则的资料页，要用A4纸粘贴；案卷封面采用牛皮纸，根据采购方要求的要素进行标识；案卷装盒采用硬纸板档案盒（档案盒按标准规格制作、档案盒正面从上至下印刷相关字样标识。相关字样由采购方不限于单位名称、公共租赁住房审核档案、申请人姓名、户籍所在地、申请表号码、材料名称、立卷单位、审核时间、原申请表号、归档号、缩微号、保管期限、全宗号、分类号、项目号、案卷号等字样范围内进行标识。</w:t>
      </w:r>
    </w:p>
    <w:p>
      <w:pPr>
        <w:keepNext w:val="0"/>
        <w:keepLines w:val="0"/>
        <w:pageBreakBefore w:val="0"/>
        <w:numPr>
          <w:ilvl w:val="0"/>
          <w:numId w:val="1"/>
        </w:numPr>
        <w:kinsoku/>
        <w:wordWrap/>
        <w:overflowPunct/>
        <w:topLinePunct w:val="0"/>
        <w:autoSpaceDE/>
        <w:autoSpaceDN/>
        <w:bidi w:val="0"/>
        <w:adjustRightInd/>
        <w:spacing w:line="500" w:lineRule="exact"/>
        <w:ind w:left="0" w:leftChars="0" w:firstLine="642" w:firstLineChars="200"/>
        <w:textAlignment w:val="auto"/>
        <w:rPr>
          <w:rFonts w:hint="eastAsia" w:ascii="仿宋_GB2312" w:hAnsi="仿宋_GB2312" w:eastAsia="仿宋_GB2312" w:cs="仿宋_GB2312"/>
          <w:b/>
          <w:bCs/>
          <w:color w:val="auto"/>
          <w:sz w:val="32"/>
          <w:szCs w:val="32"/>
          <w:u w:val="none"/>
          <w:lang w:val="en-US" w:eastAsia="zh-CN"/>
        </w:rPr>
      </w:pPr>
      <w:r>
        <w:rPr>
          <w:rFonts w:hint="eastAsia" w:ascii="仿宋_GB2312" w:hAnsi="仿宋_GB2312" w:eastAsia="仿宋_GB2312" w:cs="仿宋_GB2312"/>
          <w:b/>
          <w:bCs/>
          <w:color w:val="auto"/>
          <w:sz w:val="32"/>
          <w:szCs w:val="32"/>
          <w:u w:val="none"/>
          <w:lang w:val="en-US" w:eastAsia="zh-CN"/>
        </w:rPr>
        <w:t>档案扫描电子化</w:t>
      </w:r>
    </w:p>
    <w:p>
      <w:pPr>
        <w:keepNext w:val="0"/>
        <w:keepLines w:val="0"/>
        <w:pageBreakBefore w:val="0"/>
        <w:kinsoku/>
        <w:wordWrap/>
        <w:overflowPunct/>
        <w:topLinePunct w:val="0"/>
        <w:autoSpaceDE/>
        <w:autoSpaceDN/>
        <w:bidi w:val="0"/>
        <w:adjustRightInd/>
        <w:spacing w:line="50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对已整理的1200份住房保障对象申请及年审纸质档案进行扫描，录入《江门市住房保障档案管理系统》实行电子化管理，形成一户一档。</w:t>
      </w:r>
    </w:p>
    <w:p>
      <w:pPr>
        <w:pStyle w:val="3"/>
        <w:keepNext w:val="0"/>
        <w:keepLines w:val="0"/>
        <w:pageBreakBefore w:val="0"/>
        <w:numPr>
          <w:ilvl w:val="0"/>
          <w:numId w:val="0"/>
        </w:numPr>
        <w:kinsoku/>
        <w:wordWrap/>
        <w:overflowPunct/>
        <w:topLinePunct w:val="0"/>
        <w:autoSpaceDE/>
        <w:autoSpaceDN/>
        <w:bidi w:val="0"/>
        <w:adjustRightInd/>
        <w:spacing w:before="0" w:beforeAutospacing="0" w:after="0" w:afterAutospacing="0" w:line="500" w:lineRule="exact"/>
        <w:ind w:firstLine="642" w:firstLineChars="200"/>
        <w:textAlignment w:val="auto"/>
        <w:rPr>
          <w:rFonts w:hint="default"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bCs/>
          <w:color w:val="auto"/>
          <w:sz w:val="32"/>
          <w:szCs w:val="32"/>
          <w:u w:val="none"/>
          <w:lang w:val="en-US" w:eastAsia="zh-CN"/>
        </w:rPr>
        <w:t>（二）保障性租赁住房保障对象资料规范化整理工作</w:t>
      </w:r>
    </w:p>
    <w:p>
      <w:pPr>
        <w:keepNext w:val="0"/>
        <w:keepLines w:val="0"/>
        <w:pageBreakBefore w:val="0"/>
        <w:kinsoku/>
        <w:wordWrap/>
        <w:overflowPunct/>
        <w:topLinePunct w:val="0"/>
        <w:autoSpaceDE/>
        <w:autoSpaceDN/>
        <w:bidi w:val="0"/>
        <w:adjustRightInd/>
        <w:spacing w:line="50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通过江门市保障性租赁住房管理平台对4300份保障性租赁住房保障对象申请资料打印下载，并建立档案目录册、档案立卷、拟写案卷卷内目录、档案页打码、目录资料装订等，具体以实际资料为准，形成一户一档。</w:t>
      </w:r>
    </w:p>
    <w:p>
      <w:pPr>
        <w:keepNext w:val="0"/>
        <w:keepLines w:val="0"/>
        <w:pageBreakBefore w:val="0"/>
        <w:kinsoku/>
        <w:wordWrap/>
        <w:overflowPunct/>
        <w:topLinePunct w:val="0"/>
        <w:autoSpaceDE/>
        <w:autoSpaceDN/>
        <w:bidi w:val="0"/>
        <w:adjustRightInd/>
        <w:spacing w:line="500" w:lineRule="exact"/>
        <w:ind w:firstLine="642" w:firstLineChars="200"/>
        <w:textAlignment w:val="auto"/>
        <w:rPr>
          <w:rFonts w:hint="eastAsia" w:ascii="仿宋_GB2312" w:hAnsi="仿宋_GB2312" w:eastAsia="仿宋_GB2312" w:cs="仿宋_GB2312"/>
          <w:b/>
          <w:bCs/>
          <w:color w:val="auto"/>
          <w:sz w:val="32"/>
          <w:szCs w:val="32"/>
          <w:u w:val="none"/>
          <w:lang w:val="en-US" w:eastAsia="zh-CN"/>
        </w:rPr>
      </w:pPr>
      <w:r>
        <w:rPr>
          <w:rFonts w:hint="eastAsia" w:ascii="仿宋_GB2312" w:hAnsi="仿宋_GB2312" w:eastAsia="仿宋_GB2312" w:cs="仿宋_GB2312"/>
          <w:b/>
          <w:bCs/>
          <w:color w:val="auto"/>
          <w:sz w:val="32"/>
          <w:szCs w:val="32"/>
          <w:u w:val="none"/>
          <w:lang w:val="en-US" w:eastAsia="zh-CN"/>
        </w:rPr>
        <w:t>（三）保障性安居工程项目资料规范化整理工作</w:t>
      </w:r>
    </w:p>
    <w:p>
      <w:pPr>
        <w:keepNext w:val="0"/>
        <w:keepLines w:val="0"/>
        <w:pageBreakBefore w:val="0"/>
        <w:kinsoku/>
        <w:wordWrap/>
        <w:overflowPunct/>
        <w:topLinePunct w:val="0"/>
        <w:autoSpaceDE/>
        <w:autoSpaceDN/>
        <w:bidi w:val="0"/>
        <w:adjustRightInd/>
        <w:spacing w:line="500" w:lineRule="exact"/>
        <w:ind w:firstLine="640" w:firstLineChars="200"/>
        <w:textAlignment w:val="auto"/>
        <w:rPr>
          <w:rFonts w:hint="eastAsia" w:ascii="仿宋_GB2312" w:hAnsi="仿宋_GB2312" w:eastAsia="仿宋_GB2312" w:cs="仿宋_GB2312"/>
          <w:b/>
          <w:bCs/>
          <w:color w:val="auto"/>
          <w:sz w:val="32"/>
          <w:szCs w:val="32"/>
          <w:u w:val="none"/>
          <w:lang w:val="en-US" w:eastAsia="zh-CN"/>
        </w:rPr>
      </w:pPr>
      <w:r>
        <w:rPr>
          <w:rFonts w:hint="eastAsia" w:ascii="仿宋_GB2312" w:hAnsi="仿宋_GB2312" w:eastAsia="仿宋_GB2312" w:cs="仿宋_GB2312"/>
          <w:b w:val="0"/>
          <w:bCs w:val="0"/>
          <w:color w:val="auto"/>
          <w:kern w:val="2"/>
          <w:sz w:val="32"/>
          <w:szCs w:val="32"/>
          <w:u w:val="none"/>
          <w:lang w:val="en-US" w:eastAsia="zh-CN" w:bidi="ar-SA"/>
        </w:rPr>
        <w:t>根据档案整理相关工作要求，</w:t>
      </w:r>
      <w:r>
        <w:rPr>
          <w:rFonts w:hint="eastAsia" w:ascii="仿宋_GB2312" w:hAnsi="仿宋_GB2312" w:eastAsia="仿宋_GB2312" w:cs="仿宋_GB2312"/>
          <w:b w:val="0"/>
          <w:bCs w:val="0"/>
          <w:color w:val="auto"/>
          <w:sz w:val="32"/>
          <w:szCs w:val="32"/>
          <w:u w:val="none"/>
          <w:lang w:val="en-US" w:eastAsia="zh-CN"/>
        </w:rPr>
        <w:t>对市本级保障房小区的项目资料（约100份）</w:t>
      </w:r>
      <w:r>
        <w:rPr>
          <w:rFonts w:hint="eastAsia" w:ascii="仿宋_GB2312" w:hAnsi="仿宋_GB2312" w:eastAsia="仿宋_GB2312" w:cs="仿宋_GB2312"/>
          <w:color w:val="auto"/>
          <w:sz w:val="32"/>
          <w:szCs w:val="32"/>
          <w:u w:val="none"/>
          <w:lang w:val="en-US" w:eastAsia="zh-CN"/>
        </w:rPr>
        <w:t>建立档案目录册、档案立卷、拟写卷内目录、档案页打码、目录资料装订等，具体以实际资料为准，</w:t>
      </w:r>
      <w:r>
        <w:rPr>
          <w:rFonts w:hint="eastAsia" w:ascii="仿宋_GB2312" w:hAnsi="仿宋_GB2312" w:eastAsia="仿宋_GB2312" w:cs="仿宋_GB2312"/>
          <w:b w:val="0"/>
          <w:bCs w:val="0"/>
          <w:color w:val="auto"/>
          <w:sz w:val="32"/>
          <w:szCs w:val="32"/>
          <w:u w:val="none"/>
          <w:lang w:val="en-US" w:eastAsia="zh-CN"/>
        </w:rPr>
        <w:t>以及扫描整理进行电子化管理。</w:t>
      </w:r>
    </w:p>
    <w:p>
      <w:pPr>
        <w:keepNext w:val="0"/>
        <w:keepLines w:val="0"/>
        <w:pageBreakBefore w:val="0"/>
        <w:kinsoku/>
        <w:wordWrap/>
        <w:overflowPunct/>
        <w:topLinePunct w:val="0"/>
        <w:autoSpaceDE/>
        <w:autoSpaceDN/>
        <w:bidi w:val="0"/>
        <w:adjustRightInd/>
        <w:spacing w:line="500" w:lineRule="exact"/>
        <w:ind w:firstLine="642" w:firstLineChars="200"/>
        <w:textAlignment w:val="auto"/>
        <w:rPr>
          <w:rFonts w:hint="eastAsia" w:ascii="仿宋_GB2312" w:hAnsi="仿宋_GB2312" w:eastAsia="仿宋_GB2312" w:cs="仿宋_GB2312"/>
          <w:b/>
          <w:bCs/>
          <w:color w:val="auto"/>
          <w:kern w:val="2"/>
          <w:sz w:val="32"/>
          <w:szCs w:val="32"/>
          <w:u w:val="none"/>
          <w:lang w:val="en-US" w:eastAsia="zh-CN" w:bidi="ar-SA"/>
        </w:rPr>
      </w:pPr>
      <w:r>
        <w:rPr>
          <w:rFonts w:hint="eastAsia" w:ascii="仿宋_GB2312" w:hAnsi="仿宋_GB2312" w:eastAsia="仿宋_GB2312" w:cs="仿宋_GB2312"/>
          <w:b/>
          <w:bCs/>
          <w:color w:val="auto"/>
          <w:kern w:val="2"/>
          <w:sz w:val="32"/>
          <w:szCs w:val="32"/>
          <w:u w:val="none"/>
          <w:lang w:val="en-US" w:eastAsia="zh-CN" w:bidi="ar-SA"/>
        </w:rPr>
        <w:t>（四）服务要求</w:t>
      </w:r>
    </w:p>
    <w:p>
      <w:pPr>
        <w:pStyle w:val="3"/>
        <w:keepNext w:val="0"/>
        <w:keepLines w:val="0"/>
        <w:pageBreakBefore w:val="0"/>
        <w:numPr>
          <w:ilvl w:val="0"/>
          <w:numId w:val="0"/>
        </w:numPr>
        <w:kinsoku/>
        <w:wordWrap/>
        <w:overflowPunct/>
        <w:topLinePunct w:val="0"/>
        <w:autoSpaceDE/>
        <w:autoSpaceDN/>
        <w:bidi w:val="0"/>
        <w:adjustRightInd/>
        <w:spacing w:before="0" w:beforeAutospacing="0" w:after="0" w:afterAutospacing="0" w:line="500" w:lineRule="exact"/>
        <w:ind w:firstLine="640" w:firstLineChars="200"/>
        <w:textAlignment w:val="auto"/>
        <w:rPr>
          <w:rFonts w:hint="eastAsia" w:ascii="仿宋_GB2312" w:hAnsi="仿宋_GB2312" w:eastAsia="仿宋_GB2312" w:cs="仿宋_GB2312"/>
          <w:color w:val="auto"/>
          <w:kern w:val="2"/>
          <w:sz w:val="32"/>
          <w:szCs w:val="32"/>
          <w:u w:val="none"/>
          <w:lang w:val="en-US" w:eastAsia="zh-CN" w:bidi="ar-SA"/>
        </w:rPr>
      </w:pPr>
      <w:r>
        <w:rPr>
          <w:rFonts w:hint="eastAsia" w:ascii="仿宋_GB2312" w:hAnsi="仿宋_GB2312" w:eastAsia="仿宋_GB2312" w:cs="仿宋_GB2312"/>
          <w:color w:val="auto"/>
          <w:kern w:val="2"/>
          <w:sz w:val="32"/>
          <w:szCs w:val="32"/>
          <w:u w:val="none"/>
          <w:lang w:val="en-US" w:eastAsia="zh-CN" w:bidi="ar-SA"/>
        </w:rPr>
        <w:t>1、档案案卷内的资料排序整齐划一，标识清晰，目录打印无错字，编号无错乱，资料无丢失，案卷整理符合档案整理的相关标准。</w:t>
      </w:r>
    </w:p>
    <w:p>
      <w:pPr>
        <w:pStyle w:val="3"/>
        <w:keepNext w:val="0"/>
        <w:keepLines w:val="0"/>
        <w:pageBreakBefore w:val="0"/>
        <w:numPr>
          <w:ilvl w:val="0"/>
          <w:numId w:val="0"/>
        </w:numPr>
        <w:kinsoku/>
        <w:wordWrap/>
        <w:overflowPunct/>
        <w:topLinePunct w:val="0"/>
        <w:autoSpaceDE/>
        <w:autoSpaceDN/>
        <w:bidi w:val="0"/>
        <w:adjustRightInd/>
        <w:spacing w:before="0" w:beforeAutospacing="0" w:after="0" w:afterAutospacing="0" w:line="500" w:lineRule="exact"/>
        <w:ind w:firstLine="640" w:firstLineChars="200"/>
        <w:textAlignment w:val="auto"/>
        <w:rPr>
          <w:rFonts w:hint="eastAsia" w:ascii="仿宋_GB2312" w:hAnsi="仿宋_GB2312" w:eastAsia="仿宋_GB2312" w:cs="仿宋_GB2312"/>
          <w:color w:val="auto"/>
          <w:kern w:val="2"/>
          <w:sz w:val="32"/>
          <w:szCs w:val="32"/>
          <w:u w:val="none"/>
          <w:lang w:val="en-US" w:eastAsia="zh-CN" w:bidi="ar-SA"/>
        </w:rPr>
      </w:pPr>
      <w:r>
        <w:rPr>
          <w:rFonts w:hint="eastAsia" w:ascii="仿宋_GB2312" w:hAnsi="仿宋_GB2312" w:eastAsia="仿宋_GB2312" w:cs="仿宋_GB2312"/>
          <w:color w:val="auto"/>
          <w:kern w:val="2"/>
          <w:sz w:val="32"/>
          <w:szCs w:val="32"/>
          <w:u w:val="none"/>
          <w:lang w:val="en-US" w:eastAsia="zh-CN" w:bidi="ar-SA"/>
        </w:rPr>
        <w:t>2、硬纸板档案盒要按规格定做，档案盒的正面、侧面印刷的字样要清晰、无错字漏字。</w:t>
      </w:r>
    </w:p>
    <w:p>
      <w:pPr>
        <w:pStyle w:val="3"/>
        <w:keepNext w:val="0"/>
        <w:keepLines w:val="0"/>
        <w:pageBreakBefore w:val="0"/>
        <w:numPr>
          <w:ilvl w:val="0"/>
          <w:numId w:val="0"/>
        </w:numPr>
        <w:kinsoku/>
        <w:wordWrap/>
        <w:overflowPunct/>
        <w:topLinePunct w:val="0"/>
        <w:autoSpaceDE/>
        <w:autoSpaceDN/>
        <w:bidi w:val="0"/>
        <w:adjustRightInd/>
        <w:spacing w:before="0" w:beforeAutospacing="0" w:after="0" w:afterAutospacing="0" w:line="500" w:lineRule="exact"/>
        <w:ind w:firstLine="640" w:firstLineChars="200"/>
        <w:textAlignment w:val="auto"/>
        <w:rPr>
          <w:rFonts w:hint="eastAsia" w:ascii="仿宋_GB2312" w:hAnsi="仿宋_GB2312" w:eastAsia="仿宋_GB2312" w:cs="仿宋_GB2312"/>
          <w:color w:val="auto"/>
          <w:kern w:val="2"/>
          <w:sz w:val="32"/>
          <w:szCs w:val="32"/>
          <w:u w:val="none"/>
          <w:lang w:val="en-US" w:eastAsia="zh-CN" w:bidi="ar-SA"/>
        </w:rPr>
      </w:pPr>
      <w:r>
        <w:rPr>
          <w:rFonts w:hint="eastAsia" w:ascii="仿宋_GB2312" w:hAnsi="仿宋_GB2312" w:eastAsia="仿宋_GB2312" w:cs="仿宋_GB2312"/>
          <w:color w:val="auto"/>
          <w:kern w:val="2"/>
          <w:sz w:val="32"/>
          <w:szCs w:val="32"/>
          <w:u w:val="none"/>
          <w:lang w:val="en-US" w:eastAsia="zh-CN" w:bidi="ar-SA"/>
        </w:rPr>
        <w:t>3、案卷入盒要内外目录与盒面标记相一致，不要发生错装资料现象。每份案卷目录要有电子版，移交档案时要提供电子版文档。</w:t>
      </w:r>
    </w:p>
    <w:p>
      <w:pPr>
        <w:pStyle w:val="3"/>
        <w:keepNext w:val="0"/>
        <w:keepLines w:val="0"/>
        <w:pageBreakBefore w:val="0"/>
        <w:numPr>
          <w:ilvl w:val="0"/>
          <w:numId w:val="0"/>
        </w:numPr>
        <w:kinsoku/>
        <w:wordWrap/>
        <w:overflowPunct/>
        <w:topLinePunct w:val="0"/>
        <w:autoSpaceDE/>
        <w:autoSpaceDN/>
        <w:bidi w:val="0"/>
        <w:adjustRightInd/>
        <w:spacing w:before="0" w:beforeAutospacing="0" w:after="0" w:afterAutospacing="0" w:line="500" w:lineRule="exact"/>
        <w:ind w:firstLine="640" w:firstLineChars="200"/>
        <w:textAlignment w:val="auto"/>
        <w:rPr>
          <w:rFonts w:hint="eastAsia" w:ascii="仿宋_GB2312" w:hAnsi="仿宋_GB2312" w:eastAsia="仿宋_GB2312" w:cs="仿宋_GB2312"/>
          <w:color w:val="auto"/>
          <w:kern w:val="2"/>
          <w:sz w:val="32"/>
          <w:szCs w:val="32"/>
          <w:u w:val="none"/>
          <w:lang w:val="en-US" w:eastAsia="zh-CN" w:bidi="ar-SA"/>
        </w:rPr>
      </w:pPr>
      <w:r>
        <w:rPr>
          <w:rFonts w:hint="eastAsia" w:ascii="仿宋_GB2312" w:hAnsi="仿宋_GB2312" w:eastAsia="仿宋_GB2312" w:cs="仿宋_GB2312"/>
          <w:color w:val="auto"/>
          <w:kern w:val="2"/>
          <w:sz w:val="32"/>
          <w:szCs w:val="32"/>
          <w:u w:val="none"/>
          <w:lang w:val="en-US" w:eastAsia="zh-CN" w:bidi="ar-SA"/>
        </w:rPr>
        <w:t>4、住房保障对象纸质档案转化电子档案录入《江门市住房保障档案管理系统》，要求档案信息准确无误、不缺页、页面清晰，符合采购方要求。</w:t>
      </w:r>
    </w:p>
    <w:p>
      <w:pPr>
        <w:pStyle w:val="3"/>
        <w:keepNext w:val="0"/>
        <w:keepLines w:val="0"/>
        <w:pageBreakBefore w:val="0"/>
        <w:kinsoku/>
        <w:wordWrap/>
        <w:overflowPunct/>
        <w:topLinePunct w:val="0"/>
        <w:autoSpaceDE/>
        <w:autoSpaceDN/>
        <w:bidi w:val="0"/>
        <w:adjustRightInd/>
        <w:spacing w:before="0" w:beforeAutospacing="0" w:after="0" w:afterAutospacing="0" w:line="500" w:lineRule="exact"/>
        <w:ind w:firstLine="642" w:firstLineChars="200"/>
        <w:textAlignment w:val="auto"/>
        <w:rPr>
          <w:rFonts w:hint="eastAsia" w:ascii="仿宋_GB2312" w:hAnsi="仿宋_GB2312" w:eastAsia="仿宋_GB2312" w:cs="仿宋_GB2312"/>
          <w:b/>
          <w:bCs/>
          <w:color w:val="auto"/>
          <w:sz w:val="32"/>
          <w:szCs w:val="32"/>
          <w:u w:val="none"/>
          <w:lang w:eastAsia="zh-CN"/>
        </w:rPr>
      </w:pPr>
      <w:r>
        <w:rPr>
          <w:rFonts w:hint="eastAsia" w:ascii="黑体" w:hAnsi="黑体" w:eastAsia="黑体" w:cs="黑体"/>
          <w:b/>
          <w:bCs/>
          <w:color w:val="auto"/>
          <w:sz w:val="32"/>
          <w:szCs w:val="32"/>
          <w:u w:val="none"/>
          <w:lang w:eastAsia="zh-CN"/>
        </w:rPr>
        <w:t>二</w:t>
      </w:r>
      <w:r>
        <w:rPr>
          <w:rFonts w:hint="eastAsia" w:ascii="黑体" w:hAnsi="黑体" w:eastAsia="黑体" w:cs="黑体"/>
          <w:b/>
          <w:bCs/>
          <w:color w:val="auto"/>
          <w:sz w:val="32"/>
          <w:szCs w:val="32"/>
          <w:u w:val="none"/>
        </w:rPr>
        <w:t>、采购</w:t>
      </w:r>
      <w:r>
        <w:rPr>
          <w:rFonts w:hint="eastAsia" w:ascii="黑体" w:hAnsi="黑体" w:eastAsia="黑体" w:cs="黑体"/>
          <w:b/>
          <w:bCs/>
          <w:color w:val="auto"/>
          <w:sz w:val="32"/>
          <w:szCs w:val="32"/>
          <w:u w:val="none"/>
          <w:lang w:eastAsia="zh-CN"/>
        </w:rPr>
        <w:t>方式</w:t>
      </w:r>
    </w:p>
    <w:p>
      <w:pPr>
        <w:pStyle w:val="3"/>
        <w:numPr>
          <w:ilvl w:val="0"/>
          <w:numId w:val="0"/>
        </w:numPr>
        <w:spacing w:before="0" w:beforeAutospacing="0" w:after="0" w:afterAutospacing="0" w:line="560" w:lineRule="exact"/>
        <w:ind w:firstLine="640" w:firstLineChars="200"/>
        <w:jc w:val="both"/>
        <w:rPr>
          <w:rFonts w:hint="eastAsia" w:ascii="仿宋_GB2312" w:hAnsi="仿宋_GB2312" w:eastAsia="仿宋_GB2312" w:cs="仿宋_GB2312"/>
          <w:color w:val="auto"/>
          <w:sz w:val="32"/>
          <w:szCs w:val="32"/>
          <w:u w:val="none"/>
          <w:lang w:val="en-US" w:eastAsia="zh-CN"/>
        </w:rPr>
      </w:pPr>
      <w:r>
        <w:rPr>
          <w:rFonts w:hint="eastAsia" w:ascii="仿宋_GB2312" w:eastAsia="仿宋_GB2312"/>
          <w:color w:val="auto"/>
          <w:sz w:val="32"/>
          <w:szCs w:val="32"/>
          <w:u w:val="none"/>
          <w:lang w:val="en-US" w:eastAsia="zh-CN"/>
        </w:rPr>
        <w:t>本次采购项目不属于集中采购目录清单和广东省网上中介服务超市服务清单，拟根据《江门市住房和城乡建设局自行采购管理办法》开展自行采购。</w:t>
      </w:r>
      <w:r>
        <w:rPr>
          <w:rFonts w:hint="eastAsia" w:ascii="仿宋_GB2312" w:hAnsi="仿宋_GB2312" w:eastAsia="仿宋_GB2312" w:cs="仿宋_GB2312"/>
          <w:color w:val="auto"/>
          <w:sz w:val="32"/>
          <w:szCs w:val="32"/>
          <w:highlight w:val="none"/>
          <w:u w:val="none"/>
          <w:lang w:val="en-US" w:eastAsia="zh-CN"/>
        </w:rPr>
        <w:t>供应商响应时间为采购方案公告后五个工作日内。采购方将根据《</w:t>
      </w:r>
      <w:r>
        <w:rPr>
          <w:rFonts w:hint="eastAsia" w:ascii="仿宋_GB2312" w:hAnsi="仿宋_GB2312" w:eastAsia="仿宋_GB2312" w:cs="仿宋_GB2312"/>
          <w:color w:val="auto"/>
          <w:sz w:val="32"/>
          <w:szCs w:val="32"/>
          <w:highlight w:val="none"/>
          <w:u w:val="none"/>
          <w:lang w:eastAsia="zh-CN"/>
        </w:rPr>
        <w:t>202</w:t>
      </w:r>
      <w:r>
        <w:rPr>
          <w:rFonts w:hint="eastAsia" w:ascii="仿宋_GB2312" w:hAnsi="仿宋_GB2312" w:eastAsia="仿宋_GB2312" w:cs="仿宋_GB2312"/>
          <w:color w:val="auto"/>
          <w:sz w:val="32"/>
          <w:szCs w:val="32"/>
          <w:highlight w:val="none"/>
          <w:u w:val="none"/>
          <w:lang w:val="en-US" w:eastAsia="zh-CN"/>
        </w:rPr>
        <w:t>5</w:t>
      </w:r>
      <w:r>
        <w:rPr>
          <w:rFonts w:hint="eastAsia" w:ascii="仿宋_GB2312" w:hAnsi="仿宋_GB2312" w:eastAsia="仿宋_GB2312" w:cs="仿宋_GB2312"/>
          <w:color w:val="auto"/>
          <w:sz w:val="32"/>
          <w:szCs w:val="32"/>
          <w:highlight w:val="none"/>
          <w:u w:val="none"/>
          <w:lang w:eastAsia="zh-CN"/>
        </w:rPr>
        <w:t>年度市本级住房保障对象档案纸质化和电子化整理</w:t>
      </w:r>
      <w:r>
        <w:rPr>
          <w:rFonts w:hint="eastAsia" w:ascii="仿宋_GB2312" w:hAnsi="仿宋_GB2312" w:eastAsia="仿宋_GB2312" w:cs="仿宋_GB2312"/>
          <w:color w:val="auto"/>
          <w:sz w:val="32"/>
          <w:szCs w:val="32"/>
          <w:u w:val="none"/>
          <w:lang w:eastAsia="zh-CN"/>
        </w:rPr>
        <w:t>工作响应文件评分标准》对响应文件进行综合评定（详见附件）。</w:t>
      </w:r>
    </w:p>
    <w:p>
      <w:pPr>
        <w:pStyle w:val="3"/>
        <w:numPr>
          <w:ilvl w:val="0"/>
          <w:numId w:val="0"/>
        </w:numPr>
        <w:spacing w:before="0" w:beforeAutospacing="0" w:after="0" w:afterAutospacing="0" w:line="560" w:lineRule="exact"/>
        <w:ind w:firstLine="640" w:firstLineChars="200"/>
        <w:jc w:val="both"/>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供应商响应文件需包含以下内容：</w:t>
      </w:r>
    </w:p>
    <w:p>
      <w:pPr>
        <w:pStyle w:val="3"/>
        <w:numPr>
          <w:ilvl w:val="0"/>
          <w:numId w:val="2"/>
        </w:numPr>
        <w:spacing w:before="0" w:beforeAutospacing="0" w:after="0" w:afterAutospacing="0" w:line="560" w:lineRule="exact"/>
        <w:ind w:firstLine="640" w:firstLineChars="200"/>
        <w:jc w:val="both"/>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项目响应文件书</w:t>
      </w:r>
    </w:p>
    <w:p>
      <w:pPr>
        <w:pStyle w:val="3"/>
        <w:numPr>
          <w:ilvl w:val="0"/>
          <w:numId w:val="2"/>
        </w:numPr>
        <w:spacing w:before="0" w:beforeAutospacing="0" w:after="0" w:afterAutospacing="0" w:line="560" w:lineRule="exact"/>
        <w:ind w:firstLine="640" w:firstLineChars="200"/>
        <w:jc w:val="both"/>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项目响应价格表</w:t>
      </w:r>
    </w:p>
    <w:p>
      <w:pPr>
        <w:pStyle w:val="3"/>
        <w:numPr>
          <w:ilvl w:val="0"/>
          <w:numId w:val="2"/>
        </w:numPr>
        <w:spacing w:before="0" w:beforeAutospacing="0" w:after="0" w:afterAutospacing="0" w:line="560" w:lineRule="exact"/>
        <w:ind w:firstLine="640" w:firstLineChars="200"/>
        <w:jc w:val="both"/>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项目服务总体计划和项目实施方案（人员配备、工作设备等）</w:t>
      </w:r>
    </w:p>
    <w:p>
      <w:pPr>
        <w:pStyle w:val="3"/>
        <w:numPr>
          <w:ilvl w:val="0"/>
          <w:numId w:val="2"/>
        </w:numPr>
        <w:spacing w:before="0" w:beforeAutospacing="0" w:after="0" w:afterAutospacing="0" w:line="560" w:lineRule="exact"/>
        <w:ind w:firstLine="640" w:firstLineChars="200"/>
        <w:jc w:val="both"/>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项目实施具体工作流程</w:t>
      </w:r>
    </w:p>
    <w:p>
      <w:pPr>
        <w:pStyle w:val="3"/>
        <w:numPr>
          <w:ilvl w:val="0"/>
          <w:numId w:val="2"/>
        </w:numPr>
        <w:spacing w:before="0" w:beforeAutospacing="0" w:after="0" w:afterAutospacing="0" w:line="560" w:lineRule="exact"/>
        <w:ind w:firstLine="640" w:firstLineChars="200"/>
        <w:jc w:val="both"/>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供应商经营业务、业绩情况</w:t>
      </w:r>
    </w:p>
    <w:p>
      <w:pPr>
        <w:pStyle w:val="3"/>
        <w:numPr>
          <w:ilvl w:val="0"/>
          <w:numId w:val="2"/>
        </w:numPr>
        <w:spacing w:before="0" w:beforeAutospacing="0" w:after="0" w:afterAutospacing="0" w:line="560" w:lineRule="exact"/>
        <w:ind w:firstLine="640" w:firstLineChars="200"/>
        <w:jc w:val="both"/>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供应商档案整理人员信息情况</w:t>
      </w:r>
    </w:p>
    <w:p>
      <w:pPr>
        <w:pStyle w:val="3"/>
        <w:numPr>
          <w:ilvl w:val="0"/>
          <w:numId w:val="2"/>
        </w:numPr>
        <w:spacing w:before="0" w:beforeAutospacing="0" w:after="0" w:afterAutospacing="0" w:line="560" w:lineRule="exact"/>
        <w:ind w:firstLine="640" w:firstLineChars="200"/>
        <w:jc w:val="both"/>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项目服务承诺及售后服务内容</w:t>
      </w:r>
    </w:p>
    <w:p>
      <w:pPr>
        <w:pStyle w:val="3"/>
        <w:numPr>
          <w:ilvl w:val="0"/>
          <w:numId w:val="2"/>
        </w:numPr>
        <w:tabs>
          <w:tab w:val="center" w:pos="4153"/>
        </w:tabs>
        <w:spacing w:before="0" w:beforeAutospacing="0" w:after="0" w:afterAutospacing="0" w:line="560" w:lineRule="exact"/>
        <w:ind w:firstLine="640" w:firstLineChars="200"/>
        <w:jc w:val="both"/>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供应商资质资料</w:t>
      </w:r>
      <w:r>
        <w:rPr>
          <w:rFonts w:hint="eastAsia" w:ascii="仿宋_GB2312" w:hAnsi="仿宋_GB2312" w:eastAsia="仿宋_GB2312" w:cs="仿宋_GB2312"/>
          <w:color w:val="auto"/>
          <w:sz w:val="32"/>
          <w:szCs w:val="32"/>
          <w:u w:val="none"/>
          <w:lang w:val="en-US" w:eastAsia="zh-CN"/>
        </w:rPr>
        <w:tab/>
      </w:r>
    </w:p>
    <w:p>
      <w:pPr>
        <w:pStyle w:val="3"/>
        <w:keepNext w:val="0"/>
        <w:keepLines w:val="0"/>
        <w:pageBreakBefore w:val="0"/>
        <w:kinsoku/>
        <w:wordWrap/>
        <w:overflowPunct/>
        <w:topLinePunct w:val="0"/>
        <w:autoSpaceDE/>
        <w:autoSpaceDN/>
        <w:bidi w:val="0"/>
        <w:adjustRightInd/>
        <w:spacing w:before="0" w:beforeAutospacing="0" w:after="0" w:afterAutospacing="0" w:line="500" w:lineRule="exact"/>
        <w:ind w:firstLine="642" w:firstLineChars="200"/>
        <w:textAlignment w:val="auto"/>
        <w:rPr>
          <w:rFonts w:hint="eastAsia" w:ascii="黑体" w:hAnsi="黑体" w:eastAsia="黑体" w:cs="黑体"/>
          <w:b/>
          <w:bCs/>
          <w:color w:val="auto"/>
          <w:sz w:val="32"/>
          <w:szCs w:val="32"/>
          <w:u w:val="none"/>
        </w:rPr>
      </w:pPr>
      <w:r>
        <w:rPr>
          <w:rFonts w:hint="eastAsia" w:ascii="黑体" w:hAnsi="黑体" w:eastAsia="黑体" w:cs="黑体"/>
          <w:b/>
          <w:bCs/>
          <w:color w:val="auto"/>
          <w:sz w:val="32"/>
          <w:szCs w:val="32"/>
          <w:u w:val="none"/>
          <w:lang w:eastAsia="zh-CN"/>
        </w:rPr>
        <w:t>三</w:t>
      </w:r>
      <w:r>
        <w:rPr>
          <w:rFonts w:hint="eastAsia" w:ascii="黑体" w:hAnsi="黑体" w:eastAsia="黑体" w:cs="黑体"/>
          <w:b/>
          <w:bCs/>
          <w:color w:val="auto"/>
          <w:sz w:val="32"/>
          <w:szCs w:val="32"/>
          <w:u w:val="none"/>
        </w:rPr>
        <w:t>、供应商资格要求</w:t>
      </w:r>
    </w:p>
    <w:p>
      <w:pPr>
        <w:pStyle w:val="3"/>
        <w:keepNext w:val="0"/>
        <w:keepLines w:val="0"/>
        <w:pageBreakBefore w:val="0"/>
        <w:kinsoku/>
        <w:wordWrap/>
        <w:overflowPunct/>
        <w:topLinePunct w:val="0"/>
        <w:autoSpaceDE/>
        <w:autoSpaceDN/>
        <w:bidi w:val="0"/>
        <w:adjustRightInd/>
        <w:spacing w:before="0" w:beforeAutospacing="0" w:after="0" w:afterAutospacing="0" w:line="5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（一）供应商应当具备《政府采购法》第二十二条规定的</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供应商参加政府采购活动应当具备</w:t>
      </w:r>
      <w:r>
        <w:rPr>
          <w:rFonts w:hint="eastAsia" w:ascii="仿宋_GB2312" w:hAnsi="仿宋_GB2312" w:eastAsia="仿宋_GB2312" w:cs="仿宋_GB2312"/>
          <w:color w:val="auto"/>
          <w:sz w:val="32"/>
          <w:szCs w:val="32"/>
          <w:u w:val="none"/>
          <w:lang w:eastAsia="zh-CN"/>
        </w:rPr>
        <w:t>的</w:t>
      </w:r>
      <w:r>
        <w:rPr>
          <w:rFonts w:hint="eastAsia" w:ascii="仿宋_GB2312" w:hAnsi="仿宋_GB2312" w:eastAsia="仿宋_GB2312" w:cs="仿宋_GB2312"/>
          <w:color w:val="auto"/>
          <w:sz w:val="32"/>
          <w:szCs w:val="32"/>
          <w:u w:val="none"/>
        </w:rPr>
        <w:t>条件</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w:t>
      </w:r>
    </w:p>
    <w:p>
      <w:pPr>
        <w:pStyle w:val="3"/>
        <w:keepNext w:val="0"/>
        <w:keepLines w:val="0"/>
        <w:pageBreakBefore w:val="0"/>
        <w:kinsoku/>
        <w:wordWrap/>
        <w:overflowPunct/>
        <w:topLinePunct w:val="0"/>
        <w:autoSpaceDE/>
        <w:autoSpaceDN/>
        <w:bidi w:val="0"/>
        <w:adjustRightInd/>
        <w:spacing w:before="0" w:beforeAutospacing="0" w:after="0" w:afterAutospacing="0" w:line="500" w:lineRule="exact"/>
        <w:ind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rPr>
        <w:t>（二）供应商应当是具有合法经营资格的法人，提供有效的企业法人营业执照</w:t>
      </w:r>
      <w:r>
        <w:rPr>
          <w:rFonts w:hint="eastAsia" w:ascii="仿宋_GB2312" w:hAnsi="仿宋_GB2312" w:eastAsia="仿宋_GB2312" w:cs="仿宋_GB2312"/>
          <w:color w:val="auto"/>
          <w:sz w:val="32"/>
          <w:szCs w:val="32"/>
          <w:u w:val="none"/>
          <w:lang w:eastAsia="zh-CN"/>
        </w:rPr>
        <w:t>；</w:t>
      </w:r>
    </w:p>
    <w:p>
      <w:pPr>
        <w:pStyle w:val="3"/>
        <w:numPr>
          <w:ilvl w:val="0"/>
          <w:numId w:val="0"/>
        </w:numPr>
        <w:spacing w:before="0" w:beforeAutospacing="0" w:after="0" w:afterAutospacing="0" w:line="500" w:lineRule="exact"/>
        <w:ind w:firstLine="640" w:firstLineChars="200"/>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eastAsia="zh-CN"/>
        </w:rPr>
        <w:t>（三）</w:t>
      </w:r>
      <w:r>
        <w:rPr>
          <w:rFonts w:hint="eastAsia" w:ascii="仿宋_GB2312" w:hAnsi="仿宋_GB2312" w:eastAsia="仿宋_GB2312" w:cs="仿宋_GB2312"/>
          <w:color w:val="auto"/>
          <w:sz w:val="32"/>
          <w:szCs w:val="32"/>
          <w:highlight w:val="none"/>
          <w:u w:val="none"/>
        </w:rPr>
        <w:t>供应商应当是</w:t>
      </w:r>
      <w:r>
        <w:rPr>
          <w:rFonts w:hint="eastAsia" w:ascii="仿宋_GB2312" w:hAnsi="仿宋_GB2312" w:eastAsia="仿宋_GB2312" w:cs="仿宋_GB2312"/>
          <w:color w:val="auto"/>
          <w:sz w:val="32"/>
          <w:szCs w:val="32"/>
          <w:highlight w:val="none"/>
          <w:u w:val="none"/>
          <w:lang w:val="en-US" w:eastAsia="zh-CN"/>
        </w:rPr>
        <w:t>具有档案整理服务资质的机构；</w:t>
      </w:r>
    </w:p>
    <w:p>
      <w:pPr>
        <w:pStyle w:val="3"/>
        <w:numPr>
          <w:ilvl w:val="0"/>
          <w:numId w:val="0"/>
        </w:numPr>
        <w:spacing w:before="0" w:beforeAutospacing="0" w:after="0" w:afterAutospacing="0" w:line="500" w:lineRule="exact"/>
        <w:ind w:firstLine="640" w:firstLineChars="200"/>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eastAsia="zh-CN"/>
        </w:rPr>
        <w:t>（四）</w:t>
      </w:r>
      <w:r>
        <w:rPr>
          <w:rFonts w:hint="eastAsia" w:ascii="仿宋_GB2312" w:hAnsi="仿宋_GB2312" w:eastAsia="仿宋_GB2312" w:cs="仿宋_GB2312"/>
          <w:color w:val="auto"/>
          <w:sz w:val="32"/>
          <w:szCs w:val="32"/>
          <w:highlight w:val="none"/>
          <w:u w:val="none"/>
        </w:rPr>
        <w:t>主要从业人员</w:t>
      </w:r>
      <w:r>
        <w:rPr>
          <w:rFonts w:hint="eastAsia" w:ascii="仿宋_GB2312" w:hAnsi="仿宋_GB2312" w:eastAsia="仿宋_GB2312" w:cs="仿宋_GB2312"/>
          <w:color w:val="auto"/>
          <w:sz w:val="32"/>
          <w:szCs w:val="32"/>
          <w:highlight w:val="none"/>
          <w:u w:val="none"/>
          <w:lang w:eastAsia="zh-CN"/>
        </w:rPr>
        <w:t>具有档案整理从业资格或相关档案整理经验；</w:t>
      </w:r>
    </w:p>
    <w:p>
      <w:pPr>
        <w:pStyle w:val="3"/>
        <w:numPr>
          <w:ilvl w:val="0"/>
          <w:numId w:val="0"/>
        </w:numPr>
        <w:wordWrap w:val="0"/>
        <w:spacing w:before="0" w:beforeAutospacing="0" w:after="0" w:afterAutospacing="0" w:line="500" w:lineRule="exact"/>
        <w:ind w:firstLine="640" w:firstLineChars="200"/>
        <w:jc w:val="left"/>
        <w:rPr>
          <w:rFonts w:hint="eastAsia" w:ascii="仿宋_GB2312" w:hAnsi="仿宋_GB2312" w:eastAsia="仿宋_GB2312" w:cs="仿宋_GB2312"/>
          <w:color w:val="auto"/>
          <w:sz w:val="32"/>
          <w:szCs w:val="32"/>
          <w:highlight w:val="none"/>
          <w:u w:val="none"/>
          <w:lang w:val="en-US" w:eastAsia="zh-CN"/>
        </w:rPr>
      </w:pPr>
      <w:r>
        <w:rPr>
          <w:rFonts w:hint="eastAsia" w:ascii="仿宋_GB2312" w:eastAsia="仿宋_GB2312"/>
          <w:color w:val="auto"/>
          <w:sz w:val="32"/>
          <w:szCs w:val="32"/>
          <w:u w:val="none"/>
          <w:lang w:eastAsia="zh-CN"/>
        </w:rPr>
        <w:t>（五）</w:t>
      </w:r>
      <w:r>
        <w:rPr>
          <w:rFonts w:hint="eastAsia" w:ascii="仿宋_GB2312" w:eastAsia="仿宋_GB2312"/>
          <w:color w:val="auto"/>
          <w:sz w:val="32"/>
          <w:szCs w:val="32"/>
          <w:u w:val="none"/>
        </w:rPr>
        <w:t>服务供应商未被列入“信用中国”网站“失信被执行人或重大税收违法案件当事人名单或政府采购严重违</w:t>
      </w:r>
      <w:r>
        <w:rPr>
          <w:rFonts w:hint="eastAsia" w:ascii="仿宋_GB2312" w:eastAsia="仿宋_GB2312"/>
          <w:color w:val="auto"/>
          <w:sz w:val="32"/>
          <w:szCs w:val="32"/>
          <w:highlight w:val="none"/>
          <w:u w:val="none"/>
        </w:rPr>
        <w:t>法失信行为”记录名单；不处于中国政府采购网（www.ccgp.gov.cn）“政府采购严重违法失信行为信息记录”中的禁止参加政府采购活动期间</w:t>
      </w:r>
      <w:r>
        <w:rPr>
          <w:rFonts w:hint="eastAsia" w:ascii="仿宋_GB2312" w:eastAsia="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lang w:val="en-US" w:eastAsia="zh-CN"/>
        </w:rPr>
        <w:tab/>
      </w:r>
    </w:p>
    <w:p>
      <w:pPr>
        <w:pStyle w:val="3"/>
        <w:keepNext w:val="0"/>
        <w:keepLines w:val="0"/>
        <w:pageBreakBefore w:val="0"/>
        <w:kinsoku/>
        <w:wordWrap/>
        <w:overflowPunct/>
        <w:topLinePunct w:val="0"/>
        <w:autoSpaceDE/>
        <w:autoSpaceDN/>
        <w:bidi w:val="0"/>
        <w:adjustRightInd/>
        <w:spacing w:before="0" w:beforeAutospacing="0" w:after="0" w:afterAutospacing="0" w:line="500" w:lineRule="exact"/>
        <w:ind w:firstLine="642" w:firstLineChars="200"/>
        <w:textAlignment w:val="auto"/>
        <w:rPr>
          <w:rFonts w:hint="default" w:ascii="黑体" w:hAnsi="黑体" w:eastAsia="黑体" w:cs="黑体"/>
          <w:b/>
          <w:bCs/>
          <w:color w:val="auto"/>
          <w:sz w:val="32"/>
          <w:szCs w:val="32"/>
          <w:highlight w:val="none"/>
          <w:u w:val="none"/>
          <w:lang w:val="en-US" w:eastAsia="zh-CN"/>
        </w:rPr>
      </w:pPr>
      <w:r>
        <w:rPr>
          <w:rFonts w:hint="eastAsia" w:ascii="黑体" w:hAnsi="黑体" w:eastAsia="黑体" w:cs="黑体"/>
          <w:b/>
          <w:bCs/>
          <w:color w:val="auto"/>
          <w:sz w:val="32"/>
          <w:szCs w:val="32"/>
          <w:highlight w:val="none"/>
          <w:u w:val="none"/>
          <w:lang w:eastAsia="zh-CN"/>
        </w:rPr>
        <w:t>四、服务费用及支付方式</w:t>
      </w:r>
    </w:p>
    <w:p>
      <w:pPr>
        <w:pStyle w:val="3"/>
        <w:keepNext w:val="0"/>
        <w:keepLines w:val="0"/>
        <w:pageBreakBefore w:val="0"/>
        <w:kinsoku/>
        <w:wordWrap/>
        <w:overflowPunct/>
        <w:topLinePunct w:val="0"/>
        <w:autoSpaceDE/>
        <w:autoSpaceDN/>
        <w:bidi w:val="0"/>
        <w:adjustRightInd/>
        <w:spacing w:before="0" w:beforeAutospacing="0" w:after="0" w:afterAutospacing="0" w:line="500" w:lineRule="exact"/>
        <w:ind w:firstLine="0" w:firstLineChars="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b/>
          <w:bCs/>
          <w:color w:val="auto"/>
          <w:sz w:val="32"/>
          <w:szCs w:val="32"/>
          <w:u w:val="none"/>
          <w:lang w:val="en-US" w:eastAsia="zh-CN"/>
        </w:rPr>
        <w:t xml:space="preserve">    </w:t>
      </w:r>
      <w:r>
        <w:rPr>
          <w:rFonts w:hint="eastAsia" w:ascii="仿宋_GB2312" w:hAnsi="仿宋_GB2312" w:eastAsia="仿宋_GB2312" w:cs="仿宋_GB2312"/>
          <w:color w:val="auto"/>
          <w:sz w:val="32"/>
          <w:szCs w:val="32"/>
          <w:highlight w:val="none"/>
          <w:u w:val="none"/>
        </w:rPr>
        <w:t>服务费用是完成服务内容及要求的含税全包价，采取总价包干方式，所有价格变动的风险均由服务供应商承担。</w:t>
      </w:r>
    </w:p>
    <w:p>
      <w:pPr>
        <w:pStyle w:val="3"/>
        <w:keepNext w:val="0"/>
        <w:keepLines w:val="0"/>
        <w:pageBreakBefore w:val="0"/>
        <w:kinsoku/>
        <w:wordWrap/>
        <w:overflowPunct/>
        <w:topLinePunct w:val="0"/>
        <w:autoSpaceDE/>
        <w:autoSpaceDN/>
        <w:bidi w:val="0"/>
        <w:adjustRightInd/>
        <w:spacing w:before="0" w:beforeAutospacing="0" w:after="0" w:afterAutospacing="0" w:line="500" w:lineRule="exact"/>
        <w:ind w:firstLine="640" w:firstLineChars="200"/>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rPr>
        <w:t>本项目最高限价概算为人民币</w:t>
      </w:r>
      <w:r>
        <w:rPr>
          <w:rFonts w:hint="eastAsia" w:ascii="仿宋_GB2312" w:hAnsi="仿宋_GB2312" w:eastAsia="仿宋_GB2312" w:cs="仿宋_GB2312"/>
          <w:color w:val="auto"/>
          <w:sz w:val="32"/>
          <w:szCs w:val="32"/>
          <w:highlight w:val="none"/>
          <w:u w:val="none"/>
          <w:lang w:eastAsia="zh-CN"/>
        </w:rPr>
        <w:t>玖万伍仟元整</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u w:val="none"/>
          <w:lang w:val="en-US" w:eastAsia="zh-CN"/>
        </w:rPr>
        <w:t xml:space="preserve">￥95,000.00 </w:t>
      </w:r>
      <w:r>
        <w:rPr>
          <w:rFonts w:hint="eastAsia" w:ascii="仿宋_GB2312" w:hAnsi="仿宋_GB2312" w:eastAsia="仿宋_GB2312" w:cs="仿宋_GB2312"/>
          <w:color w:val="auto"/>
          <w:sz w:val="32"/>
          <w:szCs w:val="32"/>
          <w:highlight w:val="none"/>
          <w:u w:val="none"/>
        </w:rPr>
        <w:t>元）</w:t>
      </w:r>
      <w:r>
        <w:rPr>
          <w:rFonts w:hint="eastAsia" w:ascii="仿宋_GB2312" w:hAnsi="仿宋_GB2312" w:eastAsia="仿宋_GB2312" w:cs="仿宋_GB2312"/>
          <w:color w:val="auto"/>
          <w:sz w:val="32"/>
          <w:szCs w:val="32"/>
          <w:highlight w:val="none"/>
          <w:u w:val="none"/>
          <w:lang w:eastAsia="zh-CN"/>
        </w:rPr>
        <w:t>，项目内容明细</w:t>
      </w:r>
      <w:r>
        <w:rPr>
          <w:rFonts w:hint="eastAsia" w:ascii="仿宋_GB2312" w:hAnsi="仿宋_GB2312" w:eastAsia="仿宋_GB2312" w:cs="仿宋_GB2312"/>
          <w:color w:val="auto"/>
          <w:sz w:val="32"/>
          <w:szCs w:val="32"/>
          <w:highlight w:val="none"/>
          <w:u w:val="none"/>
        </w:rPr>
        <w:t>详见表</w:t>
      </w:r>
      <w:r>
        <w:rPr>
          <w:rFonts w:hint="eastAsia" w:ascii="仿宋_GB2312" w:hAnsi="仿宋_GB2312" w:eastAsia="仿宋_GB2312" w:cs="仿宋_GB2312"/>
          <w:color w:val="auto"/>
          <w:sz w:val="32"/>
          <w:szCs w:val="32"/>
          <w:highlight w:val="none"/>
          <w:u w:val="none"/>
          <w:lang w:val="en-US" w:eastAsia="zh-CN"/>
        </w:rPr>
        <w:t>1</w:t>
      </w:r>
      <w:r>
        <w:rPr>
          <w:rFonts w:hint="eastAsia" w:ascii="仿宋_GB2312" w:hAnsi="仿宋_GB2312" w:eastAsia="仿宋_GB2312" w:cs="仿宋_GB2312"/>
          <w:color w:val="auto"/>
          <w:sz w:val="32"/>
          <w:szCs w:val="32"/>
          <w:highlight w:val="none"/>
          <w:u w:val="none"/>
        </w:rPr>
        <w:t>项目</w:t>
      </w:r>
      <w:r>
        <w:rPr>
          <w:rFonts w:hint="eastAsia" w:ascii="仿宋_GB2312" w:hAnsi="仿宋_GB2312" w:eastAsia="仿宋_GB2312" w:cs="仿宋_GB2312"/>
          <w:color w:val="auto"/>
          <w:sz w:val="32"/>
          <w:szCs w:val="32"/>
          <w:highlight w:val="none"/>
          <w:u w:val="none"/>
          <w:lang w:eastAsia="zh-CN"/>
        </w:rPr>
        <w:t>明细</w:t>
      </w:r>
      <w:r>
        <w:rPr>
          <w:rFonts w:hint="eastAsia" w:ascii="仿宋_GB2312" w:hAnsi="仿宋_GB2312" w:eastAsia="仿宋_GB2312" w:cs="仿宋_GB2312"/>
          <w:color w:val="auto"/>
          <w:sz w:val="32"/>
          <w:szCs w:val="32"/>
          <w:highlight w:val="none"/>
          <w:u w:val="none"/>
        </w:rPr>
        <w:t>表</w:t>
      </w:r>
      <w:r>
        <w:rPr>
          <w:rFonts w:hint="eastAsia" w:ascii="仿宋_GB2312" w:hAnsi="仿宋_GB2312" w:eastAsia="仿宋_GB2312" w:cs="仿宋_GB2312"/>
          <w:color w:val="auto"/>
          <w:sz w:val="32"/>
          <w:szCs w:val="32"/>
          <w:highlight w:val="none"/>
          <w:u w:val="none"/>
          <w:lang w:eastAsia="zh-CN"/>
        </w:rPr>
        <w:t>。</w:t>
      </w:r>
    </w:p>
    <w:p>
      <w:pPr>
        <w:pStyle w:val="3"/>
        <w:keepNext w:val="0"/>
        <w:keepLines w:val="0"/>
        <w:pageBreakBefore w:val="0"/>
        <w:kinsoku/>
        <w:wordWrap/>
        <w:overflowPunct/>
        <w:topLinePunct w:val="0"/>
        <w:autoSpaceDE/>
        <w:autoSpaceDN/>
        <w:bidi w:val="0"/>
        <w:adjustRightInd/>
        <w:spacing w:before="0" w:beforeAutospacing="0" w:after="0" w:afterAutospacing="0" w:line="500" w:lineRule="exact"/>
        <w:ind w:firstLine="2880" w:firstLineChars="9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表</w:t>
      </w:r>
      <w:r>
        <w:rPr>
          <w:rFonts w:hint="eastAsia" w:ascii="仿宋_GB2312" w:hAnsi="仿宋_GB2312" w:eastAsia="仿宋_GB2312" w:cs="仿宋_GB2312"/>
          <w:color w:val="auto"/>
          <w:sz w:val="32"/>
          <w:szCs w:val="32"/>
          <w:highlight w:val="none"/>
          <w:u w:val="none"/>
          <w:lang w:eastAsia="zh-CN"/>
        </w:rPr>
        <w:t>1</w:t>
      </w:r>
      <w:r>
        <w:rPr>
          <w:rFonts w:hint="eastAsia" w:ascii="仿宋_GB2312" w:hAnsi="仿宋_GB2312" w:eastAsia="仿宋_GB2312" w:cs="仿宋_GB2312"/>
          <w:color w:val="auto"/>
          <w:sz w:val="32"/>
          <w:szCs w:val="32"/>
          <w:highlight w:val="none"/>
          <w:u w:val="none"/>
        </w:rPr>
        <w:t>项目</w:t>
      </w:r>
      <w:r>
        <w:rPr>
          <w:rFonts w:hint="eastAsia" w:ascii="仿宋_GB2312" w:hAnsi="仿宋_GB2312" w:eastAsia="仿宋_GB2312" w:cs="仿宋_GB2312"/>
          <w:color w:val="auto"/>
          <w:sz w:val="32"/>
          <w:szCs w:val="32"/>
          <w:highlight w:val="none"/>
          <w:u w:val="none"/>
          <w:lang w:eastAsia="zh-CN"/>
        </w:rPr>
        <w:t>明细</w:t>
      </w:r>
      <w:r>
        <w:rPr>
          <w:rFonts w:hint="eastAsia" w:ascii="仿宋_GB2312" w:hAnsi="仿宋_GB2312" w:eastAsia="仿宋_GB2312" w:cs="仿宋_GB2312"/>
          <w:color w:val="auto"/>
          <w:sz w:val="32"/>
          <w:szCs w:val="32"/>
          <w:highlight w:val="none"/>
          <w:u w:val="none"/>
        </w:rPr>
        <w:t>表</w:t>
      </w:r>
    </w:p>
    <w:tbl>
      <w:tblPr>
        <w:tblStyle w:val="4"/>
        <w:tblW w:w="86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00"/>
        <w:gridCol w:w="1740"/>
        <w:gridCol w:w="1515"/>
        <w:gridCol w:w="3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3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项目费用名称</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1、住房保障对象年审资料纸质档案整理工作</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打印文件、排序</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1200份（约60页/份）</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根据文件内容整理分类打印，按时间排列顺序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档案录入</w:t>
            </w: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录入申请人姓名，身份证号，内容页数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打页码</w:t>
            </w: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按申请人划分，每份档案按流水号打页码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打印目录</w:t>
            </w: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排版，检查每张目录内容是否打全，一式三份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盖封面</w:t>
            </w: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封面盖申请人姓名，案卷号，分类号，存档时间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档案装订</w:t>
            </w: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将每张目录排叠整齐、钻孔、装订到专用的目录夹里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档案入盒</w:t>
            </w: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每份档案按录入顺序排号，整理入盒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2、住房保障对象年审资料纸质档案扫描电子化工作</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档案扫描</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1200份（约60页/份）</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将每一页档案的扫成JPG格式、核对页数是否有漏扫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图像处理</w:t>
            </w: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将扫描好的图片整理，调整方向、裁剪黑边、合拼图片、质检图片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挂接数据</w:t>
            </w: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将每页档案的电子文件按顺序挂接到档案系统内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刻录光盘</w:t>
            </w: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将图片和电子目录刻录到档案专用光盘里，并打印好光盘封皮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3、保障性租赁住房保障对象申请资料档案整理工作</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打印文件、排序、录入</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4300份（约5页/份）</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根据文件内容整理分类打印，按时间排列顺序，录入申请人姓名，身份证号，内容页数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打页码、打印目录</w:t>
            </w: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按申请人划分，每份档案按流水号打页码，排版，检查每张目录内容是否打全，一式三份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盖封面、装订、入盒</w:t>
            </w: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封面盖申请人姓名，案卷号，分类号，存档时间，将每张目录排叠整齐、钻孔、装订到专用的目录夹里排号，整理入盒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刻录光盘</w:t>
            </w: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将图片和电子目录刻录到档案专用光盘里，并打印好光盘封皮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4、安居工程项目资料纸质档案整理工作</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打印文件、排序</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约100份</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根据文件内容整理分类打印，按时间排列顺序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分类组卷</w:t>
            </w: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根据文件内容按份整理分类组成一卷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编写案卷号、案卷题名</w:t>
            </w: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编排案卷号，每卷编写案卷题名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档案录入</w:t>
            </w: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录入文件题名、文件编号、文件时间、页数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打页码、目录</w:t>
            </w: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按项目类型划分，每份档案按流水号打页码，排版，检查每张目录内容是否打全，一式三份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打印封面</w:t>
            </w: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每卷打印封面内容和封底备考表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档案装订</w:t>
            </w: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将每份文件拆钉，打孔拉线装订成一本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档案入盒</w:t>
            </w: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每卷档案按案卷号排列顺序，整理入盒，贴盒面盒背脊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5、安居工程项目资料纸质档案扫描电子化工作</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档案扫描</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约100份</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将每一页档案的扫成JPG格式、核对页数是否有漏扫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图像处理</w:t>
            </w: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将扫描好的图片整理，调整方向、裁剪黑边、合拼图片、质检图片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刻录光盘</w:t>
            </w: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将图片和电子目录刻录到档案专用光盘里，并打印好光盘封皮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6、档案用品</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档案用品</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1批</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档案整理过程中需要用到的档案用品，详见表2档案整理用品估算清单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6900份</w:t>
            </w:r>
          </w:p>
        </w:tc>
        <w:tc>
          <w:tcPr>
            <w:tcW w:w="38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bl>
    <w:p>
      <w:pPr>
        <w:pStyle w:val="3"/>
        <w:keepNext w:val="0"/>
        <w:keepLines w:val="0"/>
        <w:pageBreakBefore w:val="0"/>
        <w:numPr>
          <w:ilvl w:val="0"/>
          <w:numId w:val="0"/>
        </w:numPr>
        <w:kinsoku/>
        <w:wordWrap/>
        <w:overflowPunct/>
        <w:topLinePunct w:val="0"/>
        <w:autoSpaceDE/>
        <w:autoSpaceDN/>
        <w:bidi w:val="0"/>
        <w:adjustRightInd/>
        <w:spacing w:before="0" w:beforeAutospacing="0" w:after="0" w:afterAutospacing="0" w:line="500" w:lineRule="exact"/>
        <w:ind w:firstLine="0" w:firstLineChars="0"/>
        <w:jc w:val="both"/>
        <w:textAlignment w:val="auto"/>
        <w:rPr>
          <w:rFonts w:hint="eastAsia" w:ascii="仿宋_GB2312" w:hAnsi="仿宋_GB2312" w:eastAsia="仿宋_GB2312" w:cs="仿宋_GB2312"/>
          <w:color w:val="auto"/>
          <w:sz w:val="32"/>
          <w:szCs w:val="32"/>
          <w:highlight w:val="none"/>
          <w:u w:val="none"/>
          <w:lang w:eastAsia="zh-CN"/>
        </w:rPr>
      </w:pPr>
    </w:p>
    <w:p>
      <w:pPr>
        <w:pStyle w:val="3"/>
        <w:keepNext w:val="0"/>
        <w:keepLines w:val="0"/>
        <w:pageBreakBefore w:val="0"/>
        <w:numPr>
          <w:ilvl w:val="0"/>
          <w:numId w:val="0"/>
        </w:numPr>
        <w:kinsoku/>
        <w:wordWrap/>
        <w:overflowPunct/>
        <w:topLinePunct w:val="0"/>
        <w:autoSpaceDE/>
        <w:autoSpaceDN/>
        <w:bidi w:val="0"/>
        <w:adjustRightInd/>
        <w:spacing w:before="0" w:beforeAutospacing="0" w:after="0" w:afterAutospacing="0" w:line="500" w:lineRule="exact"/>
        <w:ind w:firstLine="0" w:firstLineChars="0"/>
        <w:jc w:val="center"/>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eastAsia="zh-CN"/>
        </w:rPr>
        <w:t>表</w:t>
      </w:r>
      <w:r>
        <w:rPr>
          <w:rFonts w:hint="eastAsia" w:ascii="仿宋_GB2312" w:hAnsi="仿宋_GB2312" w:eastAsia="仿宋_GB2312" w:cs="仿宋_GB2312"/>
          <w:color w:val="auto"/>
          <w:sz w:val="32"/>
          <w:szCs w:val="32"/>
          <w:highlight w:val="none"/>
          <w:u w:val="none"/>
          <w:lang w:val="en-US" w:eastAsia="zh-CN"/>
        </w:rPr>
        <w:t>2档案整理用品估算清单</w:t>
      </w:r>
    </w:p>
    <w:tbl>
      <w:tblPr>
        <w:tblStyle w:val="4"/>
        <w:tblW w:w="809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0"/>
        <w:gridCol w:w="3378"/>
        <w:gridCol w:w="1875"/>
        <w:gridCol w:w="19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3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品名</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5CM档案盒</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档案专用胶水</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5" w:hRule="atLeast"/>
        </w:trPr>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0.6CM钢钉</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0.8CM钢钉</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1.3CM钢钉</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目录纸</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5" w:hRule="atLeast"/>
        </w:trPr>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3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文书封皮</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装订线（小）</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捆</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3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印油</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光盘</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张（含保护盒）</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5" w:hRule="atLeast"/>
        </w:trPr>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3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目录夹</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3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科技盒封面</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r>
    </w:tbl>
    <w:p>
      <w:pPr>
        <w:pStyle w:val="3"/>
        <w:keepNext w:val="0"/>
        <w:keepLines w:val="0"/>
        <w:pageBreakBefore w:val="0"/>
        <w:numPr>
          <w:ilvl w:val="0"/>
          <w:numId w:val="0"/>
        </w:numPr>
        <w:kinsoku/>
        <w:wordWrap/>
        <w:overflowPunct/>
        <w:topLinePunct w:val="0"/>
        <w:autoSpaceDE/>
        <w:autoSpaceDN/>
        <w:bidi w:val="0"/>
        <w:adjustRightInd/>
        <w:spacing w:before="0" w:beforeAutospacing="0" w:after="0" w:afterAutospacing="0" w:line="500" w:lineRule="exact"/>
        <w:ind w:firstLine="0" w:firstLineChars="0"/>
        <w:jc w:val="both"/>
        <w:textAlignment w:val="auto"/>
        <w:rPr>
          <w:rFonts w:hint="default" w:ascii="仿宋_GB2312" w:hAnsi="仿宋_GB2312" w:eastAsia="仿宋_GB2312" w:cs="仿宋_GB2312"/>
          <w:color w:val="auto"/>
          <w:sz w:val="32"/>
          <w:szCs w:val="32"/>
          <w:highlight w:val="none"/>
          <w:u w:val="none"/>
        </w:rPr>
      </w:pPr>
    </w:p>
    <w:p>
      <w:pPr>
        <w:pStyle w:val="3"/>
        <w:keepNext w:val="0"/>
        <w:keepLines w:val="0"/>
        <w:pageBreakBefore w:val="0"/>
        <w:numPr>
          <w:ilvl w:val="0"/>
          <w:numId w:val="0"/>
        </w:numPr>
        <w:kinsoku/>
        <w:wordWrap/>
        <w:overflowPunct/>
        <w:topLinePunct w:val="0"/>
        <w:autoSpaceDE/>
        <w:autoSpaceDN/>
        <w:bidi w:val="0"/>
        <w:adjustRightInd/>
        <w:spacing w:before="0" w:beforeAutospacing="0" w:after="0" w:afterAutospacing="0" w:line="500" w:lineRule="exact"/>
        <w:ind w:firstLine="640" w:firstLineChars="200"/>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eastAsia="zh-CN"/>
        </w:rPr>
        <w:t>（一）项目中</w:t>
      </w:r>
      <w:r>
        <w:rPr>
          <w:rFonts w:hint="eastAsia" w:ascii="仿宋_GB2312" w:hAnsi="仿宋_GB2312" w:eastAsia="仿宋_GB2312" w:cs="仿宋_GB2312"/>
          <w:color w:val="auto"/>
          <w:sz w:val="32"/>
          <w:szCs w:val="32"/>
          <w:highlight w:val="none"/>
          <w:u w:val="none"/>
        </w:rPr>
        <w:t>所有资料份数均为估算，</w:t>
      </w:r>
      <w:r>
        <w:rPr>
          <w:rFonts w:hint="eastAsia" w:ascii="仿宋_GB2312" w:hAnsi="仿宋_GB2312" w:eastAsia="仿宋_GB2312" w:cs="仿宋_GB2312"/>
          <w:color w:val="auto"/>
          <w:sz w:val="32"/>
          <w:szCs w:val="32"/>
          <w:highlight w:val="none"/>
          <w:u w:val="none"/>
          <w:lang w:eastAsia="zh-CN"/>
        </w:rPr>
        <w:t>在超出所报份数</w:t>
      </w:r>
      <w:r>
        <w:rPr>
          <w:rFonts w:hint="eastAsia" w:ascii="仿宋_GB2312" w:hAnsi="仿宋_GB2312" w:eastAsia="仿宋_GB2312" w:cs="仿宋_GB2312"/>
          <w:color w:val="auto"/>
          <w:sz w:val="32"/>
          <w:szCs w:val="32"/>
          <w:highlight w:val="none"/>
          <w:u w:val="none"/>
          <w:lang w:val="en-US" w:eastAsia="zh-CN"/>
        </w:rPr>
        <w:t>10%以内的，</w:t>
      </w:r>
      <w:r>
        <w:rPr>
          <w:rFonts w:hint="eastAsia" w:ascii="仿宋_GB2312" w:hAnsi="仿宋_GB2312" w:eastAsia="仿宋_GB2312" w:cs="仿宋_GB2312"/>
          <w:color w:val="auto"/>
          <w:sz w:val="32"/>
          <w:szCs w:val="32"/>
          <w:highlight w:val="none"/>
          <w:u w:val="none"/>
        </w:rPr>
        <w:t>均按项目总价包干</w:t>
      </w:r>
      <w:r>
        <w:rPr>
          <w:rFonts w:hint="eastAsia" w:ascii="仿宋_GB2312" w:hAnsi="仿宋_GB2312" w:eastAsia="仿宋_GB2312" w:cs="仿宋_GB2312"/>
          <w:color w:val="auto"/>
          <w:sz w:val="32"/>
          <w:szCs w:val="32"/>
          <w:highlight w:val="none"/>
          <w:u w:val="none"/>
          <w:lang w:eastAsia="zh-CN"/>
        </w:rPr>
        <w:t>（含所有档案份数和整理用品）</w:t>
      </w:r>
      <w:r>
        <w:rPr>
          <w:rFonts w:hint="eastAsia" w:ascii="仿宋_GB2312" w:hAnsi="仿宋_GB2312" w:eastAsia="仿宋_GB2312" w:cs="仿宋_GB2312"/>
          <w:color w:val="auto"/>
          <w:sz w:val="32"/>
          <w:szCs w:val="32"/>
          <w:highlight w:val="none"/>
          <w:u w:val="none"/>
        </w:rPr>
        <w:t>，超出部分和所有价格变动的风险均由</w:t>
      </w:r>
      <w:r>
        <w:rPr>
          <w:rFonts w:hint="eastAsia" w:ascii="仿宋_GB2312" w:hAnsi="仿宋_GB2312" w:eastAsia="仿宋_GB2312" w:cs="仿宋_GB2312"/>
          <w:color w:val="auto"/>
          <w:sz w:val="32"/>
          <w:szCs w:val="32"/>
          <w:highlight w:val="none"/>
          <w:u w:val="none"/>
          <w:lang w:eastAsia="zh-CN"/>
        </w:rPr>
        <w:t>供应商</w:t>
      </w:r>
      <w:r>
        <w:rPr>
          <w:rFonts w:hint="eastAsia" w:ascii="仿宋_GB2312" w:hAnsi="仿宋_GB2312" w:eastAsia="仿宋_GB2312" w:cs="仿宋_GB2312"/>
          <w:color w:val="auto"/>
          <w:sz w:val="32"/>
          <w:szCs w:val="32"/>
          <w:highlight w:val="none"/>
          <w:u w:val="none"/>
        </w:rPr>
        <w:t>自行承担，</w:t>
      </w:r>
      <w:r>
        <w:rPr>
          <w:rFonts w:hint="eastAsia" w:ascii="仿宋_GB2312" w:hAnsi="仿宋_GB2312" w:eastAsia="仿宋_GB2312" w:cs="仿宋_GB2312"/>
          <w:color w:val="auto"/>
          <w:sz w:val="32"/>
          <w:szCs w:val="32"/>
          <w:highlight w:val="none"/>
          <w:u w:val="none"/>
          <w:lang w:eastAsia="zh-CN"/>
        </w:rPr>
        <w:t>采购方</w:t>
      </w:r>
      <w:r>
        <w:rPr>
          <w:rFonts w:hint="eastAsia" w:ascii="仿宋_GB2312" w:hAnsi="仿宋_GB2312" w:eastAsia="仿宋_GB2312" w:cs="仿宋_GB2312"/>
          <w:color w:val="auto"/>
          <w:sz w:val="32"/>
          <w:szCs w:val="32"/>
          <w:highlight w:val="none"/>
          <w:u w:val="none"/>
        </w:rPr>
        <w:t>不需再向</w:t>
      </w:r>
      <w:r>
        <w:rPr>
          <w:rFonts w:hint="eastAsia" w:ascii="仿宋_GB2312" w:hAnsi="仿宋_GB2312" w:eastAsia="仿宋_GB2312" w:cs="仿宋_GB2312"/>
          <w:color w:val="auto"/>
          <w:sz w:val="32"/>
          <w:szCs w:val="32"/>
          <w:highlight w:val="none"/>
          <w:u w:val="none"/>
          <w:lang w:eastAsia="zh-CN"/>
        </w:rPr>
        <w:t>供应商</w:t>
      </w:r>
      <w:r>
        <w:rPr>
          <w:rFonts w:hint="eastAsia" w:ascii="仿宋_GB2312" w:hAnsi="仿宋_GB2312" w:eastAsia="仿宋_GB2312" w:cs="仿宋_GB2312"/>
          <w:color w:val="auto"/>
          <w:sz w:val="32"/>
          <w:szCs w:val="32"/>
          <w:highlight w:val="none"/>
          <w:u w:val="none"/>
        </w:rPr>
        <w:t>支付任何其他费用; 低于合同要求整理的资料份数的，按实际</w:t>
      </w:r>
      <w:r>
        <w:rPr>
          <w:rFonts w:hint="eastAsia" w:ascii="仿宋_GB2312" w:hAnsi="仿宋_GB2312" w:eastAsia="仿宋_GB2312" w:cs="仿宋_GB2312"/>
          <w:color w:val="auto"/>
          <w:sz w:val="32"/>
          <w:szCs w:val="32"/>
          <w:highlight w:val="none"/>
          <w:u w:val="none"/>
          <w:lang w:eastAsia="zh-CN"/>
        </w:rPr>
        <w:t>整理档案</w:t>
      </w:r>
      <w:r>
        <w:rPr>
          <w:rFonts w:hint="eastAsia" w:ascii="仿宋_GB2312" w:hAnsi="仿宋_GB2312" w:eastAsia="仿宋_GB2312" w:cs="仿宋_GB2312"/>
          <w:color w:val="auto"/>
          <w:sz w:val="32"/>
          <w:szCs w:val="32"/>
          <w:highlight w:val="none"/>
          <w:u w:val="none"/>
        </w:rPr>
        <w:t>份数进行结算</w:t>
      </w:r>
      <w:r>
        <w:rPr>
          <w:rFonts w:hint="eastAsia" w:ascii="仿宋_GB2312" w:hAnsi="仿宋_GB2312" w:eastAsia="仿宋_GB2312" w:cs="仿宋_GB2312"/>
          <w:color w:val="auto"/>
          <w:sz w:val="32"/>
          <w:szCs w:val="32"/>
          <w:highlight w:val="none"/>
          <w:u w:val="none"/>
          <w:lang w:eastAsia="zh-CN"/>
        </w:rPr>
        <w:t>。</w:t>
      </w:r>
    </w:p>
    <w:p>
      <w:pPr>
        <w:pStyle w:val="3"/>
        <w:keepNext w:val="0"/>
        <w:keepLines w:val="0"/>
        <w:pageBreakBefore w:val="0"/>
        <w:numPr>
          <w:ilvl w:val="0"/>
          <w:numId w:val="0"/>
        </w:numPr>
        <w:kinsoku/>
        <w:wordWrap/>
        <w:overflowPunct/>
        <w:topLinePunct w:val="0"/>
        <w:autoSpaceDE/>
        <w:autoSpaceDN/>
        <w:bidi w:val="0"/>
        <w:adjustRightInd/>
        <w:spacing w:before="0" w:beforeAutospacing="0" w:after="0" w:afterAutospacing="0" w:line="500"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eastAsia="zh-CN"/>
        </w:rPr>
        <w:t>（二）服务费用</w:t>
      </w:r>
      <w:r>
        <w:rPr>
          <w:rFonts w:hint="eastAsia" w:ascii="仿宋_GB2312" w:hAnsi="仿宋_GB2312" w:eastAsia="仿宋_GB2312" w:cs="仿宋_GB2312"/>
          <w:color w:val="auto"/>
          <w:sz w:val="32"/>
          <w:szCs w:val="32"/>
          <w:highlight w:val="none"/>
          <w:u w:val="none"/>
        </w:rPr>
        <w:t>分三期支付，合同签订</w:t>
      </w:r>
      <w:r>
        <w:rPr>
          <w:rFonts w:hint="eastAsia" w:ascii="仿宋_GB2312" w:hAnsi="仿宋_GB2312" w:eastAsia="仿宋_GB2312" w:cs="仿宋_GB2312"/>
          <w:color w:val="auto"/>
          <w:sz w:val="32"/>
          <w:szCs w:val="32"/>
          <w:highlight w:val="none"/>
          <w:u w:val="none"/>
          <w:lang w:eastAsia="zh-CN"/>
        </w:rPr>
        <w:t>且生效</w:t>
      </w:r>
      <w:r>
        <w:rPr>
          <w:rFonts w:hint="eastAsia" w:ascii="仿宋_GB2312" w:hAnsi="仿宋_GB2312" w:eastAsia="仿宋_GB2312" w:cs="仿宋_GB2312"/>
          <w:color w:val="auto"/>
          <w:sz w:val="32"/>
          <w:szCs w:val="32"/>
          <w:highlight w:val="none"/>
          <w:u w:val="none"/>
        </w:rPr>
        <w:t>后，</w:t>
      </w:r>
      <w:r>
        <w:rPr>
          <w:rFonts w:hint="eastAsia" w:ascii="仿宋_GB2312" w:hAnsi="仿宋_GB2312" w:eastAsia="仿宋_GB2312" w:cs="仿宋_GB2312"/>
          <w:color w:val="auto"/>
          <w:sz w:val="32"/>
          <w:szCs w:val="32"/>
          <w:highlight w:val="none"/>
          <w:u w:val="none"/>
          <w:lang w:eastAsia="zh-CN"/>
        </w:rPr>
        <w:t>采购方向供应商支付第一期款项，即合同总价</w:t>
      </w:r>
      <w:r>
        <w:rPr>
          <w:rFonts w:hint="eastAsia" w:ascii="仿宋_GB2312" w:hAnsi="仿宋_GB2312" w:eastAsia="仿宋_GB2312" w:cs="仿宋_GB2312"/>
          <w:color w:val="auto"/>
          <w:sz w:val="32"/>
          <w:szCs w:val="32"/>
          <w:highlight w:val="none"/>
          <w:u w:val="none"/>
        </w:rPr>
        <w:t>的60%；供应商在完成</w:t>
      </w:r>
      <w:r>
        <w:rPr>
          <w:rFonts w:hint="eastAsia" w:ascii="仿宋_GB2312" w:hAnsi="仿宋_GB2312" w:eastAsia="仿宋_GB2312" w:cs="仿宋_GB2312"/>
          <w:color w:val="auto"/>
          <w:sz w:val="32"/>
          <w:szCs w:val="32"/>
          <w:highlight w:val="none"/>
          <w:u w:val="none"/>
          <w:lang w:eastAsia="zh-CN"/>
        </w:rPr>
        <w:t>项目</w:t>
      </w:r>
      <w:r>
        <w:rPr>
          <w:rFonts w:hint="eastAsia" w:ascii="仿宋_GB2312" w:hAnsi="仿宋_GB2312" w:eastAsia="仿宋_GB2312" w:cs="仿宋_GB2312"/>
          <w:color w:val="auto"/>
          <w:sz w:val="32"/>
          <w:szCs w:val="32"/>
          <w:highlight w:val="none"/>
          <w:u w:val="none"/>
        </w:rPr>
        <w:t>90%</w:t>
      </w:r>
      <w:r>
        <w:rPr>
          <w:rFonts w:hint="eastAsia" w:ascii="仿宋_GB2312" w:hAnsi="仿宋_GB2312" w:eastAsia="仿宋_GB2312" w:cs="仿宋_GB2312"/>
          <w:color w:val="auto"/>
          <w:sz w:val="32"/>
          <w:szCs w:val="32"/>
          <w:highlight w:val="none"/>
          <w:u w:val="none"/>
          <w:lang w:eastAsia="zh-CN"/>
        </w:rPr>
        <w:t>工作量</w:t>
      </w:r>
      <w:r>
        <w:rPr>
          <w:rFonts w:hint="eastAsia" w:ascii="仿宋_GB2312" w:hAnsi="仿宋_GB2312" w:eastAsia="仿宋_GB2312" w:cs="仿宋_GB2312"/>
          <w:color w:val="auto"/>
          <w:sz w:val="32"/>
          <w:szCs w:val="32"/>
          <w:highlight w:val="none"/>
          <w:u w:val="none"/>
        </w:rPr>
        <w:t>后</w:t>
      </w:r>
      <w:r>
        <w:rPr>
          <w:rFonts w:hint="eastAsia" w:ascii="仿宋_GB2312" w:hAnsi="仿宋_GB2312" w:eastAsia="仿宋_GB2312" w:cs="仿宋_GB2312"/>
          <w:color w:val="auto"/>
          <w:sz w:val="32"/>
          <w:szCs w:val="32"/>
          <w:highlight w:val="none"/>
          <w:u w:val="none"/>
          <w:lang w:eastAsia="zh-CN"/>
        </w:rPr>
        <w:t>，采购方经确认后向供应商</w:t>
      </w:r>
      <w:r>
        <w:rPr>
          <w:rFonts w:hint="eastAsia" w:ascii="仿宋_GB2312" w:hAnsi="仿宋_GB2312" w:eastAsia="仿宋_GB2312" w:cs="仿宋_GB2312"/>
          <w:color w:val="auto"/>
          <w:sz w:val="32"/>
          <w:szCs w:val="32"/>
          <w:highlight w:val="none"/>
          <w:u w:val="none"/>
        </w:rPr>
        <w:t>支付</w:t>
      </w:r>
      <w:r>
        <w:rPr>
          <w:rFonts w:hint="eastAsia" w:ascii="仿宋_GB2312" w:hAnsi="仿宋_GB2312" w:eastAsia="仿宋_GB2312" w:cs="仿宋_GB2312"/>
          <w:color w:val="auto"/>
          <w:sz w:val="32"/>
          <w:szCs w:val="32"/>
          <w:highlight w:val="none"/>
          <w:u w:val="none"/>
          <w:lang w:eastAsia="zh-CN"/>
        </w:rPr>
        <w:t>第二期款项，即合同总价</w:t>
      </w:r>
      <w:r>
        <w:rPr>
          <w:rFonts w:hint="eastAsia" w:ascii="仿宋_GB2312" w:hAnsi="仿宋_GB2312" w:eastAsia="仿宋_GB2312" w:cs="仿宋_GB2312"/>
          <w:color w:val="auto"/>
          <w:sz w:val="32"/>
          <w:szCs w:val="32"/>
          <w:highlight w:val="none"/>
          <w:u w:val="none"/>
        </w:rPr>
        <w:t>的</w:t>
      </w:r>
      <w:r>
        <w:rPr>
          <w:rFonts w:hint="eastAsia" w:ascii="仿宋_GB2312" w:hAnsi="仿宋_GB2312" w:eastAsia="仿宋_GB2312" w:cs="仿宋_GB2312"/>
          <w:color w:val="auto"/>
          <w:sz w:val="32"/>
          <w:szCs w:val="32"/>
          <w:highlight w:val="none"/>
          <w:u w:val="none"/>
          <w:lang w:eastAsia="zh-CN"/>
        </w:rPr>
        <w:t>3</w:t>
      </w:r>
      <w:r>
        <w:rPr>
          <w:rFonts w:hint="eastAsia" w:ascii="仿宋_GB2312" w:hAnsi="仿宋_GB2312" w:eastAsia="仿宋_GB2312" w:cs="仿宋_GB2312"/>
          <w:color w:val="auto"/>
          <w:sz w:val="32"/>
          <w:szCs w:val="32"/>
          <w:highlight w:val="none"/>
          <w:u w:val="none"/>
        </w:rPr>
        <w:t>0%；待项目完成经采购方验收合格</w:t>
      </w:r>
      <w:r>
        <w:rPr>
          <w:rFonts w:hint="eastAsia" w:ascii="仿宋_GB2312" w:hAnsi="仿宋_GB2312" w:eastAsia="仿宋_GB2312" w:cs="仿宋_GB2312"/>
          <w:color w:val="auto"/>
          <w:sz w:val="32"/>
          <w:szCs w:val="32"/>
          <w:highlight w:val="none"/>
          <w:u w:val="none"/>
          <w:lang w:eastAsia="zh-CN"/>
        </w:rPr>
        <w:t>并复核最终档案整理份数</w:t>
      </w:r>
      <w:r>
        <w:rPr>
          <w:rFonts w:hint="eastAsia" w:ascii="仿宋_GB2312" w:hAnsi="仿宋_GB2312" w:eastAsia="仿宋_GB2312" w:cs="仿宋_GB2312"/>
          <w:color w:val="auto"/>
          <w:sz w:val="32"/>
          <w:szCs w:val="32"/>
          <w:highlight w:val="none"/>
          <w:u w:val="none"/>
        </w:rPr>
        <w:t>后</w:t>
      </w:r>
      <w:r>
        <w:rPr>
          <w:rFonts w:hint="eastAsia" w:ascii="仿宋_GB2312" w:hAnsi="仿宋_GB2312" w:eastAsia="仿宋_GB2312" w:cs="仿宋_GB2312"/>
          <w:color w:val="auto"/>
          <w:sz w:val="32"/>
          <w:szCs w:val="32"/>
          <w:highlight w:val="none"/>
          <w:u w:val="none"/>
          <w:lang w:eastAsia="zh-CN"/>
        </w:rPr>
        <w:t>，按实计算服务费用，扣除已支付金额后结算剩余费用，结算总费用不得超出合同总价</w:t>
      </w:r>
      <w:r>
        <w:rPr>
          <w:rFonts w:hint="eastAsia" w:ascii="仿宋_GB2312" w:hAnsi="仿宋_GB2312" w:eastAsia="仿宋_GB2312" w:cs="仿宋_GB2312"/>
          <w:color w:val="auto"/>
          <w:sz w:val="32"/>
          <w:szCs w:val="32"/>
          <w:highlight w:val="none"/>
          <w:u w:val="none"/>
        </w:rPr>
        <w:t>。</w:t>
      </w:r>
    </w:p>
    <w:p>
      <w:pPr>
        <w:pStyle w:val="3"/>
        <w:numPr>
          <w:ilvl w:val="0"/>
          <w:numId w:val="0"/>
        </w:numPr>
        <w:spacing w:before="0" w:beforeAutospacing="0" w:after="0" w:afterAutospacing="0" w:line="500" w:lineRule="exact"/>
        <w:ind w:firstLine="640" w:firstLineChars="200"/>
        <w:rPr>
          <w:rFonts w:hint="default"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eastAsia="zh-CN"/>
        </w:rPr>
        <w:t>（三）</w:t>
      </w:r>
      <w:r>
        <w:rPr>
          <w:rFonts w:hint="eastAsia" w:ascii="仿宋_GB2312" w:hAnsi="仿宋_GB2312" w:eastAsia="仿宋_GB2312" w:cs="仿宋_GB2312"/>
          <w:color w:val="auto"/>
          <w:sz w:val="32"/>
          <w:szCs w:val="32"/>
          <w:highlight w:val="none"/>
          <w:u w:val="none"/>
        </w:rPr>
        <w:t>供应商向采购</w:t>
      </w:r>
      <w:r>
        <w:rPr>
          <w:rFonts w:hint="eastAsia" w:ascii="仿宋_GB2312" w:hAnsi="仿宋_GB2312" w:eastAsia="仿宋_GB2312" w:cs="仿宋_GB2312"/>
          <w:color w:val="auto"/>
          <w:sz w:val="32"/>
          <w:szCs w:val="32"/>
          <w:highlight w:val="none"/>
          <w:u w:val="none"/>
          <w:lang w:eastAsia="zh-CN"/>
        </w:rPr>
        <w:t>方</w:t>
      </w:r>
      <w:r>
        <w:rPr>
          <w:rFonts w:hint="eastAsia" w:ascii="仿宋_GB2312" w:hAnsi="仿宋_GB2312" w:eastAsia="仿宋_GB2312" w:cs="仿宋_GB2312"/>
          <w:color w:val="auto"/>
          <w:sz w:val="32"/>
          <w:szCs w:val="32"/>
          <w:highlight w:val="none"/>
          <w:u w:val="none"/>
        </w:rPr>
        <w:t>申请付款时，需先提供相当于采购人付款金额的发票，且收款方、出具发票方、均必须与服务方合同名称一致，否则采购人有权拒绝付款</w:t>
      </w:r>
      <w:r>
        <w:rPr>
          <w:rFonts w:hint="eastAsia" w:ascii="仿宋_GB2312" w:hAnsi="仿宋_GB2312" w:eastAsia="仿宋_GB2312" w:cs="仿宋_GB2312"/>
          <w:color w:val="auto"/>
          <w:sz w:val="32"/>
          <w:szCs w:val="32"/>
          <w:highlight w:val="none"/>
          <w:u w:val="none"/>
          <w:lang w:val="en-US" w:eastAsia="zh-CN"/>
        </w:rPr>
        <w:t>。</w:t>
      </w:r>
    </w:p>
    <w:p>
      <w:pPr>
        <w:pStyle w:val="3"/>
        <w:numPr>
          <w:ilvl w:val="0"/>
          <w:numId w:val="0"/>
        </w:numPr>
        <w:spacing w:before="0" w:beforeAutospacing="0" w:after="0" w:afterAutospacing="0" w:line="500" w:lineRule="exact"/>
        <w:ind w:firstLine="640" w:firstLineChars="200"/>
        <w:rPr>
          <w:rFonts w:hint="eastAsia" w:ascii="黑体" w:hAnsi="黑体" w:eastAsia="黑体"/>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eastAsia="zh-CN"/>
        </w:rPr>
        <w:t>（四）</w:t>
      </w:r>
      <w:r>
        <w:rPr>
          <w:rFonts w:hint="eastAsia" w:ascii="仿宋_GB2312" w:hAnsi="仿宋_GB2312" w:eastAsia="仿宋_GB2312" w:cs="仿宋_GB2312"/>
          <w:color w:val="auto"/>
          <w:sz w:val="32"/>
          <w:szCs w:val="32"/>
          <w:highlight w:val="none"/>
          <w:u w:val="none"/>
        </w:rPr>
        <w:t>因采购</w:t>
      </w:r>
      <w:r>
        <w:rPr>
          <w:rFonts w:hint="eastAsia" w:ascii="仿宋_GB2312" w:hAnsi="仿宋_GB2312" w:eastAsia="仿宋_GB2312" w:cs="仿宋_GB2312"/>
          <w:color w:val="auto"/>
          <w:sz w:val="32"/>
          <w:szCs w:val="32"/>
          <w:highlight w:val="none"/>
          <w:u w:val="none"/>
          <w:lang w:eastAsia="zh-CN"/>
        </w:rPr>
        <w:t>方</w:t>
      </w:r>
      <w:r>
        <w:rPr>
          <w:rFonts w:hint="eastAsia" w:ascii="仿宋_GB2312" w:hAnsi="仿宋_GB2312" w:eastAsia="仿宋_GB2312" w:cs="仿宋_GB2312"/>
          <w:color w:val="auto"/>
          <w:sz w:val="32"/>
          <w:szCs w:val="32"/>
          <w:highlight w:val="none"/>
          <w:u w:val="none"/>
        </w:rPr>
        <w:t>使用的是财政资金，在前款规定的付款时间为采购人向政府采购支付部门提出办理财政支付申请手续的时间（不含政府财政支付部门审核的时间），在规定时间内提出支付申请手续后即视为采购人已经按期支付。</w:t>
      </w:r>
    </w:p>
    <w:p>
      <w:pPr>
        <w:pStyle w:val="3"/>
        <w:numPr>
          <w:ilvl w:val="0"/>
          <w:numId w:val="0"/>
        </w:numPr>
        <w:spacing w:before="0" w:beforeAutospacing="0" w:after="0" w:afterAutospacing="0" w:line="560" w:lineRule="exact"/>
        <w:ind w:firstLine="640" w:firstLineChars="200"/>
        <w:rPr>
          <w:rFonts w:hint="eastAsia" w:ascii="黑体" w:hAnsi="黑体" w:eastAsia="黑体"/>
          <w:color w:val="auto"/>
          <w:sz w:val="32"/>
          <w:szCs w:val="32"/>
          <w:highlight w:val="none"/>
          <w:u w:val="none"/>
          <w:lang w:val="en-US" w:eastAsia="zh-CN"/>
        </w:rPr>
      </w:pPr>
      <w:r>
        <w:rPr>
          <w:rFonts w:hint="eastAsia" w:ascii="黑体" w:hAnsi="黑体" w:eastAsia="黑体"/>
          <w:color w:val="auto"/>
          <w:sz w:val="32"/>
          <w:szCs w:val="32"/>
          <w:highlight w:val="none"/>
          <w:u w:val="none"/>
          <w:lang w:val="en-US" w:eastAsia="zh-CN"/>
        </w:rPr>
        <w:t>五、服务场地及设备</w:t>
      </w:r>
    </w:p>
    <w:p>
      <w:pPr>
        <w:keepNext w:val="0"/>
        <w:keepLines w:val="0"/>
        <w:pageBreakBefore w:val="0"/>
        <w:numPr>
          <w:ilvl w:val="0"/>
          <w:numId w:val="0"/>
        </w:numPr>
        <w:kinsoku/>
        <w:wordWrap/>
        <w:overflowPunct/>
        <w:topLinePunct w:val="0"/>
        <w:autoSpaceDE/>
        <w:autoSpaceDN/>
        <w:bidi w:val="0"/>
        <w:adjustRightInd/>
        <w:spacing w:line="500" w:lineRule="exact"/>
        <w:ind w:firstLine="640" w:firstLineChars="200"/>
        <w:textAlignment w:val="auto"/>
        <w:rPr>
          <w:rFonts w:hint="eastAsia" w:ascii="仿宋_GB2312" w:hAnsi="仿宋_GB2312" w:eastAsia="仿宋_GB2312" w:cs="仿宋_GB2312"/>
          <w:b w:val="0"/>
          <w:bCs w:val="0"/>
          <w:color w:val="auto"/>
          <w:kern w:val="2"/>
          <w:sz w:val="32"/>
          <w:szCs w:val="32"/>
          <w:highlight w:val="none"/>
          <w:u w:val="none"/>
          <w:lang w:val="en-US" w:eastAsia="zh-CN" w:bidi="ar-SA"/>
        </w:rPr>
      </w:pPr>
      <w:r>
        <w:rPr>
          <w:rFonts w:hint="eastAsia" w:ascii="仿宋_GB2312" w:hAnsi="仿宋_GB2312" w:eastAsia="仿宋_GB2312" w:cs="仿宋_GB2312"/>
          <w:b w:val="0"/>
          <w:bCs w:val="0"/>
          <w:color w:val="auto"/>
          <w:sz w:val="32"/>
          <w:szCs w:val="32"/>
          <w:highlight w:val="none"/>
          <w:u w:val="none"/>
          <w:lang w:eastAsia="zh-CN"/>
        </w:rPr>
        <w:t>（一）</w:t>
      </w:r>
      <w:r>
        <w:rPr>
          <w:rFonts w:hint="eastAsia" w:ascii="仿宋_GB2312" w:hAnsi="仿宋_GB2312" w:eastAsia="仿宋_GB2312" w:cs="仿宋_GB2312"/>
          <w:b w:val="0"/>
          <w:bCs w:val="0"/>
          <w:color w:val="auto"/>
          <w:sz w:val="32"/>
          <w:szCs w:val="32"/>
          <w:highlight w:val="none"/>
          <w:u w:val="none"/>
        </w:rPr>
        <w:t>本项目</w:t>
      </w:r>
      <w:r>
        <w:rPr>
          <w:rFonts w:hint="eastAsia" w:ascii="仿宋_GB2312" w:hAnsi="仿宋_GB2312" w:eastAsia="仿宋_GB2312" w:cs="仿宋_GB2312"/>
          <w:b w:val="0"/>
          <w:bCs w:val="0"/>
          <w:color w:val="auto"/>
          <w:sz w:val="32"/>
          <w:szCs w:val="32"/>
          <w:highlight w:val="none"/>
          <w:u w:val="none"/>
          <w:lang w:val="en-US" w:eastAsia="zh-CN"/>
        </w:rPr>
        <w:t>在采购方提供的场地内进行档案整理。</w:t>
      </w:r>
    </w:p>
    <w:p>
      <w:pPr>
        <w:numPr>
          <w:ilvl w:val="0"/>
          <w:numId w:val="0"/>
        </w:numPr>
        <w:spacing w:before="0" w:beforeAutospacing="0" w:after="0" w:afterAutospacing="0" w:line="500" w:lineRule="exact"/>
        <w:ind w:firstLine="640" w:firstLineChars="200"/>
        <w:rPr>
          <w:rFonts w:hint="eastAsia" w:ascii="仿宋_GB2312" w:eastAsia="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（二）采购方提供电脑设备；供应商自行提供完成本项目的工作设备、工具耗材，包括扫描仪、高拍仪、打印机、刻录盘片、档案装订耗材（卷内目录、备考表、A4 白衬纸、档案封面等）等全部工作用具。</w:t>
      </w:r>
    </w:p>
    <w:p>
      <w:pPr>
        <w:pStyle w:val="3"/>
        <w:numPr>
          <w:ilvl w:val="0"/>
          <w:numId w:val="0"/>
        </w:numPr>
        <w:spacing w:before="0" w:beforeAutospacing="0" w:after="0" w:afterAutospacing="0" w:line="560" w:lineRule="exact"/>
        <w:ind w:firstLine="640" w:firstLineChars="200"/>
        <w:rPr>
          <w:rFonts w:hint="eastAsia" w:ascii="黑体" w:hAnsi="黑体" w:eastAsia="黑体" w:cs="黑体"/>
          <w:b w:val="0"/>
          <w:bCs w:val="0"/>
          <w:color w:val="auto"/>
          <w:sz w:val="32"/>
          <w:szCs w:val="32"/>
          <w:u w:val="none"/>
        </w:rPr>
      </w:pPr>
      <w:r>
        <w:rPr>
          <w:rFonts w:hint="eastAsia" w:ascii="黑体" w:hAnsi="黑体" w:eastAsia="黑体" w:cs="黑体"/>
          <w:b w:val="0"/>
          <w:bCs w:val="0"/>
          <w:color w:val="auto"/>
          <w:sz w:val="32"/>
          <w:szCs w:val="32"/>
          <w:u w:val="none"/>
          <w:lang w:val="en-US" w:eastAsia="zh-CN"/>
        </w:rPr>
        <w:t>六、</w:t>
      </w:r>
      <w:r>
        <w:rPr>
          <w:rFonts w:hint="eastAsia" w:ascii="黑体" w:hAnsi="黑体" w:eastAsia="黑体" w:cs="黑体"/>
          <w:color w:val="auto"/>
          <w:kern w:val="2"/>
          <w:sz w:val="32"/>
          <w:szCs w:val="32"/>
          <w:u w:val="none"/>
        </w:rPr>
        <w:t>项目开展时间</w:t>
      </w:r>
      <w:r>
        <w:rPr>
          <w:rFonts w:hint="eastAsia" w:ascii="黑体" w:hAnsi="黑体" w:eastAsia="黑体" w:cs="黑体"/>
          <w:b w:val="0"/>
          <w:bCs w:val="0"/>
          <w:color w:val="auto"/>
          <w:kern w:val="2"/>
          <w:sz w:val="32"/>
          <w:szCs w:val="32"/>
          <w:u w:val="none"/>
          <w:lang w:val="en-US" w:eastAsia="zh-CN" w:bidi="ar-SA"/>
        </w:rPr>
        <w:t>及验收管理</w:t>
      </w:r>
    </w:p>
    <w:p>
      <w:pPr>
        <w:pStyle w:val="3"/>
        <w:keepNext w:val="0"/>
        <w:keepLines w:val="0"/>
        <w:pageBreakBefore w:val="0"/>
        <w:kinsoku/>
        <w:wordWrap/>
        <w:overflowPunct/>
        <w:topLinePunct w:val="0"/>
        <w:autoSpaceDE/>
        <w:autoSpaceDN/>
        <w:bidi w:val="0"/>
        <w:adjustRightInd/>
        <w:spacing w:before="0" w:beforeAutospacing="0" w:after="0" w:afterAutospacing="0" w:line="500" w:lineRule="exact"/>
        <w:ind w:firstLine="642" w:firstLineChars="200"/>
        <w:textAlignment w:val="auto"/>
        <w:rPr>
          <w:rFonts w:hint="eastAsia" w:ascii="仿宋_GB2312" w:hAnsi="仿宋_GB2312" w:eastAsia="仿宋_GB2312" w:cs="仿宋_GB2312"/>
          <w:b/>
          <w:bCs/>
          <w:color w:val="auto"/>
          <w:sz w:val="32"/>
          <w:szCs w:val="32"/>
          <w:u w:val="none"/>
        </w:rPr>
      </w:pPr>
      <w:r>
        <w:rPr>
          <w:rFonts w:hint="eastAsia" w:ascii="仿宋_GB2312" w:hAnsi="仿宋_GB2312" w:eastAsia="仿宋_GB2312" w:cs="仿宋_GB2312"/>
          <w:b/>
          <w:bCs/>
          <w:color w:val="auto"/>
          <w:sz w:val="32"/>
          <w:szCs w:val="32"/>
          <w:u w:val="none"/>
          <w:lang w:eastAsia="zh-CN"/>
        </w:rPr>
        <w:t>（一）项目</w:t>
      </w:r>
      <w:r>
        <w:rPr>
          <w:rFonts w:hint="eastAsia" w:ascii="仿宋_GB2312" w:hAnsi="仿宋_GB2312" w:eastAsia="仿宋_GB2312" w:cs="仿宋_GB2312"/>
          <w:b/>
          <w:bCs/>
          <w:color w:val="auto"/>
          <w:sz w:val="32"/>
          <w:szCs w:val="32"/>
          <w:u w:val="none"/>
        </w:rPr>
        <w:t>开展时间</w:t>
      </w:r>
    </w:p>
    <w:p>
      <w:pPr>
        <w:pStyle w:val="3"/>
        <w:keepNext w:val="0"/>
        <w:keepLines w:val="0"/>
        <w:pageBreakBefore w:val="0"/>
        <w:kinsoku/>
        <w:wordWrap/>
        <w:overflowPunct/>
        <w:topLinePunct w:val="0"/>
        <w:autoSpaceDE/>
        <w:autoSpaceDN/>
        <w:bidi w:val="0"/>
        <w:adjustRightInd/>
        <w:spacing w:before="0" w:beforeAutospacing="0" w:after="0" w:afterAutospacing="0" w:line="500" w:lineRule="exact"/>
        <w:ind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rPr>
        <w:t>自签订合同次日起</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包括当月在内的</w:t>
      </w:r>
      <w:r>
        <w:rPr>
          <w:rFonts w:hint="eastAsia" w:ascii="仿宋_GB2312" w:hAnsi="仿宋_GB2312" w:eastAsia="仿宋_GB2312" w:cs="仿宋_GB2312"/>
          <w:color w:val="auto"/>
          <w:sz w:val="32"/>
          <w:szCs w:val="32"/>
          <w:u w:val="none"/>
          <w:lang w:eastAsia="zh-CN"/>
        </w:rPr>
        <w:t>五</w:t>
      </w:r>
      <w:r>
        <w:rPr>
          <w:rFonts w:hint="eastAsia" w:ascii="仿宋_GB2312" w:hAnsi="仿宋_GB2312" w:eastAsia="仿宋_GB2312" w:cs="仿宋_GB2312"/>
          <w:color w:val="auto"/>
          <w:sz w:val="32"/>
          <w:szCs w:val="32"/>
          <w:u w:val="none"/>
        </w:rPr>
        <w:t>个自然月内完工全部项目，第</w:t>
      </w:r>
      <w:r>
        <w:rPr>
          <w:rFonts w:hint="eastAsia" w:ascii="仿宋_GB2312" w:hAnsi="仿宋_GB2312" w:eastAsia="仿宋_GB2312" w:cs="仿宋_GB2312"/>
          <w:color w:val="auto"/>
          <w:sz w:val="32"/>
          <w:szCs w:val="32"/>
          <w:u w:val="none"/>
          <w:lang w:eastAsia="zh-CN"/>
        </w:rPr>
        <w:t>六</w:t>
      </w:r>
      <w:r>
        <w:rPr>
          <w:rFonts w:hint="eastAsia" w:ascii="仿宋_GB2312" w:hAnsi="仿宋_GB2312" w:eastAsia="仿宋_GB2312" w:cs="仿宋_GB2312"/>
          <w:color w:val="auto"/>
          <w:sz w:val="32"/>
          <w:szCs w:val="32"/>
          <w:u w:val="none"/>
        </w:rPr>
        <w:t>个自然月为项目验收时间，供应商需要在</w:t>
      </w:r>
      <w:r>
        <w:rPr>
          <w:rFonts w:hint="eastAsia" w:ascii="仿宋_GB2312" w:hAnsi="仿宋_GB2312" w:eastAsia="仿宋_GB2312" w:cs="仿宋_GB2312"/>
          <w:color w:val="auto"/>
          <w:sz w:val="32"/>
          <w:szCs w:val="32"/>
          <w:u w:val="none"/>
          <w:lang w:val="en-US" w:eastAsia="zh-CN"/>
        </w:rPr>
        <w:t>此前</w:t>
      </w:r>
      <w:r>
        <w:rPr>
          <w:rFonts w:hint="eastAsia" w:ascii="仿宋_GB2312" w:hAnsi="仿宋_GB2312" w:eastAsia="仿宋_GB2312" w:cs="仿宋_GB2312"/>
          <w:color w:val="auto"/>
          <w:sz w:val="32"/>
          <w:szCs w:val="32"/>
          <w:u w:val="none"/>
        </w:rPr>
        <w:t>全部完成、验收合格并交付</w:t>
      </w:r>
      <w:r>
        <w:rPr>
          <w:rFonts w:hint="eastAsia" w:ascii="仿宋_GB2312" w:hAnsi="仿宋_GB2312" w:eastAsia="仿宋_GB2312" w:cs="仿宋_GB2312"/>
          <w:color w:val="auto"/>
          <w:sz w:val="32"/>
          <w:szCs w:val="32"/>
          <w:u w:val="none"/>
          <w:lang w:eastAsia="zh-CN"/>
        </w:rPr>
        <w:t>。</w:t>
      </w:r>
    </w:p>
    <w:p>
      <w:pPr>
        <w:pStyle w:val="3"/>
        <w:keepNext w:val="0"/>
        <w:keepLines w:val="0"/>
        <w:pageBreakBefore w:val="0"/>
        <w:numPr>
          <w:ilvl w:val="0"/>
          <w:numId w:val="3"/>
        </w:numPr>
        <w:kinsoku/>
        <w:wordWrap/>
        <w:overflowPunct/>
        <w:topLinePunct w:val="0"/>
        <w:autoSpaceDE/>
        <w:autoSpaceDN/>
        <w:bidi w:val="0"/>
        <w:adjustRightInd/>
        <w:spacing w:before="0" w:beforeAutospacing="0" w:after="0" w:afterAutospacing="0" w:line="500" w:lineRule="exact"/>
        <w:ind w:firstLine="642" w:firstLineChars="200"/>
        <w:textAlignment w:val="auto"/>
        <w:rPr>
          <w:rFonts w:hint="eastAsia" w:ascii="仿宋_GB2312" w:hAnsi="仿宋_GB2312" w:eastAsia="仿宋_GB2312" w:cs="仿宋_GB2312"/>
          <w:b/>
          <w:bCs/>
          <w:color w:val="auto"/>
          <w:sz w:val="32"/>
          <w:szCs w:val="32"/>
          <w:u w:val="none"/>
        </w:rPr>
      </w:pPr>
      <w:r>
        <w:rPr>
          <w:rFonts w:hint="eastAsia" w:ascii="仿宋_GB2312" w:hAnsi="仿宋_GB2312" w:eastAsia="仿宋_GB2312" w:cs="仿宋_GB2312"/>
          <w:b/>
          <w:bCs/>
          <w:color w:val="auto"/>
          <w:sz w:val="32"/>
          <w:szCs w:val="32"/>
          <w:u w:val="none"/>
        </w:rPr>
        <w:t>验收标准</w:t>
      </w:r>
    </w:p>
    <w:p>
      <w:pPr>
        <w:pStyle w:val="3"/>
        <w:keepNext w:val="0"/>
        <w:keepLines w:val="0"/>
        <w:pageBreakBefore w:val="0"/>
        <w:numPr>
          <w:ilvl w:val="0"/>
          <w:numId w:val="0"/>
        </w:numPr>
        <w:kinsoku/>
        <w:wordWrap/>
        <w:overflowPunct/>
        <w:topLinePunct w:val="0"/>
        <w:autoSpaceDE/>
        <w:autoSpaceDN/>
        <w:bidi w:val="0"/>
        <w:adjustRightInd/>
        <w:spacing w:before="0" w:beforeAutospacing="0" w:after="0" w:afterAutospacing="0" w:line="5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eastAsia="zh-CN"/>
        </w:rPr>
        <w:t>根据</w:t>
      </w:r>
      <w:r>
        <w:rPr>
          <w:rFonts w:hint="eastAsia" w:ascii="仿宋_GB2312" w:hAnsi="仿宋_GB2312" w:eastAsia="仿宋_GB2312" w:cs="仿宋_GB2312"/>
          <w:color w:val="auto"/>
          <w:sz w:val="32"/>
          <w:szCs w:val="32"/>
          <w:u w:val="none"/>
        </w:rPr>
        <w:t>住建部《住房保障档案管理办法》</w:t>
      </w:r>
      <w:r>
        <w:rPr>
          <w:rFonts w:hint="eastAsia" w:ascii="仿宋_GB2312" w:hAnsi="仿宋_GB2312" w:eastAsia="仿宋_GB2312" w:cs="仿宋_GB2312"/>
          <w:color w:val="auto"/>
          <w:sz w:val="32"/>
          <w:szCs w:val="32"/>
          <w:u w:val="none"/>
          <w:lang w:eastAsia="zh-CN"/>
        </w:rPr>
        <w:t>和档案局有关档案管理规定的验收标准，并</w:t>
      </w:r>
      <w:r>
        <w:rPr>
          <w:rFonts w:hint="eastAsia" w:ascii="仿宋_GB2312" w:hAnsi="仿宋_GB2312" w:eastAsia="仿宋_GB2312" w:cs="仿宋_GB2312"/>
          <w:color w:val="auto"/>
          <w:sz w:val="32"/>
          <w:szCs w:val="32"/>
          <w:u w:val="none"/>
        </w:rPr>
        <w:t>按</w:t>
      </w:r>
      <w:r>
        <w:rPr>
          <w:rFonts w:hint="eastAsia" w:ascii="仿宋_GB2312" w:hAnsi="仿宋_GB2312" w:eastAsia="仿宋_GB2312" w:cs="仿宋_GB2312"/>
          <w:color w:val="auto"/>
          <w:sz w:val="32"/>
          <w:szCs w:val="32"/>
          <w:u w:val="none"/>
          <w:lang w:eastAsia="zh-CN"/>
        </w:rPr>
        <w:t>完成总体</w:t>
      </w:r>
      <w:r>
        <w:rPr>
          <w:rFonts w:hint="eastAsia" w:ascii="仿宋_GB2312" w:hAnsi="仿宋_GB2312" w:eastAsia="仿宋_GB2312" w:cs="仿宋_GB2312"/>
          <w:color w:val="auto"/>
          <w:sz w:val="32"/>
          <w:szCs w:val="32"/>
          <w:u w:val="none"/>
        </w:rPr>
        <w:t>项目进行</w:t>
      </w:r>
      <w:r>
        <w:rPr>
          <w:rFonts w:hint="eastAsia" w:ascii="仿宋_GB2312" w:hAnsi="仿宋_GB2312" w:eastAsia="仿宋_GB2312" w:cs="仿宋_GB2312"/>
          <w:color w:val="auto"/>
          <w:sz w:val="32"/>
          <w:szCs w:val="32"/>
          <w:u w:val="none"/>
          <w:lang w:eastAsia="zh-CN"/>
        </w:rPr>
        <w:t>检查</w:t>
      </w:r>
      <w:r>
        <w:rPr>
          <w:rFonts w:hint="eastAsia" w:ascii="仿宋_GB2312" w:hAnsi="仿宋_GB2312" w:eastAsia="仿宋_GB2312" w:cs="仿宋_GB2312"/>
          <w:color w:val="auto"/>
          <w:sz w:val="32"/>
          <w:szCs w:val="32"/>
          <w:u w:val="none"/>
        </w:rPr>
        <w:t>，合格率达100%</w:t>
      </w:r>
      <w:r>
        <w:rPr>
          <w:rFonts w:hint="eastAsia" w:ascii="仿宋_GB2312" w:hAnsi="仿宋_GB2312" w:eastAsia="仿宋_GB2312" w:cs="仿宋_GB2312"/>
          <w:color w:val="auto"/>
          <w:sz w:val="32"/>
          <w:szCs w:val="32"/>
          <w:u w:val="none"/>
          <w:lang w:eastAsia="zh-CN"/>
        </w:rPr>
        <w:t>进行</w:t>
      </w:r>
      <w:r>
        <w:rPr>
          <w:rFonts w:hint="eastAsia" w:ascii="仿宋_GB2312" w:hAnsi="仿宋_GB2312" w:eastAsia="仿宋_GB2312" w:cs="仿宋_GB2312"/>
          <w:color w:val="auto"/>
          <w:sz w:val="32"/>
          <w:szCs w:val="32"/>
          <w:u w:val="none"/>
        </w:rPr>
        <w:t>验收。如发现存在不合格的，供应商需对存在问题进行整改，待整改完成后才能通过验收。</w:t>
      </w:r>
    </w:p>
    <w:p>
      <w:pPr>
        <w:pStyle w:val="3"/>
        <w:keepNext w:val="0"/>
        <w:keepLines w:val="0"/>
        <w:pageBreakBefore w:val="0"/>
        <w:numPr>
          <w:ilvl w:val="0"/>
          <w:numId w:val="3"/>
        </w:numPr>
        <w:kinsoku/>
        <w:wordWrap/>
        <w:overflowPunct/>
        <w:topLinePunct w:val="0"/>
        <w:autoSpaceDE/>
        <w:autoSpaceDN/>
        <w:bidi w:val="0"/>
        <w:adjustRightInd/>
        <w:spacing w:before="0" w:beforeAutospacing="0" w:after="0" w:afterAutospacing="0" w:line="500" w:lineRule="exact"/>
        <w:ind w:left="0" w:leftChars="0" w:firstLine="642" w:firstLineChars="200"/>
        <w:textAlignment w:val="auto"/>
        <w:rPr>
          <w:rFonts w:hint="eastAsia" w:ascii="仿宋_GB2312" w:hAnsi="仿宋_GB2312" w:eastAsia="仿宋_GB2312" w:cs="仿宋_GB2312"/>
          <w:b/>
          <w:bCs/>
          <w:color w:val="auto"/>
          <w:sz w:val="32"/>
          <w:szCs w:val="32"/>
          <w:u w:val="none"/>
          <w:lang w:eastAsia="zh-CN"/>
        </w:rPr>
      </w:pPr>
      <w:r>
        <w:rPr>
          <w:rFonts w:hint="eastAsia" w:ascii="仿宋_GB2312" w:hAnsi="仿宋_GB2312" w:eastAsia="仿宋_GB2312" w:cs="仿宋_GB2312"/>
          <w:b/>
          <w:bCs/>
          <w:color w:val="auto"/>
          <w:sz w:val="32"/>
          <w:szCs w:val="32"/>
          <w:u w:val="none"/>
          <w:lang w:eastAsia="zh-CN"/>
        </w:rPr>
        <w:t>监督管理</w:t>
      </w:r>
    </w:p>
    <w:p>
      <w:pPr>
        <w:pStyle w:val="3"/>
        <w:keepNext w:val="0"/>
        <w:keepLines w:val="0"/>
        <w:pageBreakBefore w:val="0"/>
        <w:numPr>
          <w:ilvl w:val="0"/>
          <w:numId w:val="0"/>
        </w:numPr>
        <w:kinsoku/>
        <w:wordWrap/>
        <w:overflowPunct/>
        <w:topLinePunct w:val="0"/>
        <w:autoSpaceDE/>
        <w:autoSpaceDN/>
        <w:bidi w:val="0"/>
        <w:adjustRightInd/>
        <w:spacing w:before="0" w:beforeAutospacing="0" w:after="0" w:afterAutospacing="0" w:line="500" w:lineRule="exact"/>
        <w:ind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由供应商在档案扫描加工过程中随时进行内部验收，对于已加工的档案，采购方也可以采取抽查和影像利用过程中发现质量或错误问题，及时回退给供应商进行更正或返工处理。</w:t>
      </w:r>
    </w:p>
    <w:p>
      <w:pPr>
        <w:pStyle w:val="3"/>
        <w:keepNext w:val="0"/>
        <w:keepLines w:val="0"/>
        <w:pageBreakBefore w:val="0"/>
        <w:kinsoku/>
        <w:wordWrap/>
        <w:overflowPunct/>
        <w:topLinePunct w:val="0"/>
        <w:autoSpaceDE/>
        <w:autoSpaceDN/>
        <w:bidi w:val="0"/>
        <w:adjustRightInd/>
        <w:spacing w:before="0" w:beforeAutospacing="0" w:after="0" w:afterAutospacing="0" w:line="500" w:lineRule="exact"/>
        <w:ind w:firstLine="640" w:firstLineChars="200"/>
        <w:textAlignment w:val="auto"/>
        <w:rPr>
          <w:rFonts w:hint="eastAsia" w:ascii="黑体" w:hAnsi="黑体" w:eastAsia="黑体" w:cs="黑体"/>
          <w:b w:val="0"/>
          <w:bCs w:val="0"/>
          <w:color w:val="auto"/>
          <w:sz w:val="32"/>
          <w:szCs w:val="32"/>
          <w:u w:val="none"/>
        </w:rPr>
      </w:pPr>
      <w:r>
        <w:rPr>
          <w:rFonts w:hint="eastAsia" w:ascii="黑体" w:hAnsi="黑体" w:eastAsia="黑体" w:cs="黑体"/>
          <w:b w:val="0"/>
          <w:bCs w:val="0"/>
          <w:color w:val="auto"/>
          <w:sz w:val="32"/>
          <w:szCs w:val="32"/>
          <w:u w:val="none"/>
          <w:lang w:eastAsia="zh-CN"/>
        </w:rPr>
        <w:t>七</w:t>
      </w:r>
      <w:r>
        <w:rPr>
          <w:rFonts w:hint="eastAsia" w:ascii="黑体" w:hAnsi="黑体" w:eastAsia="黑体" w:cs="黑体"/>
          <w:b w:val="0"/>
          <w:bCs w:val="0"/>
          <w:color w:val="auto"/>
          <w:sz w:val="32"/>
          <w:szCs w:val="32"/>
          <w:u w:val="none"/>
        </w:rPr>
        <w:t>、保密条款</w:t>
      </w:r>
    </w:p>
    <w:p>
      <w:pPr>
        <w:pStyle w:val="3"/>
        <w:keepNext w:val="0"/>
        <w:keepLines w:val="0"/>
        <w:pageBreakBefore w:val="0"/>
        <w:kinsoku/>
        <w:wordWrap/>
        <w:overflowPunct/>
        <w:topLinePunct w:val="0"/>
        <w:autoSpaceDE/>
        <w:autoSpaceDN/>
        <w:bidi w:val="0"/>
        <w:adjustRightInd/>
        <w:spacing w:before="0" w:beforeAutospacing="0" w:after="0" w:afterAutospacing="0" w:line="500" w:lineRule="exact"/>
        <w:ind w:firstLine="640" w:firstLineChars="200"/>
        <w:textAlignment w:val="auto"/>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rPr>
        <w:t>双方确定因履行本合同应遵守的保密义务如下：</w:t>
      </w:r>
    </w:p>
    <w:p>
      <w:pPr>
        <w:pStyle w:val="3"/>
        <w:keepNext w:val="0"/>
        <w:keepLines w:val="0"/>
        <w:pageBreakBefore w:val="0"/>
        <w:kinsoku/>
        <w:wordWrap/>
        <w:overflowPunct/>
        <w:topLinePunct w:val="0"/>
        <w:autoSpaceDE/>
        <w:autoSpaceDN/>
        <w:bidi w:val="0"/>
        <w:adjustRightInd/>
        <w:spacing w:before="0" w:beforeAutospacing="0" w:after="0" w:afterAutospacing="0" w:line="500" w:lineRule="exact"/>
        <w:ind w:firstLine="640" w:firstLineChars="200"/>
        <w:textAlignment w:val="auto"/>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lang w:eastAsia="zh-CN"/>
        </w:rPr>
        <w:t>（一）</w:t>
      </w:r>
      <w:r>
        <w:rPr>
          <w:rFonts w:hint="eastAsia" w:ascii="仿宋_GB2312" w:hAnsi="仿宋_GB2312" w:eastAsia="仿宋_GB2312" w:cs="仿宋_GB2312"/>
          <w:b w:val="0"/>
          <w:bCs w:val="0"/>
          <w:color w:val="auto"/>
          <w:sz w:val="32"/>
          <w:szCs w:val="32"/>
          <w:u w:val="none"/>
        </w:rPr>
        <w:t>保密内容（包括技术信息和管理信息）：与该项目有关的一切合同、资料、情报等（供应方因申报各类国家资质证书所需提交的资料除外，但必须经过采购方书面同意方可提供）。</w:t>
      </w:r>
    </w:p>
    <w:p>
      <w:pPr>
        <w:pStyle w:val="3"/>
        <w:keepNext w:val="0"/>
        <w:keepLines w:val="0"/>
        <w:pageBreakBefore w:val="0"/>
        <w:kinsoku/>
        <w:wordWrap/>
        <w:overflowPunct/>
        <w:topLinePunct w:val="0"/>
        <w:autoSpaceDE/>
        <w:autoSpaceDN/>
        <w:bidi w:val="0"/>
        <w:adjustRightInd/>
        <w:spacing w:before="0" w:beforeAutospacing="0" w:after="0" w:afterAutospacing="0" w:line="500" w:lineRule="exact"/>
        <w:ind w:firstLine="640" w:firstLineChars="200"/>
        <w:textAlignment w:val="auto"/>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lang w:eastAsia="zh-CN"/>
        </w:rPr>
        <w:t>（二）</w:t>
      </w:r>
      <w:r>
        <w:rPr>
          <w:rFonts w:hint="eastAsia" w:ascii="仿宋_GB2312" w:hAnsi="仿宋_GB2312" w:eastAsia="仿宋_GB2312" w:cs="仿宋_GB2312"/>
          <w:b w:val="0"/>
          <w:bCs w:val="0"/>
          <w:color w:val="auto"/>
          <w:sz w:val="32"/>
          <w:szCs w:val="32"/>
          <w:u w:val="none"/>
        </w:rPr>
        <w:t>涉密人员范围：涉及该项目的一切人员。</w:t>
      </w:r>
    </w:p>
    <w:p>
      <w:pPr>
        <w:pStyle w:val="3"/>
        <w:keepNext w:val="0"/>
        <w:keepLines w:val="0"/>
        <w:pageBreakBefore w:val="0"/>
        <w:kinsoku/>
        <w:wordWrap/>
        <w:overflowPunct/>
        <w:topLinePunct w:val="0"/>
        <w:autoSpaceDE/>
        <w:autoSpaceDN/>
        <w:bidi w:val="0"/>
        <w:adjustRightInd/>
        <w:spacing w:before="0" w:beforeAutospacing="0" w:after="0" w:afterAutospacing="0" w:line="500" w:lineRule="exact"/>
        <w:ind w:firstLine="640" w:firstLineChars="200"/>
        <w:textAlignment w:val="auto"/>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lang w:eastAsia="zh-CN"/>
        </w:rPr>
        <w:t>（三）</w:t>
      </w:r>
      <w:r>
        <w:rPr>
          <w:rFonts w:hint="eastAsia" w:ascii="仿宋_GB2312" w:hAnsi="仿宋_GB2312" w:eastAsia="仿宋_GB2312" w:cs="仿宋_GB2312"/>
          <w:b w:val="0"/>
          <w:bCs w:val="0"/>
          <w:color w:val="auto"/>
          <w:sz w:val="32"/>
          <w:szCs w:val="32"/>
          <w:u w:val="none"/>
        </w:rPr>
        <w:t>保密期限：永久。</w:t>
      </w:r>
    </w:p>
    <w:p>
      <w:pPr>
        <w:pStyle w:val="3"/>
        <w:keepNext w:val="0"/>
        <w:keepLines w:val="0"/>
        <w:pageBreakBefore w:val="0"/>
        <w:kinsoku/>
        <w:wordWrap/>
        <w:overflowPunct/>
        <w:topLinePunct w:val="0"/>
        <w:autoSpaceDE/>
        <w:autoSpaceDN/>
        <w:bidi w:val="0"/>
        <w:adjustRightInd/>
        <w:spacing w:before="0" w:beforeAutospacing="0" w:after="0" w:afterAutospacing="0" w:line="500" w:lineRule="exact"/>
        <w:ind w:firstLine="640" w:firstLineChars="200"/>
        <w:textAlignment w:val="auto"/>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u w:val="none"/>
          <w:lang w:eastAsia="zh-CN"/>
        </w:rPr>
        <w:t>（四）</w:t>
      </w:r>
      <w:r>
        <w:rPr>
          <w:rFonts w:hint="eastAsia" w:ascii="仿宋_GB2312" w:hAnsi="仿宋_GB2312" w:eastAsia="仿宋_GB2312" w:cs="仿宋_GB2312"/>
          <w:b w:val="0"/>
          <w:bCs w:val="0"/>
          <w:color w:val="auto"/>
          <w:sz w:val="32"/>
          <w:szCs w:val="32"/>
          <w:u w:val="none"/>
        </w:rPr>
        <w:t>泄密责任：</w:t>
      </w:r>
      <w:r>
        <w:rPr>
          <w:rFonts w:hint="eastAsia" w:ascii="仿宋_GB2312" w:hAnsi="仿宋_GB2312" w:eastAsia="仿宋_GB2312" w:cs="仿宋_GB2312"/>
          <w:color w:val="auto"/>
          <w:sz w:val="32"/>
          <w:szCs w:val="32"/>
          <w:u w:val="none"/>
        </w:rPr>
        <w:t>供应商</w:t>
      </w:r>
      <w:r>
        <w:rPr>
          <w:rFonts w:hint="eastAsia" w:ascii="仿宋_GB2312" w:hAnsi="仿宋_GB2312" w:eastAsia="仿宋_GB2312" w:cs="仿宋_GB2312"/>
          <w:b w:val="0"/>
          <w:bCs w:val="0"/>
          <w:color w:val="auto"/>
          <w:sz w:val="32"/>
          <w:szCs w:val="32"/>
          <w:u w:val="none"/>
        </w:rPr>
        <w:t>承担本项目技术情报和资料的保密义务</w:t>
      </w:r>
      <w:r>
        <w:rPr>
          <w:rFonts w:hint="eastAsia" w:ascii="仿宋_GB2312" w:hAnsi="仿宋_GB2312" w:eastAsia="仿宋_GB2312" w:cs="仿宋_GB2312"/>
          <w:b w:val="0"/>
          <w:bCs w:val="0"/>
          <w:color w:val="auto"/>
          <w:sz w:val="32"/>
          <w:szCs w:val="32"/>
          <w:highlight w:val="none"/>
          <w:u w:val="none"/>
        </w:rPr>
        <w:t>，不得向第三方传泄。不论本项目是否变更、解除或终止，本条款均有效。</w:t>
      </w:r>
      <w:r>
        <w:rPr>
          <w:rFonts w:hint="eastAsia" w:ascii="仿宋_GB2312" w:hAnsi="仿宋_GB2312" w:eastAsia="仿宋_GB2312" w:cs="仿宋_GB2312"/>
          <w:color w:val="auto"/>
          <w:sz w:val="32"/>
          <w:szCs w:val="32"/>
          <w:u w:val="none"/>
        </w:rPr>
        <w:t>供应商</w:t>
      </w:r>
      <w:r>
        <w:rPr>
          <w:rFonts w:hint="eastAsia" w:ascii="仿宋_GB2312" w:hAnsi="仿宋_GB2312" w:eastAsia="仿宋_GB2312" w:cs="仿宋_GB2312"/>
          <w:b w:val="0"/>
          <w:bCs w:val="0"/>
          <w:color w:val="auto"/>
          <w:sz w:val="32"/>
          <w:szCs w:val="32"/>
          <w:highlight w:val="none"/>
          <w:u w:val="none"/>
        </w:rPr>
        <w:t>违反</w:t>
      </w:r>
      <w:r>
        <w:rPr>
          <w:rFonts w:hint="eastAsia" w:ascii="仿宋_GB2312" w:hAnsi="仿宋_GB2312" w:eastAsia="仿宋_GB2312" w:cs="仿宋_GB2312"/>
          <w:b w:val="0"/>
          <w:bCs w:val="0"/>
          <w:color w:val="auto"/>
          <w:sz w:val="32"/>
          <w:szCs w:val="32"/>
          <w:highlight w:val="none"/>
          <w:u w:val="none"/>
          <w:lang w:eastAsia="zh-CN"/>
        </w:rPr>
        <w:t>的</w:t>
      </w:r>
      <w:r>
        <w:rPr>
          <w:rFonts w:hint="eastAsia" w:ascii="仿宋_GB2312" w:hAnsi="仿宋_GB2312" w:eastAsia="仿宋_GB2312" w:cs="仿宋_GB2312"/>
          <w:b w:val="0"/>
          <w:bCs w:val="0"/>
          <w:color w:val="auto"/>
          <w:sz w:val="32"/>
          <w:szCs w:val="32"/>
          <w:highlight w:val="none"/>
          <w:u w:val="none"/>
        </w:rPr>
        <w:t>，</w:t>
      </w:r>
      <w:r>
        <w:rPr>
          <w:rFonts w:hint="eastAsia" w:ascii="仿宋_GB2312" w:hAnsi="仿宋_GB2312" w:eastAsia="仿宋_GB2312" w:cs="仿宋_GB2312"/>
          <w:color w:val="auto"/>
          <w:sz w:val="32"/>
          <w:szCs w:val="32"/>
          <w:u w:val="none"/>
        </w:rPr>
        <w:t>采购方有权向供应商收取项目总价款5%的违约金。</w:t>
      </w:r>
    </w:p>
    <w:p>
      <w:pPr>
        <w:pStyle w:val="3"/>
        <w:keepNext w:val="0"/>
        <w:keepLines w:val="0"/>
        <w:pageBreakBefore w:val="0"/>
        <w:kinsoku/>
        <w:wordWrap/>
        <w:overflowPunct/>
        <w:topLinePunct w:val="0"/>
        <w:autoSpaceDE/>
        <w:autoSpaceDN/>
        <w:bidi w:val="0"/>
        <w:adjustRightInd/>
        <w:spacing w:before="0" w:beforeAutospacing="0" w:after="0" w:afterAutospacing="0" w:line="500" w:lineRule="exact"/>
        <w:ind w:firstLine="640" w:firstLineChars="200"/>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b w:val="0"/>
          <w:bCs w:val="0"/>
          <w:color w:val="auto"/>
          <w:sz w:val="32"/>
          <w:szCs w:val="32"/>
          <w:highlight w:val="none"/>
          <w:u w:val="none"/>
          <w:lang w:eastAsia="zh-CN"/>
        </w:rPr>
        <w:t>（五）双方必须履行《江门市住</w:t>
      </w:r>
      <w:r>
        <w:rPr>
          <w:rFonts w:hint="eastAsia" w:ascii="仿宋_GB2312" w:hAnsi="仿宋_GB2312" w:eastAsia="仿宋_GB2312" w:cs="仿宋_GB2312"/>
          <w:color w:val="auto"/>
          <w:sz w:val="32"/>
          <w:szCs w:val="32"/>
          <w:highlight w:val="none"/>
          <w:u w:val="none"/>
          <w:lang w:eastAsia="zh-CN"/>
        </w:rPr>
        <w:t>房和城乡建设局档案数字化加工安全管理制度》，</w:t>
      </w:r>
      <w:r>
        <w:rPr>
          <w:rFonts w:hint="eastAsia" w:ascii="仿宋_GB2312" w:hAnsi="仿宋_GB2312" w:eastAsia="仿宋_GB2312" w:cs="仿宋_GB2312"/>
          <w:color w:val="auto"/>
          <w:sz w:val="32"/>
          <w:szCs w:val="32"/>
          <w:highlight w:val="none"/>
          <w:u w:val="none"/>
        </w:rPr>
        <w:t>供应商对整理的资料保密，未经采购方书面同意，不得用作其他用途。</w:t>
      </w:r>
    </w:p>
    <w:p>
      <w:pPr>
        <w:pStyle w:val="3"/>
        <w:keepNext w:val="0"/>
        <w:keepLines w:val="0"/>
        <w:pageBreakBefore w:val="0"/>
        <w:kinsoku/>
        <w:wordWrap/>
        <w:overflowPunct/>
        <w:topLinePunct w:val="0"/>
        <w:autoSpaceDE/>
        <w:autoSpaceDN/>
        <w:bidi w:val="0"/>
        <w:adjustRightInd/>
        <w:spacing w:before="0" w:beforeAutospacing="0" w:after="0" w:afterAutospacing="0" w:line="500" w:lineRule="exact"/>
        <w:ind w:firstLine="640" w:firstLineChars="200"/>
        <w:textAlignment w:val="auto"/>
        <w:rPr>
          <w:rFonts w:hint="eastAsia" w:ascii="黑体" w:hAnsi="黑体" w:eastAsia="黑体" w:cs="黑体"/>
          <w:b w:val="0"/>
          <w:bCs w:val="0"/>
          <w:color w:val="auto"/>
          <w:sz w:val="32"/>
          <w:szCs w:val="32"/>
          <w:highlight w:val="none"/>
          <w:u w:val="none"/>
        </w:rPr>
      </w:pPr>
      <w:r>
        <w:rPr>
          <w:rFonts w:hint="eastAsia" w:ascii="黑体" w:hAnsi="黑体" w:eastAsia="黑体" w:cs="黑体"/>
          <w:b w:val="0"/>
          <w:bCs w:val="0"/>
          <w:color w:val="auto"/>
          <w:sz w:val="32"/>
          <w:szCs w:val="32"/>
          <w:highlight w:val="none"/>
          <w:u w:val="none"/>
          <w:lang w:eastAsia="zh-CN"/>
        </w:rPr>
        <w:t>八</w:t>
      </w:r>
      <w:r>
        <w:rPr>
          <w:rFonts w:hint="eastAsia" w:ascii="黑体" w:hAnsi="黑体" w:eastAsia="黑体" w:cs="黑体"/>
          <w:b w:val="0"/>
          <w:bCs w:val="0"/>
          <w:color w:val="auto"/>
          <w:sz w:val="32"/>
          <w:szCs w:val="32"/>
          <w:highlight w:val="none"/>
          <w:u w:val="none"/>
        </w:rPr>
        <w:t>、违约责任</w:t>
      </w:r>
    </w:p>
    <w:p>
      <w:pPr>
        <w:pStyle w:val="3"/>
        <w:keepNext w:val="0"/>
        <w:keepLines w:val="0"/>
        <w:pageBreakBefore w:val="0"/>
        <w:kinsoku/>
        <w:wordWrap/>
        <w:overflowPunct/>
        <w:topLinePunct w:val="0"/>
        <w:autoSpaceDE/>
        <w:autoSpaceDN/>
        <w:bidi w:val="0"/>
        <w:adjustRightInd/>
        <w:spacing w:before="0" w:beforeAutospacing="0" w:after="0" w:afterAutospacing="0" w:line="5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供应商存在以下违约行为的，采购方有权向供应商收取项目总价款5%的违约金。</w:t>
      </w:r>
      <w:r>
        <w:rPr>
          <w:rFonts w:hint="eastAsia" w:ascii="仿宋_GB2312" w:hAnsi="仿宋_GB2312" w:eastAsia="仿宋_GB2312" w:cs="仿宋_GB2312"/>
          <w:color w:val="auto"/>
          <w:sz w:val="32"/>
          <w:szCs w:val="32"/>
          <w:u w:val="none"/>
          <w:lang w:eastAsia="zh-CN"/>
        </w:rPr>
        <w:t>情节严重的，</w:t>
      </w:r>
      <w:r>
        <w:rPr>
          <w:rFonts w:hint="eastAsia" w:ascii="仿宋_GB2312" w:hAnsi="仿宋_GB2312" w:eastAsia="仿宋_GB2312" w:cs="仿宋_GB2312"/>
          <w:color w:val="auto"/>
          <w:sz w:val="32"/>
          <w:szCs w:val="32"/>
          <w:u w:val="none"/>
        </w:rPr>
        <w:t>采购方则有权单方随时终止合同，且供应商应当赔付采购方全部项目支付资金：</w:t>
      </w:r>
    </w:p>
    <w:p>
      <w:pPr>
        <w:pStyle w:val="3"/>
        <w:keepNext w:val="0"/>
        <w:keepLines w:val="0"/>
        <w:pageBreakBefore w:val="0"/>
        <w:kinsoku/>
        <w:wordWrap/>
        <w:overflowPunct/>
        <w:topLinePunct w:val="0"/>
        <w:autoSpaceDE/>
        <w:autoSpaceDN/>
        <w:bidi w:val="0"/>
        <w:adjustRightInd/>
        <w:spacing w:before="0" w:beforeAutospacing="0" w:after="0" w:afterAutospacing="0" w:line="5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eastAsia="zh-CN"/>
        </w:rPr>
        <w:t>（一）</w:t>
      </w:r>
      <w:r>
        <w:rPr>
          <w:rFonts w:hint="eastAsia" w:ascii="仿宋_GB2312" w:hAnsi="仿宋_GB2312" w:eastAsia="仿宋_GB2312" w:cs="仿宋_GB2312"/>
          <w:color w:val="auto"/>
          <w:sz w:val="32"/>
          <w:szCs w:val="32"/>
          <w:u w:val="none"/>
        </w:rPr>
        <w:t>不接受采购方的监管；</w:t>
      </w:r>
    </w:p>
    <w:p>
      <w:pPr>
        <w:pStyle w:val="3"/>
        <w:keepNext w:val="0"/>
        <w:keepLines w:val="0"/>
        <w:pageBreakBefore w:val="0"/>
        <w:kinsoku/>
        <w:wordWrap/>
        <w:overflowPunct/>
        <w:topLinePunct w:val="0"/>
        <w:autoSpaceDE/>
        <w:autoSpaceDN/>
        <w:bidi w:val="0"/>
        <w:adjustRightInd/>
        <w:spacing w:before="0" w:beforeAutospacing="0" w:after="0" w:afterAutospacing="0" w:line="5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eastAsia="zh-CN"/>
        </w:rPr>
        <w:t>（二）</w:t>
      </w:r>
      <w:r>
        <w:rPr>
          <w:rFonts w:hint="eastAsia" w:ascii="仿宋_GB2312" w:hAnsi="仿宋_GB2312" w:eastAsia="仿宋_GB2312" w:cs="仿宋_GB2312"/>
          <w:color w:val="auto"/>
          <w:sz w:val="32"/>
          <w:szCs w:val="32"/>
          <w:u w:val="none"/>
        </w:rPr>
        <w:t>遇到问题不</w:t>
      </w:r>
      <w:r>
        <w:rPr>
          <w:rFonts w:hint="eastAsia" w:ascii="仿宋_GB2312" w:hAnsi="仿宋_GB2312" w:eastAsia="仿宋_GB2312" w:cs="仿宋_GB2312"/>
          <w:color w:val="auto"/>
          <w:sz w:val="32"/>
          <w:szCs w:val="32"/>
          <w:u w:val="none"/>
          <w:lang w:eastAsia="zh-CN"/>
        </w:rPr>
        <w:t>及时</w:t>
      </w:r>
      <w:r>
        <w:rPr>
          <w:rFonts w:hint="eastAsia" w:ascii="仿宋_GB2312" w:hAnsi="仿宋_GB2312" w:eastAsia="仿宋_GB2312" w:cs="仿宋_GB2312"/>
          <w:color w:val="auto"/>
          <w:sz w:val="32"/>
          <w:szCs w:val="32"/>
          <w:u w:val="none"/>
        </w:rPr>
        <w:t>向采购方汇报情况；</w:t>
      </w:r>
    </w:p>
    <w:p>
      <w:pPr>
        <w:pStyle w:val="3"/>
        <w:keepNext w:val="0"/>
        <w:keepLines w:val="0"/>
        <w:pageBreakBefore w:val="0"/>
        <w:kinsoku/>
        <w:wordWrap/>
        <w:overflowPunct/>
        <w:topLinePunct w:val="0"/>
        <w:autoSpaceDE/>
        <w:autoSpaceDN/>
        <w:bidi w:val="0"/>
        <w:adjustRightInd/>
        <w:spacing w:before="0" w:beforeAutospacing="0" w:after="0" w:afterAutospacing="0" w:line="5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eastAsia="zh-CN"/>
        </w:rPr>
        <w:t>（三）</w:t>
      </w:r>
      <w:r>
        <w:rPr>
          <w:rFonts w:hint="eastAsia" w:ascii="仿宋_GB2312" w:hAnsi="仿宋_GB2312" w:eastAsia="仿宋_GB2312" w:cs="仿宋_GB2312"/>
          <w:color w:val="auto"/>
          <w:sz w:val="32"/>
          <w:szCs w:val="32"/>
          <w:u w:val="none"/>
        </w:rPr>
        <w:t>资料审核质量不</w:t>
      </w:r>
      <w:r>
        <w:rPr>
          <w:rFonts w:hint="eastAsia" w:ascii="仿宋_GB2312" w:hAnsi="仿宋_GB2312" w:eastAsia="仿宋_GB2312" w:cs="仿宋_GB2312"/>
          <w:color w:val="auto"/>
          <w:sz w:val="32"/>
          <w:szCs w:val="32"/>
          <w:u w:val="none"/>
          <w:lang w:eastAsia="zh-CN"/>
        </w:rPr>
        <w:t>符合采购</w:t>
      </w:r>
      <w:r>
        <w:rPr>
          <w:rFonts w:hint="eastAsia" w:ascii="仿宋_GB2312" w:hAnsi="仿宋_GB2312" w:eastAsia="仿宋_GB2312" w:cs="仿宋_GB2312"/>
          <w:color w:val="auto"/>
          <w:sz w:val="32"/>
          <w:szCs w:val="32"/>
          <w:u w:val="none"/>
        </w:rPr>
        <w:t>方要求的；</w:t>
      </w:r>
    </w:p>
    <w:p>
      <w:pPr>
        <w:pStyle w:val="3"/>
        <w:keepNext w:val="0"/>
        <w:keepLines w:val="0"/>
        <w:pageBreakBefore w:val="0"/>
        <w:kinsoku/>
        <w:wordWrap/>
        <w:overflowPunct/>
        <w:topLinePunct w:val="0"/>
        <w:autoSpaceDE/>
        <w:autoSpaceDN/>
        <w:bidi w:val="0"/>
        <w:adjustRightInd/>
        <w:spacing w:before="0" w:beforeAutospacing="0" w:after="0" w:afterAutospacing="0" w:line="5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eastAsia="zh-CN"/>
        </w:rPr>
        <w:t>（四）</w:t>
      </w:r>
      <w:r>
        <w:rPr>
          <w:rFonts w:hint="eastAsia" w:ascii="仿宋_GB2312" w:hAnsi="仿宋_GB2312" w:eastAsia="仿宋_GB2312" w:cs="仿宋_GB2312"/>
          <w:color w:val="auto"/>
          <w:sz w:val="32"/>
          <w:szCs w:val="32"/>
          <w:u w:val="none"/>
        </w:rPr>
        <w:t>项目未按采购方约定进度要求完成，超出合同所</w:t>
      </w:r>
      <w:r>
        <w:rPr>
          <w:rFonts w:hint="eastAsia" w:ascii="仿宋_GB2312" w:hAnsi="仿宋_GB2312" w:eastAsia="仿宋_GB2312" w:cs="仿宋_GB2312"/>
          <w:color w:val="auto"/>
          <w:sz w:val="32"/>
          <w:szCs w:val="32"/>
          <w:u w:val="none"/>
          <w:lang w:eastAsia="zh-CN"/>
        </w:rPr>
        <w:t>约定完工日期前</w:t>
      </w:r>
      <w:r>
        <w:rPr>
          <w:rFonts w:hint="eastAsia" w:ascii="仿宋_GB2312" w:hAnsi="仿宋_GB2312" w:eastAsia="仿宋_GB2312" w:cs="仿宋_GB2312"/>
          <w:color w:val="auto"/>
          <w:sz w:val="32"/>
          <w:szCs w:val="32"/>
          <w:u w:val="none"/>
        </w:rPr>
        <w:t>完工或在</w:t>
      </w:r>
      <w:r>
        <w:rPr>
          <w:rFonts w:hint="eastAsia" w:ascii="仿宋_GB2312" w:hAnsi="仿宋_GB2312" w:eastAsia="仿宋_GB2312" w:cs="仿宋_GB2312"/>
          <w:color w:val="auto"/>
          <w:sz w:val="32"/>
          <w:szCs w:val="32"/>
          <w:u w:val="none"/>
          <w:lang w:eastAsia="zh-CN"/>
        </w:rPr>
        <w:t>验收日期</w:t>
      </w:r>
      <w:r>
        <w:rPr>
          <w:rFonts w:hint="eastAsia" w:ascii="仿宋_GB2312" w:hAnsi="仿宋_GB2312" w:eastAsia="仿宋_GB2312" w:cs="仿宋_GB2312"/>
          <w:color w:val="auto"/>
          <w:sz w:val="32"/>
          <w:szCs w:val="32"/>
          <w:u w:val="none"/>
        </w:rPr>
        <w:t>前未能全部完成、验收合格并交付的；</w:t>
      </w:r>
    </w:p>
    <w:p>
      <w:pPr>
        <w:pStyle w:val="3"/>
        <w:keepNext w:val="0"/>
        <w:keepLines w:val="0"/>
        <w:pageBreakBefore w:val="0"/>
        <w:kinsoku/>
        <w:wordWrap/>
        <w:overflowPunct/>
        <w:topLinePunct w:val="0"/>
        <w:autoSpaceDE/>
        <w:autoSpaceDN/>
        <w:bidi w:val="0"/>
        <w:adjustRightInd/>
        <w:spacing w:before="0" w:beforeAutospacing="0" w:after="0" w:afterAutospacing="0" w:line="500" w:lineRule="exact"/>
        <w:ind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（五）</w:t>
      </w:r>
      <w:r>
        <w:rPr>
          <w:rFonts w:hint="eastAsia" w:ascii="仿宋_GB2312" w:hAnsi="仿宋_GB2312" w:eastAsia="仿宋_GB2312" w:cs="仿宋_GB2312"/>
          <w:color w:val="auto"/>
          <w:sz w:val="32"/>
          <w:szCs w:val="32"/>
          <w:u w:val="none"/>
        </w:rPr>
        <w:t>供应商未按双方签订的采购合同约定条款执行情况。</w:t>
      </w:r>
    </w:p>
    <w:p>
      <w:pPr>
        <w:pStyle w:val="3"/>
        <w:keepNext w:val="0"/>
        <w:keepLines w:val="0"/>
        <w:pageBreakBefore w:val="0"/>
        <w:kinsoku/>
        <w:wordWrap/>
        <w:overflowPunct/>
        <w:topLinePunct w:val="0"/>
        <w:autoSpaceDE/>
        <w:autoSpaceDN/>
        <w:bidi w:val="0"/>
        <w:adjustRightInd/>
        <w:spacing w:before="0" w:beforeAutospacing="0" w:after="0" w:afterAutospacing="0" w:line="500" w:lineRule="exact"/>
        <w:ind w:firstLine="640" w:firstLineChars="200"/>
        <w:textAlignment w:val="auto"/>
        <w:rPr>
          <w:rFonts w:hint="eastAsia" w:ascii="黑体" w:hAnsi="黑体" w:eastAsia="黑体" w:cs="黑体"/>
          <w:color w:val="auto"/>
          <w:sz w:val="32"/>
          <w:szCs w:val="32"/>
          <w:u w:val="none"/>
        </w:rPr>
      </w:pPr>
      <w:r>
        <w:rPr>
          <w:rFonts w:hint="eastAsia" w:ascii="黑体" w:hAnsi="黑体" w:eastAsia="黑体" w:cs="黑体"/>
          <w:color w:val="auto"/>
          <w:sz w:val="32"/>
          <w:szCs w:val="32"/>
          <w:u w:val="none"/>
          <w:lang w:eastAsia="zh-CN"/>
        </w:rPr>
        <w:t>九</w:t>
      </w:r>
      <w:r>
        <w:rPr>
          <w:rFonts w:hint="eastAsia" w:ascii="黑体" w:hAnsi="黑体" w:eastAsia="黑体" w:cs="黑体"/>
          <w:color w:val="auto"/>
          <w:sz w:val="32"/>
          <w:szCs w:val="32"/>
          <w:u w:val="none"/>
        </w:rPr>
        <w:t>、争端的解决</w:t>
      </w:r>
    </w:p>
    <w:p>
      <w:pPr>
        <w:pStyle w:val="3"/>
        <w:keepNext w:val="0"/>
        <w:keepLines w:val="0"/>
        <w:pageBreakBefore w:val="0"/>
        <w:kinsoku/>
        <w:wordWrap/>
        <w:overflowPunct/>
        <w:topLinePunct w:val="0"/>
        <w:autoSpaceDE/>
        <w:autoSpaceDN/>
        <w:bidi w:val="0"/>
        <w:adjustRightInd/>
        <w:spacing w:before="0" w:beforeAutospacing="0" w:after="0" w:afterAutospacing="0" w:line="500"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u w:val="none"/>
          <w:lang w:eastAsia="zh-CN"/>
        </w:rPr>
        <w:t>（一）</w:t>
      </w:r>
      <w:r>
        <w:rPr>
          <w:rFonts w:hint="eastAsia" w:ascii="仿宋_GB2312" w:hAnsi="仿宋_GB2312" w:eastAsia="仿宋_GB2312" w:cs="仿宋_GB2312"/>
          <w:color w:val="auto"/>
          <w:sz w:val="32"/>
          <w:szCs w:val="32"/>
          <w:u w:val="none"/>
        </w:rPr>
        <w:t>凡与合同有关而引起的一切争议，双方当事人应当及时协商解决；协商不成时，向</w:t>
      </w:r>
      <w:r>
        <w:rPr>
          <w:rFonts w:hint="eastAsia" w:ascii="仿宋_GB2312" w:hAnsi="仿宋_GB2312" w:eastAsia="仿宋_GB2312" w:cs="仿宋_GB2312"/>
          <w:color w:val="auto"/>
          <w:sz w:val="32"/>
          <w:szCs w:val="32"/>
          <w:u w:val="none"/>
          <w:lang w:eastAsia="zh-CN"/>
        </w:rPr>
        <w:t>采购方</w:t>
      </w:r>
      <w:r>
        <w:rPr>
          <w:rFonts w:hint="eastAsia" w:ascii="仿宋_GB2312" w:hAnsi="仿宋_GB2312" w:eastAsia="仿宋_GB2312" w:cs="仿宋_GB2312"/>
          <w:color w:val="auto"/>
          <w:sz w:val="32"/>
          <w:szCs w:val="32"/>
          <w:u w:val="none"/>
        </w:rPr>
        <w:t>所在地人民法院起诉。因履行本合同产生争议的，因此产生的相应费用（包括但不限于公证费、评估费、鉴定费、保全费（含保函保费）、诉讼费、送达费、执行费、交通费、住宿费、律师费等全部费用）由败诉方承担。</w:t>
      </w:r>
    </w:p>
    <w:p>
      <w:pPr>
        <w:pStyle w:val="3"/>
        <w:keepNext w:val="0"/>
        <w:keepLines w:val="0"/>
        <w:pageBreakBefore w:val="0"/>
        <w:kinsoku/>
        <w:wordWrap/>
        <w:overflowPunct/>
        <w:topLinePunct w:val="0"/>
        <w:autoSpaceDE/>
        <w:autoSpaceDN/>
        <w:bidi w:val="0"/>
        <w:adjustRightInd/>
        <w:spacing w:before="0" w:beforeAutospacing="0" w:after="0" w:afterAutospacing="0" w:line="5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eastAsia="zh-CN"/>
        </w:rPr>
        <w:t>（二）</w:t>
      </w:r>
      <w:r>
        <w:rPr>
          <w:rFonts w:hint="eastAsia" w:ascii="仿宋_GB2312" w:hAnsi="仿宋_GB2312" w:eastAsia="仿宋_GB2312" w:cs="仿宋_GB2312"/>
          <w:color w:val="auto"/>
          <w:sz w:val="32"/>
          <w:szCs w:val="32"/>
          <w:u w:val="none"/>
        </w:rPr>
        <w:t>在进行法院审理期间，除提交法院审理的事项外，合同其他部分仍应继续履行。</w:t>
      </w:r>
    </w:p>
    <w:p>
      <w:pPr>
        <w:pStyle w:val="3"/>
        <w:keepNext w:val="0"/>
        <w:keepLines w:val="0"/>
        <w:pageBreakBefore w:val="0"/>
        <w:kinsoku/>
        <w:wordWrap/>
        <w:overflowPunct/>
        <w:topLinePunct w:val="0"/>
        <w:autoSpaceDE/>
        <w:autoSpaceDN/>
        <w:bidi w:val="0"/>
        <w:adjustRightInd/>
        <w:spacing w:before="0" w:beforeAutospacing="0" w:after="0" w:afterAutospacing="0" w:line="5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eastAsia="zh-CN"/>
        </w:rPr>
        <w:t>（三）</w:t>
      </w:r>
      <w:r>
        <w:rPr>
          <w:rFonts w:hint="eastAsia" w:ascii="仿宋_GB2312" w:hAnsi="仿宋_GB2312" w:eastAsia="仿宋_GB2312" w:cs="仿宋_GB2312"/>
          <w:color w:val="auto"/>
          <w:sz w:val="32"/>
          <w:szCs w:val="32"/>
          <w:u w:val="none"/>
        </w:rPr>
        <w:t>合同按照中华人民共和国的法律进行解释。</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方正黑体简体" w:hAnsi="方正黑体简体" w:eastAsia="方正黑体简体" w:cs="方正黑体简体"/>
          <w:b/>
          <w:bCs/>
          <w:color w:val="auto"/>
          <w:sz w:val="32"/>
          <w:szCs w:val="32"/>
          <w:u w:val="none"/>
          <w:lang w:eastAsia="zh-CN"/>
        </w:rPr>
      </w:pPr>
      <w:r>
        <w:rPr>
          <w:rFonts w:hint="eastAsia" w:ascii="方正黑体简体" w:hAnsi="方正黑体简体" w:eastAsia="方正黑体简体" w:cs="方正黑体简体"/>
          <w:b/>
          <w:bCs/>
          <w:color w:val="auto"/>
          <w:sz w:val="32"/>
          <w:szCs w:val="32"/>
          <w:u w:val="none"/>
          <w:lang w:eastAsia="zh-CN"/>
        </w:rPr>
        <w:t>十、联系方式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eastAsia="zh-CN"/>
        </w:rPr>
        <w:t>联系人：张小姐</w:t>
      </w:r>
      <w:bookmarkStart w:id="0" w:name="_GoBack"/>
      <w:bookmarkEnd w:id="0"/>
      <w:r>
        <w:rPr>
          <w:rFonts w:hint="eastAsia" w:ascii="仿宋_GB2312" w:hAnsi="仿宋_GB2312" w:eastAsia="仿宋_GB2312" w:cs="仿宋_GB2312"/>
          <w:color w:val="auto"/>
          <w:sz w:val="32"/>
          <w:szCs w:val="32"/>
          <w:u w:val="none"/>
          <w:lang w:eastAsia="zh-CN"/>
        </w:rPr>
        <w:t>，联系电话：</w:t>
      </w:r>
      <w:r>
        <w:rPr>
          <w:rFonts w:hint="eastAsia" w:ascii="仿宋_GB2312" w:hAnsi="仿宋_GB2312" w:eastAsia="仿宋_GB2312" w:cs="仿宋_GB2312"/>
          <w:color w:val="auto"/>
          <w:sz w:val="32"/>
          <w:szCs w:val="32"/>
          <w:u w:val="none"/>
          <w:lang w:val="en-US" w:eastAsia="zh-CN"/>
        </w:rPr>
        <w:t>0750-3831648。</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邮箱：</w:t>
      </w:r>
      <w:r>
        <w:rPr>
          <w:rFonts w:hint="eastAsia" w:ascii="仿宋_GB2312" w:hAnsi="仿宋_GB2312" w:eastAsia="仿宋_GB2312" w:cs="仿宋_GB2312"/>
          <w:color w:val="auto"/>
          <w:sz w:val="32"/>
          <w:szCs w:val="32"/>
          <w:u w:val="none"/>
          <w:lang w:eastAsia="zh-CN"/>
        </w:rPr>
        <w:fldChar w:fldCharType="begin"/>
      </w:r>
      <w:r>
        <w:rPr>
          <w:rFonts w:hint="eastAsia" w:ascii="仿宋_GB2312" w:hAnsi="仿宋_GB2312" w:eastAsia="仿宋_GB2312" w:cs="仿宋_GB2312"/>
          <w:color w:val="auto"/>
          <w:sz w:val="32"/>
          <w:szCs w:val="32"/>
          <w:u w:val="none"/>
          <w:lang w:eastAsia="zh-CN"/>
        </w:rPr>
        <w:instrText xml:space="preserve"> HYPERLINK "mailto:jmfgb@126.com" </w:instrText>
      </w:r>
      <w:r>
        <w:rPr>
          <w:rFonts w:hint="eastAsia" w:ascii="仿宋_GB2312" w:hAnsi="仿宋_GB2312" w:eastAsia="仿宋_GB2312" w:cs="仿宋_GB2312"/>
          <w:color w:val="auto"/>
          <w:sz w:val="32"/>
          <w:szCs w:val="32"/>
          <w:u w:val="none"/>
          <w:lang w:eastAsia="zh-CN"/>
        </w:rPr>
        <w:fldChar w:fldCharType="separate"/>
      </w:r>
      <w:r>
        <w:rPr>
          <w:rStyle w:val="7"/>
          <w:rFonts w:hint="eastAsia" w:ascii="仿宋_GB2312" w:hAnsi="仿宋_GB2312" w:eastAsia="仿宋_GB2312" w:cs="仿宋_GB2312"/>
          <w:color w:val="auto"/>
          <w:sz w:val="32"/>
          <w:szCs w:val="32"/>
          <w:u w:val="none"/>
          <w:lang w:eastAsia="zh-CN"/>
        </w:rPr>
        <w:t>jmfgb@126.com</w:t>
      </w:r>
      <w:r>
        <w:rPr>
          <w:rFonts w:hint="eastAsia" w:ascii="仿宋_GB2312" w:hAnsi="仿宋_GB2312" w:eastAsia="仿宋_GB2312" w:cs="仿宋_GB2312"/>
          <w:color w:val="auto"/>
          <w:sz w:val="32"/>
          <w:szCs w:val="32"/>
          <w:u w:val="none"/>
          <w:lang w:eastAsia="zh-CN"/>
        </w:rPr>
        <w:fldChar w:fldCharType="end"/>
      </w:r>
    </w:p>
    <w:p>
      <w:pPr>
        <w:pStyle w:val="3"/>
        <w:keepNext w:val="0"/>
        <w:keepLines w:val="0"/>
        <w:pageBreakBefore w:val="0"/>
        <w:kinsoku/>
        <w:wordWrap/>
        <w:overflowPunct/>
        <w:topLinePunct w:val="0"/>
        <w:autoSpaceDE/>
        <w:autoSpaceDN/>
        <w:bidi w:val="0"/>
        <w:adjustRightInd/>
        <w:spacing w:before="0" w:beforeAutospacing="0" w:after="0" w:afterAutospacing="0" w:line="500" w:lineRule="exact"/>
        <w:ind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联系地址：江门市江海区江海一路</w:t>
      </w:r>
      <w:r>
        <w:rPr>
          <w:rFonts w:hint="eastAsia" w:ascii="仿宋_GB2312" w:hAnsi="仿宋_GB2312" w:eastAsia="仿宋_GB2312" w:cs="仿宋_GB2312"/>
          <w:color w:val="auto"/>
          <w:sz w:val="32"/>
          <w:szCs w:val="32"/>
          <w:u w:val="none"/>
          <w:lang w:val="en-US" w:eastAsia="zh-CN"/>
        </w:rPr>
        <w:t>83号</w:t>
      </w:r>
      <w:r>
        <w:rPr>
          <w:rFonts w:hint="eastAsia" w:ascii="仿宋_GB2312" w:hAnsi="仿宋_GB2312" w:eastAsia="仿宋_GB2312" w:cs="仿宋_GB2312"/>
          <w:color w:val="auto"/>
          <w:sz w:val="32"/>
          <w:szCs w:val="32"/>
          <w:u w:val="none"/>
          <w:lang w:eastAsia="zh-CN"/>
        </w:rPr>
        <w:t>江门市住房城乡建设局。</w:t>
      </w:r>
    </w:p>
    <w:p>
      <w:pPr>
        <w:pStyle w:val="3"/>
        <w:keepNext w:val="0"/>
        <w:keepLines w:val="0"/>
        <w:pageBreakBefore w:val="0"/>
        <w:kinsoku/>
        <w:wordWrap/>
        <w:overflowPunct/>
        <w:topLinePunct w:val="0"/>
        <w:autoSpaceDE/>
        <w:autoSpaceDN/>
        <w:bidi w:val="0"/>
        <w:adjustRightInd/>
        <w:spacing w:before="0" w:beforeAutospacing="0" w:after="0" w:afterAutospacing="0" w:line="500" w:lineRule="exact"/>
        <w:textAlignment w:val="auto"/>
        <w:rPr>
          <w:rFonts w:hint="eastAsia" w:ascii="仿宋_GB2312" w:hAnsi="仿宋_GB2312" w:eastAsia="仿宋_GB2312" w:cs="仿宋_GB2312"/>
          <w:color w:val="auto"/>
          <w:sz w:val="32"/>
          <w:szCs w:val="32"/>
          <w:u w:val="none"/>
          <w:lang w:eastAsia="zh-CN"/>
        </w:rPr>
      </w:pPr>
    </w:p>
    <w:p>
      <w:pPr>
        <w:pStyle w:val="3"/>
        <w:keepNext w:val="0"/>
        <w:keepLines w:val="0"/>
        <w:pageBreakBefore w:val="0"/>
        <w:kinsoku/>
        <w:wordWrap/>
        <w:overflowPunct/>
        <w:topLinePunct w:val="0"/>
        <w:autoSpaceDE/>
        <w:autoSpaceDN/>
        <w:bidi w:val="0"/>
        <w:adjustRightInd/>
        <w:spacing w:before="0" w:beforeAutospacing="0" w:after="0" w:afterAutospacing="0" w:line="500" w:lineRule="exact"/>
        <w:ind w:firstLine="640" w:firstLineChars="200"/>
        <w:jc w:val="right"/>
        <w:textAlignment w:val="auto"/>
        <w:rPr>
          <w:rFonts w:hint="eastAsia" w:ascii="仿宋_GB2312" w:hAnsi="仿宋_GB2312" w:eastAsia="仿宋_GB2312" w:cs="仿宋_GB2312"/>
          <w:color w:val="auto"/>
          <w:sz w:val="32"/>
          <w:szCs w:val="32"/>
          <w:u w:val="none"/>
          <w:lang w:eastAsia="zh-CN"/>
        </w:rPr>
      </w:pPr>
    </w:p>
    <w:p>
      <w:pPr>
        <w:pStyle w:val="3"/>
        <w:keepNext w:val="0"/>
        <w:keepLines w:val="0"/>
        <w:pageBreakBefore w:val="0"/>
        <w:kinsoku/>
        <w:wordWrap/>
        <w:overflowPunct/>
        <w:topLinePunct w:val="0"/>
        <w:autoSpaceDE/>
        <w:autoSpaceDN/>
        <w:bidi w:val="0"/>
        <w:adjustRightInd/>
        <w:spacing w:before="0" w:beforeAutospacing="0" w:after="0" w:afterAutospacing="0" w:line="500" w:lineRule="exact"/>
        <w:ind w:firstLine="640" w:firstLineChars="200"/>
        <w:jc w:val="right"/>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江门市住房和城乡建设局</w:t>
      </w:r>
    </w:p>
    <w:p>
      <w:pPr>
        <w:pStyle w:val="3"/>
        <w:keepNext w:val="0"/>
        <w:keepLines w:val="0"/>
        <w:pageBreakBefore w:val="0"/>
        <w:kinsoku/>
        <w:wordWrap/>
        <w:overflowPunct/>
        <w:topLinePunct w:val="0"/>
        <w:autoSpaceDE/>
        <w:autoSpaceDN/>
        <w:bidi w:val="0"/>
        <w:adjustRightInd/>
        <w:spacing w:before="0" w:beforeAutospacing="0" w:after="0" w:afterAutospacing="0" w:line="500" w:lineRule="exact"/>
        <w:ind w:firstLine="640" w:firstLineChars="200"/>
        <w:jc w:val="right"/>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202</w:t>
      </w:r>
      <w:r>
        <w:rPr>
          <w:rFonts w:hint="eastAsia" w:ascii="仿宋_GB2312" w:hAnsi="仿宋_GB2312" w:eastAsia="仿宋_GB2312" w:cs="仿宋_GB2312"/>
          <w:color w:val="auto"/>
          <w:sz w:val="32"/>
          <w:szCs w:val="32"/>
          <w:u w:val="none"/>
          <w:lang w:val="en-US" w:eastAsia="zh-CN"/>
        </w:rPr>
        <w:t>5</w:t>
      </w:r>
      <w:r>
        <w:rPr>
          <w:rFonts w:hint="eastAsia" w:ascii="仿宋_GB2312" w:hAnsi="仿宋_GB2312" w:eastAsia="仿宋_GB2312" w:cs="仿宋_GB2312"/>
          <w:color w:val="auto"/>
          <w:sz w:val="32"/>
          <w:szCs w:val="32"/>
          <w:u w:val="none"/>
        </w:rPr>
        <w:t>年</w:t>
      </w:r>
      <w:r>
        <w:rPr>
          <w:rFonts w:hint="eastAsia" w:ascii="仿宋_GB2312" w:hAnsi="仿宋_GB2312" w:eastAsia="仿宋_GB2312" w:cs="仿宋_GB2312"/>
          <w:color w:val="auto"/>
          <w:sz w:val="32"/>
          <w:szCs w:val="32"/>
          <w:u w:val="none"/>
          <w:lang w:val="en-US" w:eastAsia="zh-CN"/>
        </w:rPr>
        <w:t>6</w:t>
      </w:r>
      <w:r>
        <w:rPr>
          <w:rFonts w:hint="eastAsia" w:ascii="仿宋_GB2312" w:hAnsi="仿宋_GB2312" w:eastAsia="仿宋_GB2312" w:cs="仿宋_GB2312"/>
          <w:color w:val="auto"/>
          <w:sz w:val="32"/>
          <w:szCs w:val="32"/>
          <w:u w:val="none"/>
        </w:rPr>
        <w:t>月</w:t>
      </w:r>
      <w:r>
        <w:rPr>
          <w:rFonts w:hint="eastAsia" w:ascii="仿宋_GB2312" w:hAnsi="仿宋_GB2312" w:eastAsia="仿宋_GB2312" w:cs="仿宋_GB2312"/>
          <w:color w:val="auto"/>
          <w:sz w:val="32"/>
          <w:szCs w:val="32"/>
          <w:u w:val="none"/>
          <w:lang w:val="en-US" w:eastAsia="zh-CN"/>
        </w:rPr>
        <w:t>6</w:t>
      </w:r>
      <w:r>
        <w:rPr>
          <w:rFonts w:hint="eastAsia" w:ascii="仿宋_GB2312" w:hAnsi="仿宋_GB2312" w:eastAsia="仿宋_GB2312" w:cs="仿宋_GB2312"/>
          <w:color w:val="auto"/>
          <w:sz w:val="32"/>
          <w:szCs w:val="32"/>
          <w:u w:val="none"/>
        </w:rPr>
        <w:t>日</w:t>
      </w:r>
    </w:p>
    <w:p>
      <w:pPr>
        <w:pStyle w:val="3"/>
        <w:keepNext w:val="0"/>
        <w:keepLines w:val="0"/>
        <w:pageBreakBefore w:val="0"/>
        <w:kinsoku/>
        <w:wordWrap/>
        <w:overflowPunct/>
        <w:topLinePunct w:val="0"/>
        <w:autoSpaceDE/>
        <w:autoSpaceDN/>
        <w:bidi w:val="0"/>
        <w:adjustRightInd/>
        <w:spacing w:before="0" w:beforeAutospacing="0" w:after="0" w:afterAutospacing="0" w:line="500" w:lineRule="exact"/>
        <w:ind w:firstLine="0" w:firstLineChars="0"/>
        <w:jc w:val="both"/>
        <w:textAlignment w:val="auto"/>
        <w:rPr>
          <w:rFonts w:hint="eastAsia" w:ascii="仿宋_GB2312" w:hAnsi="仿宋_GB2312" w:eastAsia="仿宋_GB2312" w:cs="仿宋_GB2312"/>
          <w:color w:val="auto"/>
          <w:sz w:val="32"/>
          <w:szCs w:val="32"/>
          <w:u w:val="none"/>
          <w:lang w:eastAsia="zh-CN"/>
        </w:rPr>
      </w:pPr>
    </w:p>
    <w:p>
      <w:pPr>
        <w:pStyle w:val="3"/>
        <w:keepNext w:val="0"/>
        <w:keepLines w:val="0"/>
        <w:pageBreakBefore w:val="0"/>
        <w:kinsoku/>
        <w:wordWrap/>
        <w:overflowPunct/>
        <w:topLinePunct w:val="0"/>
        <w:autoSpaceDE/>
        <w:autoSpaceDN/>
        <w:bidi w:val="0"/>
        <w:adjustRightInd/>
        <w:spacing w:before="0" w:beforeAutospacing="0" w:after="0" w:afterAutospacing="0" w:line="500" w:lineRule="exact"/>
        <w:ind w:firstLine="0" w:firstLineChars="0"/>
        <w:jc w:val="both"/>
        <w:textAlignment w:val="auto"/>
        <w:rPr>
          <w:rFonts w:hint="eastAsia" w:ascii="仿宋_GB2312" w:hAnsi="仿宋_GB2312" w:eastAsia="仿宋_GB2312" w:cs="仿宋_GB2312"/>
          <w:color w:val="auto"/>
          <w:sz w:val="32"/>
          <w:szCs w:val="32"/>
          <w:u w:val="none"/>
          <w:lang w:eastAsia="zh-CN"/>
        </w:rPr>
      </w:pPr>
    </w:p>
    <w:p>
      <w:pPr>
        <w:pStyle w:val="3"/>
        <w:keepNext w:val="0"/>
        <w:keepLines w:val="0"/>
        <w:pageBreakBefore w:val="0"/>
        <w:kinsoku/>
        <w:wordWrap/>
        <w:overflowPunct/>
        <w:topLinePunct w:val="0"/>
        <w:autoSpaceDE/>
        <w:autoSpaceDN/>
        <w:bidi w:val="0"/>
        <w:adjustRightInd/>
        <w:spacing w:before="0" w:beforeAutospacing="0" w:after="0" w:afterAutospacing="0" w:line="500" w:lineRule="exact"/>
        <w:ind w:firstLine="0" w:firstLineChars="0"/>
        <w:jc w:val="both"/>
        <w:textAlignment w:val="auto"/>
        <w:rPr>
          <w:rFonts w:hint="eastAsia" w:ascii="仿宋_GB2312" w:hAnsi="仿宋_GB2312" w:eastAsia="仿宋_GB2312" w:cs="仿宋_GB2312"/>
          <w:color w:val="auto"/>
          <w:sz w:val="32"/>
          <w:szCs w:val="32"/>
          <w:u w:val="none"/>
          <w:lang w:eastAsia="zh-CN"/>
        </w:rPr>
      </w:pPr>
    </w:p>
    <w:p>
      <w:pPr>
        <w:pStyle w:val="3"/>
        <w:keepNext w:val="0"/>
        <w:keepLines w:val="0"/>
        <w:pageBreakBefore w:val="0"/>
        <w:kinsoku/>
        <w:wordWrap/>
        <w:overflowPunct/>
        <w:topLinePunct w:val="0"/>
        <w:autoSpaceDE/>
        <w:autoSpaceDN/>
        <w:bidi w:val="0"/>
        <w:adjustRightInd/>
        <w:spacing w:before="0" w:beforeAutospacing="0" w:after="0" w:afterAutospacing="0" w:line="500" w:lineRule="exact"/>
        <w:ind w:firstLine="0" w:firstLineChars="0"/>
        <w:jc w:val="both"/>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附件：202</w:t>
      </w:r>
      <w:r>
        <w:rPr>
          <w:rFonts w:hint="eastAsia" w:ascii="仿宋_GB2312" w:hAnsi="仿宋_GB2312" w:eastAsia="仿宋_GB2312" w:cs="仿宋_GB2312"/>
          <w:color w:val="auto"/>
          <w:sz w:val="32"/>
          <w:szCs w:val="32"/>
          <w:u w:val="none"/>
          <w:lang w:val="en-US" w:eastAsia="zh-CN"/>
        </w:rPr>
        <w:t>5</w:t>
      </w:r>
      <w:r>
        <w:rPr>
          <w:rFonts w:hint="eastAsia" w:ascii="仿宋_GB2312" w:hAnsi="仿宋_GB2312" w:eastAsia="仿宋_GB2312" w:cs="仿宋_GB2312"/>
          <w:color w:val="auto"/>
          <w:sz w:val="32"/>
          <w:szCs w:val="32"/>
          <w:u w:val="none"/>
          <w:lang w:eastAsia="zh-CN"/>
        </w:rPr>
        <w:t>年度市本级住房保障对象档案电子化和纸质化整</w:t>
      </w:r>
    </w:p>
    <w:p>
      <w:pPr>
        <w:pStyle w:val="3"/>
        <w:keepNext w:val="0"/>
        <w:keepLines w:val="0"/>
        <w:pageBreakBefore w:val="0"/>
        <w:kinsoku/>
        <w:wordWrap/>
        <w:overflowPunct/>
        <w:topLinePunct w:val="0"/>
        <w:autoSpaceDE/>
        <w:autoSpaceDN/>
        <w:bidi w:val="0"/>
        <w:adjustRightInd/>
        <w:spacing w:before="0" w:beforeAutospacing="0" w:after="0" w:afterAutospacing="0" w:line="500" w:lineRule="exact"/>
        <w:ind w:firstLine="0" w:firstLineChars="0"/>
        <w:jc w:val="both"/>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理工作响应文件评分标准</w:t>
      </w:r>
    </w:p>
    <w:tbl>
      <w:tblPr>
        <w:tblStyle w:val="4"/>
        <w:tblpPr w:leftFromText="180" w:rightFromText="180" w:vertAnchor="page" w:horzAnchor="page" w:tblpX="1811" w:tblpY="2685"/>
        <w:tblOverlap w:val="never"/>
        <w:tblW w:w="8245" w:type="dxa"/>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486"/>
        <w:gridCol w:w="791"/>
        <w:gridCol w:w="6082"/>
        <w:gridCol w:w="886"/>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20" w:type="dxa"/>
              <w:bottom w:w="60" w:type="dxa"/>
              <w:right w:w="120" w:type="dxa"/>
            </w:tcMar>
            <w:vAlign w:val="top"/>
          </w:tcPr>
          <w:p>
            <w:pPr>
              <w:pStyle w:val="3"/>
              <w:wordWrap w:val="0"/>
              <w:spacing w:before="0" w:beforeAutospacing="0" w:after="0" w:afterAutospacing="0"/>
              <w:jc w:val="center"/>
              <w:rPr>
                <w:rFonts w:hint="eastAsia" w:ascii="新宋体" w:hAnsi="新宋体" w:eastAsia="新宋体" w:cs="新宋体"/>
                <w:sz w:val="21"/>
                <w:szCs w:val="21"/>
              </w:rPr>
            </w:pPr>
            <w:r>
              <w:rPr>
                <w:rFonts w:hint="eastAsia" w:ascii="新宋体" w:hAnsi="新宋体" w:eastAsia="新宋体" w:cs="新宋体"/>
                <w:sz w:val="21"/>
                <w:szCs w:val="21"/>
              </w:rPr>
              <w:t>序号</w:t>
            </w:r>
          </w:p>
        </w:tc>
        <w:tc>
          <w:tcPr>
            <w:tcW w:w="791"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20" w:type="dxa"/>
              <w:bottom w:w="60" w:type="dxa"/>
              <w:right w:w="120" w:type="dxa"/>
            </w:tcMar>
            <w:vAlign w:val="top"/>
          </w:tcPr>
          <w:p>
            <w:pPr>
              <w:pStyle w:val="3"/>
              <w:wordWrap w:val="0"/>
              <w:spacing w:before="0" w:beforeAutospacing="0" w:after="0" w:afterAutospacing="0"/>
              <w:jc w:val="center"/>
              <w:rPr>
                <w:rFonts w:hint="eastAsia" w:ascii="新宋体" w:hAnsi="新宋体" w:eastAsia="新宋体" w:cs="新宋体"/>
                <w:sz w:val="21"/>
                <w:szCs w:val="21"/>
              </w:rPr>
            </w:pPr>
            <w:r>
              <w:rPr>
                <w:rFonts w:hint="eastAsia" w:ascii="新宋体" w:hAnsi="新宋体" w:eastAsia="新宋体" w:cs="新宋体"/>
                <w:sz w:val="21"/>
                <w:szCs w:val="21"/>
              </w:rPr>
              <w:t>评审内容</w:t>
            </w:r>
          </w:p>
        </w:tc>
        <w:tc>
          <w:tcPr>
            <w:tcW w:w="6082"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20" w:type="dxa"/>
              <w:bottom w:w="60" w:type="dxa"/>
              <w:right w:w="120" w:type="dxa"/>
            </w:tcMar>
            <w:vAlign w:val="top"/>
          </w:tcPr>
          <w:p>
            <w:pPr>
              <w:pStyle w:val="3"/>
              <w:wordWrap w:val="0"/>
              <w:spacing w:before="0" w:beforeAutospacing="0" w:after="0" w:afterAutospacing="0"/>
              <w:jc w:val="center"/>
              <w:rPr>
                <w:rFonts w:hint="eastAsia" w:ascii="新宋体" w:hAnsi="新宋体" w:eastAsia="新宋体" w:cs="新宋体"/>
                <w:sz w:val="21"/>
                <w:szCs w:val="21"/>
                <w:lang w:eastAsia="zh-CN"/>
              </w:rPr>
            </w:pPr>
            <w:r>
              <w:rPr>
                <w:rFonts w:hint="eastAsia" w:ascii="新宋体" w:hAnsi="新宋体" w:eastAsia="新宋体" w:cs="新宋体"/>
                <w:sz w:val="21"/>
                <w:szCs w:val="21"/>
                <w:lang w:eastAsia="zh-CN"/>
              </w:rPr>
              <w:t>评分标准</w:t>
            </w:r>
          </w:p>
        </w:tc>
        <w:tc>
          <w:tcPr>
            <w:tcW w:w="886"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20" w:type="dxa"/>
              <w:bottom w:w="60" w:type="dxa"/>
              <w:right w:w="120" w:type="dxa"/>
            </w:tcMar>
            <w:vAlign w:val="top"/>
          </w:tcPr>
          <w:p>
            <w:pPr>
              <w:pStyle w:val="3"/>
              <w:wordWrap w:val="0"/>
              <w:spacing w:before="0" w:beforeAutospacing="0" w:after="0" w:afterAutospacing="0"/>
              <w:jc w:val="center"/>
              <w:rPr>
                <w:rFonts w:ascii="新宋体" w:hAnsi="新宋体" w:eastAsia="新宋体" w:cs="新宋体"/>
                <w:sz w:val="21"/>
                <w:szCs w:val="21"/>
              </w:rPr>
            </w:pPr>
            <w:r>
              <w:rPr>
                <w:rFonts w:hint="eastAsia" w:ascii="新宋体" w:hAnsi="新宋体" w:eastAsia="新宋体" w:cs="新宋体"/>
                <w:sz w:val="21"/>
                <w:szCs w:val="21"/>
              </w:rPr>
              <w:t>分值（总分100）</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716"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20" w:type="dxa"/>
              <w:bottom w:w="60" w:type="dxa"/>
              <w:right w:w="120" w:type="dxa"/>
            </w:tcMar>
            <w:vAlign w:val="top"/>
          </w:tcPr>
          <w:p>
            <w:pPr>
              <w:pStyle w:val="3"/>
              <w:wordWrap w:val="0"/>
              <w:spacing w:before="0" w:beforeAutospacing="0" w:after="0" w:afterAutospacing="0"/>
              <w:rPr>
                <w:rFonts w:hint="eastAsia" w:ascii="新宋体" w:hAnsi="新宋体" w:eastAsia="新宋体" w:cs="新宋体"/>
                <w:sz w:val="21"/>
                <w:szCs w:val="21"/>
              </w:rPr>
            </w:pPr>
            <w:r>
              <w:rPr>
                <w:rFonts w:hint="eastAsia" w:ascii="新宋体" w:hAnsi="新宋体" w:eastAsia="新宋体" w:cs="新宋体"/>
                <w:sz w:val="21"/>
                <w:szCs w:val="21"/>
              </w:rPr>
              <w:t>1</w:t>
            </w:r>
          </w:p>
        </w:tc>
        <w:tc>
          <w:tcPr>
            <w:tcW w:w="791"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20" w:type="dxa"/>
              <w:bottom w:w="60" w:type="dxa"/>
              <w:right w:w="120" w:type="dxa"/>
            </w:tcMar>
            <w:vAlign w:val="top"/>
          </w:tcPr>
          <w:p>
            <w:pPr>
              <w:pStyle w:val="3"/>
              <w:wordWrap w:val="0"/>
              <w:spacing w:before="0" w:beforeAutospacing="0" w:after="0" w:afterAutospacing="0"/>
              <w:rPr>
                <w:rFonts w:hint="eastAsia" w:ascii="新宋体" w:hAnsi="新宋体" w:eastAsia="新宋体" w:cs="新宋体"/>
                <w:sz w:val="21"/>
                <w:szCs w:val="21"/>
              </w:rPr>
            </w:pPr>
            <w:r>
              <w:rPr>
                <w:rFonts w:hint="eastAsia" w:ascii="新宋体" w:hAnsi="新宋体" w:eastAsia="新宋体" w:cs="新宋体"/>
                <w:sz w:val="21"/>
                <w:szCs w:val="21"/>
              </w:rPr>
              <w:t>服务整理方案</w:t>
            </w:r>
          </w:p>
        </w:tc>
        <w:tc>
          <w:tcPr>
            <w:tcW w:w="6082"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20" w:type="dxa"/>
              <w:bottom w:w="60" w:type="dxa"/>
              <w:right w:w="120" w:type="dxa"/>
            </w:tcMar>
            <w:vAlign w:val="top"/>
          </w:tcPr>
          <w:p>
            <w:pPr>
              <w:pStyle w:val="3"/>
              <w:wordWrap w:val="0"/>
              <w:spacing w:before="0" w:beforeAutospacing="0" w:after="0" w:afterAutospacing="0"/>
              <w:rPr>
                <w:rFonts w:hint="eastAsia" w:ascii="新宋体" w:hAnsi="新宋体" w:eastAsia="新宋体" w:cs="新宋体"/>
                <w:sz w:val="21"/>
                <w:szCs w:val="21"/>
              </w:rPr>
            </w:pPr>
            <w:r>
              <w:rPr>
                <w:rFonts w:hint="eastAsia" w:ascii="新宋体" w:hAnsi="新宋体" w:eastAsia="新宋体" w:cs="新宋体"/>
                <w:sz w:val="21"/>
                <w:szCs w:val="21"/>
              </w:rPr>
              <w:t>根据采购方案制定服务方案，列出项目实施计划，列明具体工作内容、各项工作具体工期、成果清单，作出承诺书。横向对比所有响应人，满分为</w:t>
            </w:r>
            <w:r>
              <w:rPr>
                <w:rFonts w:hint="eastAsia" w:ascii="新宋体" w:hAnsi="新宋体" w:eastAsia="新宋体" w:cs="新宋体"/>
                <w:sz w:val="21"/>
                <w:szCs w:val="21"/>
                <w:lang w:val="en-US" w:eastAsia="zh-CN"/>
              </w:rPr>
              <w:t>30</w:t>
            </w:r>
            <w:r>
              <w:rPr>
                <w:rFonts w:hint="eastAsia" w:ascii="新宋体" w:hAnsi="新宋体" w:eastAsia="新宋体" w:cs="新宋体"/>
                <w:sz w:val="21"/>
                <w:szCs w:val="21"/>
              </w:rPr>
              <w:t>分。其中：</w:t>
            </w:r>
          </w:p>
          <w:p>
            <w:pPr>
              <w:pStyle w:val="3"/>
              <w:wordWrap w:val="0"/>
              <w:spacing w:before="0" w:beforeAutospacing="0" w:after="0" w:afterAutospacing="0"/>
              <w:rPr>
                <w:rFonts w:hint="eastAsia" w:ascii="新宋体" w:hAnsi="新宋体" w:eastAsia="新宋体" w:cs="新宋体"/>
                <w:sz w:val="21"/>
                <w:szCs w:val="21"/>
              </w:rPr>
            </w:pPr>
            <w:r>
              <w:rPr>
                <w:rFonts w:hint="eastAsia" w:ascii="新宋体" w:hAnsi="新宋体" w:eastAsia="新宋体" w:cs="新宋体"/>
                <w:sz w:val="21"/>
                <w:szCs w:val="21"/>
              </w:rPr>
              <w:t>1.实施方案详尽合理，切实满足采购要求；进度安排合理高效，确保按时完成并验收合格；人员安排满足项目需求，得</w:t>
            </w:r>
            <w:r>
              <w:rPr>
                <w:rFonts w:hint="eastAsia" w:ascii="新宋体" w:hAnsi="新宋体" w:eastAsia="新宋体" w:cs="新宋体"/>
                <w:sz w:val="21"/>
                <w:szCs w:val="21"/>
                <w:lang w:val="en-US" w:eastAsia="zh-CN"/>
              </w:rPr>
              <w:t>30</w:t>
            </w:r>
            <w:r>
              <w:rPr>
                <w:rFonts w:hint="eastAsia" w:ascii="新宋体" w:hAnsi="新宋体" w:eastAsia="新宋体" w:cs="新宋体"/>
                <w:sz w:val="21"/>
                <w:szCs w:val="21"/>
              </w:rPr>
              <w:t>分</w:t>
            </w:r>
          </w:p>
          <w:p>
            <w:pPr>
              <w:pStyle w:val="3"/>
              <w:wordWrap w:val="0"/>
              <w:spacing w:before="0" w:beforeAutospacing="0" w:after="0" w:afterAutospacing="0"/>
              <w:rPr>
                <w:rFonts w:hint="eastAsia" w:ascii="新宋体" w:hAnsi="新宋体" w:eastAsia="新宋体" w:cs="新宋体"/>
                <w:sz w:val="21"/>
                <w:szCs w:val="21"/>
              </w:rPr>
            </w:pPr>
            <w:r>
              <w:rPr>
                <w:rFonts w:hint="eastAsia" w:ascii="新宋体" w:hAnsi="新宋体" w:eastAsia="新宋体" w:cs="新宋体"/>
                <w:sz w:val="21"/>
                <w:szCs w:val="21"/>
              </w:rPr>
              <w:t>2.实施方案合理，满足采购要求；进度安排合理，确保按时完成并验收合格；人员安排满足项目需求，得</w:t>
            </w:r>
            <w:r>
              <w:rPr>
                <w:rFonts w:hint="eastAsia" w:ascii="新宋体" w:hAnsi="新宋体" w:eastAsia="新宋体" w:cs="新宋体"/>
                <w:sz w:val="21"/>
                <w:szCs w:val="21"/>
                <w:lang w:val="en-US" w:eastAsia="zh-CN"/>
              </w:rPr>
              <w:t>20</w:t>
            </w:r>
            <w:r>
              <w:rPr>
                <w:rFonts w:hint="eastAsia" w:ascii="新宋体" w:hAnsi="新宋体" w:eastAsia="新宋体" w:cs="新宋体"/>
                <w:sz w:val="21"/>
                <w:szCs w:val="21"/>
              </w:rPr>
              <w:t>分</w:t>
            </w:r>
          </w:p>
          <w:p>
            <w:pPr>
              <w:pStyle w:val="3"/>
              <w:wordWrap w:val="0"/>
              <w:spacing w:before="0" w:beforeAutospacing="0" w:after="0" w:afterAutospacing="0"/>
              <w:rPr>
                <w:rFonts w:hint="eastAsia" w:ascii="新宋体" w:hAnsi="新宋体" w:eastAsia="新宋体" w:cs="新宋体"/>
                <w:sz w:val="21"/>
                <w:szCs w:val="21"/>
              </w:rPr>
            </w:pPr>
            <w:r>
              <w:rPr>
                <w:rFonts w:hint="eastAsia" w:ascii="新宋体" w:hAnsi="新宋体" w:eastAsia="新宋体" w:cs="新宋体"/>
                <w:sz w:val="21"/>
                <w:szCs w:val="21"/>
              </w:rPr>
              <w:t>3.供应商提供了实施方案，但不够详尽或条理不够清晰，基本满足采购要求，得</w:t>
            </w:r>
            <w:r>
              <w:rPr>
                <w:rFonts w:hint="eastAsia" w:ascii="新宋体" w:hAnsi="新宋体" w:eastAsia="新宋体" w:cs="新宋体"/>
                <w:sz w:val="21"/>
                <w:szCs w:val="21"/>
                <w:lang w:val="en-US" w:eastAsia="zh-CN"/>
              </w:rPr>
              <w:t>10</w:t>
            </w:r>
            <w:r>
              <w:rPr>
                <w:rFonts w:hint="eastAsia" w:ascii="新宋体" w:hAnsi="新宋体" w:eastAsia="新宋体" w:cs="新宋体"/>
                <w:sz w:val="21"/>
                <w:szCs w:val="21"/>
              </w:rPr>
              <w:t>分</w:t>
            </w:r>
          </w:p>
          <w:p>
            <w:pPr>
              <w:pStyle w:val="3"/>
              <w:wordWrap w:val="0"/>
              <w:spacing w:before="0" w:beforeAutospacing="0" w:after="0" w:afterAutospacing="0"/>
              <w:rPr>
                <w:rFonts w:ascii="新宋体" w:hAnsi="新宋体" w:eastAsia="新宋体" w:cs="新宋体"/>
                <w:sz w:val="21"/>
                <w:szCs w:val="21"/>
              </w:rPr>
            </w:pPr>
            <w:r>
              <w:rPr>
                <w:rFonts w:hint="eastAsia" w:ascii="新宋体" w:hAnsi="新宋体" w:eastAsia="新宋体" w:cs="新宋体"/>
                <w:sz w:val="21"/>
                <w:szCs w:val="21"/>
              </w:rPr>
              <w:t>4.没有提供实施方案不得分</w:t>
            </w:r>
          </w:p>
        </w:tc>
        <w:tc>
          <w:tcPr>
            <w:tcW w:w="886"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20" w:type="dxa"/>
              <w:bottom w:w="60" w:type="dxa"/>
              <w:right w:w="120" w:type="dxa"/>
            </w:tcMar>
            <w:vAlign w:val="center"/>
          </w:tcPr>
          <w:p>
            <w:pPr>
              <w:pStyle w:val="3"/>
              <w:wordWrap w:val="0"/>
              <w:spacing w:before="0" w:beforeAutospacing="0" w:after="0" w:afterAutospacing="0"/>
              <w:jc w:val="center"/>
              <w:rPr>
                <w:rFonts w:hint="default"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30</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963"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20" w:type="dxa"/>
              <w:bottom w:w="60" w:type="dxa"/>
              <w:right w:w="120" w:type="dxa"/>
            </w:tcMar>
            <w:vAlign w:val="top"/>
          </w:tcPr>
          <w:p>
            <w:pPr>
              <w:pStyle w:val="3"/>
              <w:wordWrap w:val="0"/>
              <w:spacing w:before="0" w:beforeAutospacing="0" w:after="0" w:afterAutospacing="0"/>
              <w:rPr>
                <w:rFonts w:hint="eastAsia" w:ascii="新宋体" w:hAnsi="新宋体" w:eastAsia="新宋体" w:cs="新宋体"/>
                <w:sz w:val="21"/>
                <w:szCs w:val="21"/>
              </w:rPr>
            </w:pPr>
            <w:r>
              <w:rPr>
                <w:rFonts w:hint="eastAsia" w:ascii="新宋体" w:hAnsi="新宋体" w:eastAsia="新宋体" w:cs="新宋体"/>
                <w:sz w:val="21"/>
                <w:szCs w:val="21"/>
              </w:rPr>
              <w:t>2</w:t>
            </w:r>
          </w:p>
        </w:tc>
        <w:tc>
          <w:tcPr>
            <w:tcW w:w="791"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20" w:type="dxa"/>
              <w:bottom w:w="60" w:type="dxa"/>
              <w:right w:w="120" w:type="dxa"/>
            </w:tcMar>
            <w:vAlign w:val="top"/>
          </w:tcPr>
          <w:p>
            <w:pPr>
              <w:pStyle w:val="3"/>
              <w:wordWrap w:val="0"/>
              <w:spacing w:before="0" w:beforeAutospacing="0" w:after="0" w:afterAutospacing="0"/>
              <w:rPr>
                <w:rFonts w:hint="eastAsia" w:ascii="新宋体" w:hAnsi="新宋体" w:eastAsia="新宋体" w:cs="新宋体"/>
                <w:sz w:val="21"/>
                <w:szCs w:val="21"/>
              </w:rPr>
            </w:pPr>
            <w:r>
              <w:rPr>
                <w:rFonts w:hint="eastAsia" w:ascii="新宋体" w:hAnsi="新宋体" w:eastAsia="新宋体" w:cs="新宋体"/>
                <w:sz w:val="21"/>
                <w:szCs w:val="21"/>
              </w:rPr>
              <w:t>售后承诺服务支持</w:t>
            </w:r>
          </w:p>
        </w:tc>
        <w:tc>
          <w:tcPr>
            <w:tcW w:w="6082"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20" w:type="dxa"/>
              <w:bottom w:w="60" w:type="dxa"/>
              <w:right w:w="120" w:type="dxa"/>
            </w:tcMar>
            <w:vAlign w:val="top"/>
          </w:tcPr>
          <w:p>
            <w:pPr>
              <w:numPr>
                <w:ilvl w:val="0"/>
                <w:numId w:val="0"/>
              </w:numPr>
              <w:ind w:leftChars="0"/>
              <w:rPr>
                <w:rFonts w:hint="eastAsia" w:ascii="新宋体" w:hAnsi="新宋体" w:eastAsia="新宋体" w:cs="新宋体"/>
                <w:szCs w:val="21"/>
              </w:rPr>
            </w:pPr>
            <w:r>
              <w:rPr>
                <w:rFonts w:hint="eastAsia" w:ascii="新宋体" w:hAnsi="新宋体" w:eastAsia="新宋体" w:cs="新宋体"/>
                <w:szCs w:val="21"/>
              </w:rPr>
              <w:t>（1）提供完整售后服务保障清单并详细列明，如服务计划、实施承诺、服务规范、工作程序、服务内容等</w:t>
            </w:r>
            <w:r>
              <w:rPr>
                <w:rFonts w:hint="eastAsia" w:ascii="新宋体" w:hAnsi="新宋体" w:eastAsia="新宋体" w:cs="新宋体"/>
                <w:szCs w:val="21"/>
                <w:lang w:eastAsia="zh-CN"/>
              </w:rPr>
              <w:t>：</w:t>
            </w:r>
            <w:r>
              <w:rPr>
                <w:rFonts w:hint="eastAsia" w:ascii="新宋体" w:hAnsi="新宋体" w:eastAsia="新宋体" w:cs="新宋体"/>
                <w:szCs w:val="21"/>
                <w:lang w:val="en-US" w:eastAsia="zh-CN"/>
              </w:rPr>
              <w:t>15</w:t>
            </w:r>
            <w:r>
              <w:rPr>
                <w:rFonts w:hint="eastAsia" w:ascii="新宋体" w:hAnsi="新宋体" w:eastAsia="新宋体" w:cs="新宋体"/>
                <w:szCs w:val="21"/>
              </w:rPr>
              <w:t>分</w:t>
            </w:r>
          </w:p>
          <w:p>
            <w:pPr>
              <w:rPr>
                <w:rFonts w:hint="eastAsia" w:ascii="新宋体" w:hAnsi="新宋体" w:eastAsia="新宋体" w:cs="新宋体"/>
                <w:sz w:val="21"/>
                <w:szCs w:val="21"/>
              </w:rPr>
            </w:pPr>
            <w:r>
              <w:rPr>
                <w:rFonts w:hint="eastAsia" w:ascii="新宋体" w:hAnsi="新宋体" w:eastAsia="新宋体" w:cs="新宋体"/>
                <w:szCs w:val="21"/>
                <w:lang w:eastAsia="zh-CN"/>
              </w:rPr>
              <w:t>（</w:t>
            </w:r>
            <w:r>
              <w:rPr>
                <w:rFonts w:hint="eastAsia" w:ascii="新宋体" w:hAnsi="新宋体" w:eastAsia="新宋体" w:cs="新宋体"/>
                <w:szCs w:val="21"/>
                <w:lang w:val="en-US" w:eastAsia="zh-CN"/>
              </w:rPr>
              <w:t>2）</w:t>
            </w:r>
            <w:r>
              <w:rPr>
                <w:rFonts w:hint="eastAsia" w:ascii="新宋体" w:hAnsi="新宋体" w:eastAsia="新宋体" w:cs="新宋体"/>
                <w:szCs w:val="21"/>
              </w:rPr>
              <w:t>明确售后服务组织、具体的人员安排和服务时间：</w:t>
            </w:r>
            <w:r>
              <w:rPr>
                <w:rFonts w:hint="eastAsia" w:ascii="新宋体" w:hAnsi="新宋体" w:eastAsia="新宋体" w:cs="新宋体"/>
                <w:szCs w:val="21"/>
                <w:lang w:val="en-US" w:eastAsia="zh-CN"/>
              </w:rPr>
              <w:t>5</w:t>
            </w:r>
            <w:r>
              <w:rPr>
                <w:rFonts w:hint="eastAsia" w:ascii="新宋体" w:hAnsi="新宋体" w:eastAsia="新宋体" w:cs="新宋体"/>
                <w:szCs w:val="21"/>
              </w:rPr>
              <w:t>分</w:t>
            </w:r>
          </w:p>
        </w:tc>
        <w:tc>
          <w:tcPr>
            <w:tcW w:w="886"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20" w:type="dxa"/>
              <w:bottom w:w="60" w:type="dxa"/>
              <w:right w:w="120" w:type="dxa"/>
            </w:tcMar>
            <w:vAlign w:val="center"/>
          </w:tcPr>
          <w:p>
            <w:pPr>
              <w:pStyle w:val="3"/>
              <w:wordWrap w:val="0"/>
              <w:spacing w:before="0" w:beforeAutospacing="0" w:after="0" w:afterAutospacing="0"/>
              <w:jc w:val="center"/>
              <w:rPr>
                <w:rFonts w:hint="eastAsia" w:ascii="新宋体" w:hAnsi="新宋体" w:eastAsia="新宋体" w:cs="新宋体"/>
                <w:sz w:val="21"/>
                <w:szCs w:val="21"/>
                <w:lang w:val="en-US" w:eastAsia="zh-CN"/>
              </w:rPr>
            </w:pPr>
            <w:r>
              <w:rPr>
                <w:rFonts w:hint="eastAsia" w:ascii="新宋体" w:hAnsi="新宋体" w:eastAsia="新宋体" w:cs="新宋体"/>
                <w:sz w:val="21"/>
                <w:szCs w:val="21"/>
              </w:rPr>
              <w:t>2</w:t>
            </w:r>
            <w:r>
              <w:rPr>
                <w:rFonts w:hint="eastAsia" w:ascii="新宋体" w:hAnsi="新宋体" w:eastAsia="新宋体" w:cs="新宋体"/>
                <w:sz w:val="21"/>
                <w:szCs w:val="21"/>
                <w:lang w:val="en-US" w:eastAsia="zh-CN"/>
              </w:rPr>
              <w:t>0</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206"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20" w:type="dxa"/>
              <w:bottom w:w="60" w:type="dxa"/>
              <w:right w:w="120" w:type="dxa"/>
            </w:tcMar>
            <w:vAlign w:val="top"/>
          </w:tcPr>
          <w:p>
            <w:pPr>
              <w:pStyle w:val="3"/>
              <w:wordWrap w:val="0"/>
              <w:spacing w:before="0" w:beforeAutospacing="0" w:after="0" w:afterAutospacing="0"/>
              <w:rPr>
                <w:rFonts w:hint="eastAsia" w:ascii="新宋体" w:hAnsi="新宋体" w:eastAsia="新宋体" w:cs="新宋体"/>
                <w:sz w:val="21"/>
                <w:szCs w:val="21"/>
              </w:rPr>
            </w:pPr>
            <w:r>
              <w:rPr>
                <w:rFonts w:hint="eastAsia" w:ascii="新宋体" w:hAnsi="新宋体" w:eastAsia="新宋体" w:cs="新宋体"/>
                <w:sz w:val="21"/>
                <w:szCs w:val="21"/>
              </w:rPr>
              <w:t>3</w:t>
            </w:r>
          </w:p>
        </w:tc>
        <w:tc>
          <w:tcPr>
            <w:tcW w:w="791" w:type="dxa"/>
            <w:tcBorders>
              <w:top w:val="single" w:color="000000" w:sz="4" w:space="0"/>
              <w:left w:val="single" w:color="000000" w:sz="4" w:space="0"/>
              <w:bottom w:val="single" w:color="auto" w:sz="4" w:space="0"/>
              <w:right w:val="single" w:color="000000" w:sz="4" w:space="0"/>
            </w:tcBorders>
            <w:shd w:val="clear" w:color="auto" w:fill="FFFFFF"/>
            <w:noWrap w:val="0"/>
            <w:tcMar>
              <w:top w:w="60" w:type="dxa"/>
              <w:left w:w="120" w:type="dxa"/>
              <w:bottom w:w="60" w:type="dxa"/>
              <w:right w:w="120" w:type="dxa"/>
            </w:tcMar>
            <w:vAlign w:val="top"/>
          </w:tcPr>
          <w:p>
            <w:pPr>
              <w:pStyle w:val="3"/>
              <w:wordWrap w:val="0"/>
              <w:spacing w:before="0" w:beforeAutospacing="0" w:after="0" w:afterAutospacing="0"/>
              <w:rPr>
                <w:rFonts w:hint="eastAsia" w:ascii="新宋体" w:hAnsi="新宋体" w:eastAsia="新宋体" w:cs="新宋体"/>
                <w:sz w:val="21"/>
                <w:szCs w:val="21"/>
              </w:rPr>
            </w:pPr>
            <w:r>
              <w:rPr>
                <w:rFonts w:hint="eastAsia" w:ascii="新宋体" w:hAnsi="新宋体" w:eastAsia="新宋体" w:cs="新宋体"/>
                <w:sz w:val="21"/>
                <w:szCs w:val="21"/>
              </w:rPr>
              <w:t>人员配备</w:t>
            </w:r>
          </w:p>
        </w:tc>
        <w:tc>
          <w:tcPr>
            <w:tcW w:w="6082"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20" w:type="dxa"/>
              <w:bottom w:w="60" w:type="dxa"/>
              <w:right w:w="120" w:type="dxa"/>
            </w:tcMar>
            <w:vAlign w:val="top"/>
          </w:tcPr>
          <w:p>
            <w:pPr>
              <w:pStyle w:val="3"/>
              <w:wordWrap w:val="0"/>
              <w:spacing w:before="0" w:beforeAutospacing="0" w:after="0" w:afterAutospacing="0"/>
              <w:rPr>
                <w:rFonts w:hint="eastAsia" w:ascii="新宋体" w:hAnsi="新宋体" w:eastAsia="新宋体" w:cs="新宋体"/>
                <w:sz w:val="21"/>
                <w:szCs w:val="21"/>
              </w:rPr>
            </w:pPr>
            <w:r>
              <w:rPr>
                <w:rFonts w:hint="eastAsia" w:ascii="新宋体" w:hAnsi="新宋体" w:eastAsia="新宋体" w:cs="新宋体"/>
                <w:sz w:val="21"/>
                <w:szCs w:val="21"/>
              </w:rPr>
              <w:t>（1）从事参与本项目的整理人员有所在企业的参保记录证明：5分</w:t>
            </w:r>
          </w:p>
          <w:p>
            <w:pPr>
              <w:pStyle w:val="3"/>
              <w:wordWrap w:val="0"/>
              <w:spacing w:before="0" w:beforeAutospacing="0" w:after="0" w:afterAutospacing="0"/>
              <w:rPr>
                <w:rFonts w:hint="eastAsia" w:ascii="新宋体" w:hAnsi="新宋体" w:eastAsia="新宋体" w:cs="新宋体"/>
                <w:sz w:val="21"/>
                <w:szCs w:val="21"/>
              </w:rPr>
            </w:pPr>
            <w:r>
              <w:rPr>
                <w:rFonts w:hint="eastAsia" w:ascii="新宋体" w:hAnsi="新宋体" w:eastAsia="新宋体" w:cs="新宋体"/>
                <w:sz w:val="21"/>
                <w:szCs w:val="21"/>
              </w:rPr>
              <w:t>从事参与本项目的整理人员具有档案整理经验，提供整理人员清单详细信息，具有档案专业中级职称证书的1个得5分；初级职称证书的1个得4分；档案从业人员资格证的1个得3分，得分上限不超过</w:t>
            </w:r>
            <w:r>
              <w:rPr>
                <w:rFonts w:hint="eastAsia" w:ascii="新宋体" w:hAnsi="新宋体" w:eastAsia="新宋体" w:cs="新宋体"/>
                <w:sz w:val="21"/>
                <w:szCs w:val="21"/>
                <w:lang w:val="en-US" w:eastAsia="zh-CN"/>
              </w:rPr>
              <w:t>15</w:t>
            </w:r>
            <w:r>
              <w:rPr>
                <w:rFonts w:hint="eastAsia" w:ascii="新宋体" w:hAnsi="新宋体" w:eastAsia="新宋体" w:cs="新宋体"/>
                <w:sz w:val="21"/>
                <w:szCs w:val="21"/>
              </w:rPr>
              <w:t>分</w:t>
            </w:r>
          </w:p>
        </w:tc>
        <w:tc>
          <w:tcPr>
            <w:tcW w:w="886"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20" w:type="dxa"/>
              <w:bottom w:w="60" w:type="dxa"/>
              <w:right w:w="120" w:type="dxa"/>
            </w:tcMar>
            <w:vAlign w:val="center"/>
          </w:tcPr>
          <w:p>
            <w:pPr>
              <w:pStyle w:val="3"/>
              <w:wordWrap w:val="0"/>
              <w:spacing w:before="0" w:beforeAutospacing="0" w:after="0" w:afterAutospacing="0"/>
              <w:jc w:val="center"/>
              <w:rPr>
                <w:rFonts w:hint="default"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20</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33"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20" w:type="dxa"/>
              <w:bottom w:w="60" w:type="dxa"/>
              <w:right w:w="120" w:type="dxa"/>
            </w:tcMar>
            <w:vAlign w:val="top"/>
          </w:tcPr>
          <w:p>
            <w:pPr>
              <w:pStyle w:val="3"/>
              <w:wordWrap w:val="0"/>
              <w:spacing w:before="0" w:beforeAutospacing="0" w:after="0" w:afterAutospacing="0"/>
              <w:rPr>
                <w:rFonts w:hint="eastAsia" w:ascii="新宋体" w:hAnsi="新宋体" w:eastAsia="新宋体" w:cs="新宋体"/>
                <w:sz w:val="21"/>
                <w:szCs w:val="21"/>
              </w:rPr>
            </w:pPr>
            <w:r>
              <w:rPr>
                <w:rFonts w:hint="eastAsia" w:ascii="新宋体" w:hAnsi="新宋体" w:eastAsia="新宋体" w:cs="新宋体"/>
                <w:sz w:val="21"/>
                <w:szCs w:val="21"/>
              </w:rPr>
              <w:t>4</w:t>
            </w:r>
          </w:p>
        </w:tc>
        <w:tc>
          <w:tcPr>
            <w:tcW w:w="791" w:type="dxa"/>
            <w:tcBorders>
              <w:top w:val="single" w:color="auto" w:sz="4" w:space="0"/>
              <w:left w:val="single" w:color="auto" w:sz="4" w:space="0"/>
              <w:bottom w:val="single" w:color="000000" w:sz="4" w:space="0"/>
              <w:right w:val="single" w:color="000000" w:sz="4" w:space="0"/>
            </w:tcBorders>
            <w:shd w:val="clear" w:color="auto" w:fill="FFFFFF"/>
            <w:noWrap w:val="0"/>
            <w:tcMar>
              <w:top w:w="60" w:type="dxa"/>
              <w:left w:w="120" w:type="dxa"/>
              <w:bottom w:w="60" w:type="dxa"/>
              <w:right w:w="120" w:type="dxa"/>
            </w:tcMar>
            <w:vAlign w:val="top"/>
          </w:tcPr>
          <w:p>
            <w:pPr>
              <w:pStyle w:val="3"/>
              <w:wordWrap w:val="0"/>
              <w:spacing w:before="0" w:beforeAutospacing="0" w:after="0" w:afterAutospacing="0"/>
              <w:rPr>
                <w:rFonts w:hint="eastAsia" w:ascii="新宋体" w:hAnsi="新宋体" w:eastAsia="新宋体" w:cs="新宋体"/>
                <w:sz w:val="21"/>
                <w:szCs w:val="21"/>
              </w:rPr>
            </w:pPr>
            <w:r>
              <w:rPr>
                <w:rFonts w:hint="eastAsia" w:ascii="新宋体" w:hAnsi="新宋体" w:eastAsia="新宋体" w:cs="新宋体"/>
                <w:sz w:val="21"/>
                <w:szCs w:val="21"/>
                <w:lang w:eastAsia="zh-CN"/>
              </w:rPr>
              <w:t>业绩评分</w:t>
            </w:r>
          </w:p>
        </w:tc>
        <w:tc>
          <w:tcPr>
            <w:tcW w:w="6082"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20" w:type="dxa"/>
              <w:bottom w:w="60" w:type="dxa"/>
              <w:right w:w="120" w:type="dxa"/>
            </w:tcMar>
            <w:vAlign w:val="top"/>
          </w:tcPr>
          <w:p>
            <w:pPr>
              <w:pStyle w:val="3"/>
              <w:wordWrap w:val="0"/>
              <w:spacing w:before="0" w:beforeAutospacing="0" w:after="0" w:afterAutospacing="0"/>
              <w:rPr>
                <w:rFonts w:ascii="新宋体" w:hAnsi="新宋体" w:eastAsia="新宋体" w:cs="新宋体"/>
                <w:sz w:val="21"/>
                <w:szCs w:val="21"/>
              </w:rPr>
            </w:pPr>
            <w:r>
              <w:rPr>
                <w:rFonts w:hint="eastAsia" w:ascii="新宋体" w:hAnsi="新宋体" w:eastAsia="新宋体" w:cs="新宋体"/>
                <w:sz w:val="21"/>
                <w:szCs w:val="21"/>
              </w:rPr>
              <w:t>提供同类整理工作项目业绩和案例材料，需提供合同、验收文件。提供1个得</w:t>
            </w:r>
            <w:r>
              <w:rPr>
                <w:rFonts w:hint="eastAsia" w:ascii="新宋体" w:hAnsi="新宋体" w:eastAsia="新宋体" w:cs="新宋体"/>
                <w:sz w:val="21"/>
                <w:szCs w:val="21"/>
                <w:lang w:val="en-US" w:eastAsia="zh-CN"/>
              </w:rPr>
              <w:t>2</w:t>
            </w:r>
            <w:r>
              <w:rPr>
                <w:rFonts w:hint="eastAsia" w:ascii="新宋体" w:hAnsi="新宋体" w:eastAsia="新宋体" w:cs="新宋体"/>
                <w:sz w:val="21"/>
                <w:szCs w:val="21"/>
              </w:rPr>
              <w:t>分，得分上限不超过</w:t>
            </w:r>
            <w:r>
              <w:rPr>
                <w:rFonts w:hint="eastAsia" w:ascii="新宋体" w:hAnsi="新宋体" w:eastAsia="新宋体" w:cs="新宋体"/>
                <w:sz w:val="21"/>
                <w:szCs w:val="21"/>
                <w:lang w:val="en-US" w:eastAsia="zh-CN"/>
              </w:rPr>
              <w:t>10</w:t>
            </w:r>
            <w:r>
              <w:rPr>
                <w:rFonts w:hint="eastAsia" w:ascii="新宋体" w:hAnsi="新宋体" w:eastAsia="新宋体" w:cs="新宋体"/>
                <w:sz w:val="21"/>
                <w:szCs w:val="21"/>
              </w:rPr>
              <w:t>分</w:t>
            </w:r>
          </w:p>
        </w:tc>
        <w:tc>
          <w:tcPr>
            <w:tcW w:w="886"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20" w:type="dxa"/>
              <w:bottom w:w="60" w:type="dxa"/>
              <w:right w:w="120" w:type="dxa"/>
            </w:tcMar>
            <w:vAlign w:val="center"/>
          </w:tcPr>
          <w:p>
            <w:pPr>
              <w:pStyle w:val="3"/>
              <w:wordWrap w:val="0"/>
              <w:spacing w:before="0" w:beforeAutospacing="0" w:after="0" w:afterAutospacing="0"/>
              <w:jc w:val="center"/>
              <w:rPr>
                <w:rFonts w:hint="default"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10</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938"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20" w:type="dxa"/>
              <w:bottom w:w="60" w:type="dxa"/>
              <w:right w:w="120" w:type="dxa"/>
            </w:tcMar>
            <w:vAlign w:val="top"/>
          </w:tcPr>
          <w:p>
            <w:pPr>
              <w:pStyle w:val="3"/>
              <w:wordWrap w:val="0"/>
              <w:spacing w:before="0" w:beforeAutospacing="0" w:after="0" w:afterAutospacing="0"/>
              <w:rPr>
                <w:rFonts w:hint="eastAsia" w:ascii="新宋体" w:hAnsi="新宋体" w:eastAsia="新宋体" w:cs="新宋体"/>
                <w:sz w:val="21"/>
                <w:szCs w:val="21"/>
              </w:rPr>
            </w:pPr>
            <w:r>
              <w:rPr>
                <w:rFonts w:hint="eastAsia" w:ascii="新宋体" w:hAnsi="新宋体" w:eastAsia="新宋体" w:cs="新宋体"/>
                <w:sz w:val="21"/>
                <w:szCs w:val="21"/>
              </w:rPr>
              <w:t>5</w:t>
            </w:r>
          </w:p>
        </w:tc>
        <w:tc>
          <w:tcPr>
            <w:tcW w:w="791" w:type="dxa"/>
            <w:tcBorders>
              <w:top w:val="single" w:color="000000" w:sz="4" w:space="0"/>
              <w:left w:val="single" w:color="auto" w:sz="4" w:space="0"/>
              <w:bottom w:val="single" w:color="000000" w:sz="4" w:space="0"/>
              <w:right w:val="single" w:color="000000" w:sz="4" w:space="0"/>
            </w:tcBorders>
            <w:shd w:val="clear" w:color="auto" w:fill="FFFFFF"/>
            <w:noWrap w:val="0"/>
            <w:tcMar>
              <w:top w:w="60" w:type="dxa"/>
              <w:left w:w="120" w:type="dxa"/>
              <w:bottom w:w="60" w:type="dxa"/>
              <w:right w:w="120" w:type="dxa"/>
            </w:tcMar>
            <w:vAlign w:val="top"/>
          </w:tcPr>
          <w:p>
            <w:pPr>
              <w:pStyle w:val="3"/>
              <w:wordWrap w:val="0"/>
              <w:spacing w:before="0" w:beforeAutospacing="0" w:after="0" w:afterAutospacing="0"/>
              <w:rPr>
                <w:rFonts w:hint="eastAsia" w:ascii="新宋体" w:hAnsi="新宋体" w:eastAsia="新宋体" w:cs="新宋体"/>
                <w:sz w:val="21"/>
                <w:szCs w:val="21"/>
              </w:rPr>
            </w:pPr>
            <w:r>
              <w:rPr>
                <w:rFonts w:hint="eastAsia" w:ascii="新宋体" w:hAnsi="新宋体" w:eastAsia="新宋体" w:cs="新宋体"/>
                <w:sz w:val="21"/>
                <w:szCs w:val="21"/>
              </w:rPr>
              <w:t>服务设备</w:t>
            </w:r>
          </w:p>
        </w:tc>
        <w:tc>
          <w:tcPr>
            <w:tcW w:w="6082"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20" w:type="dxa"/>
              <w:bottom w:w="60" w:type="dxa"/>
              <w:right w:w="120" w:type="dxa"/>
            </w:tcMar>
            <w:vAlign w:val="top"/>
          </w:tcPr>
          <w:p>
            <w:pPr>
              <w:numPr>
                <w:ilvl w:val="0"/>
                <w:numId w:val="0"/>
              </w:numPr>
              <w:ind w:leftChars="0"/>
              <w:rPr>
                <w:rFonts w:ascii="新宋体" w:hAnsi="新宋体" w:eastAsia="新宋体" w:cs="新宋体"/>
                <w:sz w:val="21"/>
                <w:szCs w:val="21"/>
              </w:rPr>
            </w:pPr>
            <w:r>
              <w:rPr>
                <w:rFonts w:hint="eastAsia" w:ascii="新宋体" w:hAnsi="新宋体" w:eastAsia="新宋体" w:cs="新宋体"/>
                <w:sz w:val="21"/>
                <w:szCs w:val="21"/>
              </w:rPr>
              <w:t>提供完成服务所需工作设备的详细清单，如喷墨打印机、档案盒打印机、高速扫描仪、高速平板扫描仪、高拍仪、装订机等，提供1个得</w:t>
            </w:r>
            <w:r>
              <w:rPr>
                <w:rFonts w:hint="eastAsia" w:ascii="新宋体" w:hAnsi="新宋体" w:eastAsia="新宋体" w:cs="新宋体"/>
                <w:sz w:val="21"/>
                <w:szCs w:val="21"/>
                <w:lang w:val="en-US" w:eastAsia="zh-CN"/>
              </w:rPr>
              <w:t>1</w:t>
            </w:r>
            <w:r>
              <w:rPr>
                <w:rFonts w:hint="eastAsia" w:ascii="新宋体" w:hAnsi="新宋体" w:eastAsia="新宋体" w:cs="新宋体"/>
                <w:sz w:val="21"/>
                <w:szCs w:val="21"/>
              </w:rPr>
              <w:t>分，得分上限不超过10分</w:t>
            </w:r>
          </w:p>
        </w:tc>
        <w:tc>
          <w:tcPr>
            <w:tcW w:w="886"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20" w:type="dxa"/>
              <w:bottom w:w="60" w:type="dxa"/>
              <w:right w:w="120" w:type="dxa"/>
            </w:tcMar>
            <w:vAlign w:val="top"/>
          </w:tcPr>
          <w:p>
            <w:pPr>
              <w:pStyle w:val="3"/>
              <w:wordWrap w:val="0"/>
              <w:spacing w:before="0" w:beforeAutospacing="0" w:after="0" w:afterAutospacing="0"/>
              <w:jc w:val="center"/>
              <w:rPr>
                <w:rFonts w:hint="eastAsia" w:ascii="新宋体" w:hAnsi="新宋体" w:eastAsia="新宋体" w:cs="新宋体"/>
                <w:sz w:val="21"/>
                <w:szCs w:val="21"/>
              </w:rPr>
            </w:pPr>
          </w:p>
          <w:p>
            <w:pPr>
              <w:pStyle w:val="3"/>
              <w:wordWrap w:val="0"/>
              <w:spacing w:before="0" w:beforeAutospacing="0" w:after="0" w:afterAutospacing="0"/>
              <w:jc w:val="center"/>
              <w:rPr>
                <w:rFonts w:hint="eastAsia" w:ascii="新宋体" w:hAnsi="新宋体" w:eastAsia="新宋体" w:cs="新宋体"/>
                <w:sz w:val="21"/>
                <w:szCs w:val="21"/>
              </w:rPr>
            </w:pPr>
          </w:p>
          <w:p>
            <w:pPr>
              <w:pStyle w:val="3"/>
              <w:wordWrap w:val="0"/>
              <w:spacing w:before="0" w:beforeAutospacing="0" w:after="0" w:afterAutospacing="0"/>
              <w:jc w:val="center"/>
              <w:rPr>
                <w:rFonts w:hint="default"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10</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182"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20" w:type="dxa"/>
              <w:bottom w:w="60" w:type="dxa"/>
              <w:right w:w="120" w:type="dxa"/>
            </w:tcMar>
            <w:vAlign w:val="top"/>
          </w:tcPr>
          <w:p>
            <w:pPr>
              <w:pStyle w:val="3"/>
              <w:wordWrap w:val="0"/>
              <w:spacing w:before="0" w:beforeAutospacing="0" w:after="0" w:afterAutospacing="0"/>
              <w:rPr>
                <w:rFonts w:hint="eastAsia" w:ascii="新宋体" w:hAnsi="新宋体" w:eastAsia="新宋体" w:cs="新宋体"/>
                <w:sz w:val="21"/>
                <w:szCs w:val="21"/>
              </w:rPr>
            </w:pPr>
            <w:r>
              <w:rPr>
                <w:rFonts w:hint="eastAsia" w:ascii="新宋体" w:hAnsi="新宋体" w:eastAsia="新宋体" w:cs="新宋体"/>
                <w:sz w:val="21"/>
                <w:szCs w:val="21"/>
              </w:rPr>
              <w:t>6</w:t>
            </w:r>
          </w:p>
        </w:tc>
        <w:tc>
          <w:tcPr>
            <w:tcW w:w="791" w:type="dxa"/>
            <w:tcBorders>
              <w:top w:val="single" w:color="000000" w:sz="4" w:space="0"/>
              <w:left w:val="single" w:color="auto" w:sz="4" w:space="0"/>
              <w:bottom w:val="single" w:color="000000" w:sz="4" w:space="0"/>
              <w:right w:val="single" w:color="000000" w:sz="4" w:space="0"/>
            </w:tcBorders>
            <w:shd w:val="clear" w:color="auto" w:fill="FFFFFF"/>
            <w:noWrap w:val="0"/>
            <w:tcMar>
              <w:top w:w="60" w:type="dxa"/>
              <w:left w:w="120" w:type="dxa"/>
              <w:bottom w:w="60" w:type="dxa"/>
              <w:right w:w="120" w:type="dxa"/>
            </w:tcMar>
            <w:vAlign w:val="top"/>
          </w:tcPr>
          <w:p>
            <w:pPr>
              <w:pStyle w:val="3"/>
              <w:wordWrap w:val="0"/>
              <w:spacing w:before="0" w:beforeAutospacing="0" w:after="0" w:afterAutospacing="0"/>
              <w:rPr>
                <w:rFonts w:hint="eastAsia" w:ascii="新宋体" w:hAnsi="新宋体" w:eastAsia="新宋体" w:cs="新宋体"/>
                <w:sz w:val="21"/>
                <w:szCs w:val="21"/>
                <w:lang w:eastAsia="zh-CN"/>
              </w:rPr>
            </w:pPr>
            <w:r>
              <w:rPr>
                <w:rFonts w:hint="eastAsia" w:ascii="新宋体" w:hAnsi="新宋体" w:eastAsia="新宋体" w:cs="新宋体"/>
                <w:sz w:val="21"/>
                <w:szCs w:val="21"/>
                <w:lang w:eastAsia="zh-CN"/>
              </w:rPr>
              <w:t>价格评分</w:t>
            </w:r>
          </w:p>
        </w:tc>
        <w:tc>
          <w:tcPr>
            <w:tcW w:w="6082"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20" w:type="dxa"/>
              <w:bottom w:w="60" w:type="dxa"/>
              <w:right w:w="120" w:type="dxa"/>
            </w:tcMar>
            <w:vAlign w:val="top"/>
          </w:tcPr>
          <w:p>
            <w:pPr>
              <w:pStyle w:val="3"/>
              <w:wordWrap w:val="0"/>
              <w:spacing w:before="0" w:beforeAutospacing="0" w:after="0" w:afterAutospacing="0"/>
              <w:rPr>
                <w:rFonts w:hint="default" w:ascii="新宋体" w:hAnsi="新宋体" w:eastAsia="新宋体" w:cs="新宋体"/>
                <w:sz w:val="21"/>
                <w:szCs w:val="21"/>
                <w:lang w:val="en-US" w:eastAsia="zh-CN"/>
              </w:rPr>
            </w:pPr>
            <w:r>
              <w:rPr>
                <w:rFonts w:hint="default" w:ascii="新宋体" w:hAnsi="新宋体" w:eastAsia="新宋体" w:cs="新宋体"/>
                <w:sz w:val="21"/>
                <w:szCs w:val="21"/>
                <w:lang w:val="en-US" w:eastAsia="zh-CN"/>
              </w:rPr>
              <w:t>按各响应报价（下浮</w:t>
            </w:r>
            <w:r>
              <w:rPr>
                <w:rFonts w:hint="eastAsia" w:ascii="新宋体" w:hAnsi="新宋体" w:eastAsia="新宋体" w:cs="新宋体"/>
                <w:sz w:val="21"/>
                <w:szCs w:val="21"/>
                <w:lang w:val="en-US" w:eastAsia="zh-CN"/>
              </w:rPr>
              <w:t>率</w:t>
            </w:r>
            <w:r>
              <w:rPr>
                <w:rFonts w:hint="default" w:ascii="新宋体" w:hAnsi="新宋体" w:eastAsia="新宋体" w:cs="新宋体"/>
                <w:sz w:val="21"/>
                <w:szCs w:val="21"/>
                <w:lang w:val="en-US" w:eastAsia="zh-CN"/>
              </w:rPr>
              <w:t>）的算术平均值为评分基准价，报价得分折算公式如下：</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S=</w:t>
            </w:r>
            <m:oMath>
              <m:r>
                <m:rPr>
                  <m:sty m:val="p"/>
                </m:rPr>
                <w:rPr>
                  <w:rFonts w:hint="eastAsia" w:ascii="DejaVu Math TeX Gyre" w:hAnsi="DejaVu Math TeX Gyre" w:eastAsiaTheme="minorEastAsia" w:cstheme="minorEastAsia"/>
                  <w:color w:val="000000"/>
                  <w:kern w:val="2"/>
                  <w:sz w:val="21"/>
                  <w:szCs w:val="21"/>
                  <w:lang w:val="en-US" w:eastAsia="zh-CN" w:bidi="ar-SA"/>
                </w:rPr>
                <m:t>（</m:t>
              </m:r>
              <m:r>
                <m:rPr>
                  <m:sty m:val="p"/>
                </m:rPr>
                <w:rPr>
                  <w:rFonts w:hint="eastAsia" w:ascii="DejaVu Math TeX Gyre" w:hAnsi="DejaVu Math TeX Gyre" w:eastAsiaTheme="minorEastAsia" w:cstheme="minorEastAsia"/>
                  <w:color w:val="000000"/>
                  <w:sz w:val="21"/>
                  <w:szCs w:val="21"/>
                  <w:lang w:val="en-US" w:eastAsia="zh-CN"/>
                </w:rPr>
                <m:t>100−</m:t>
              </m:r>
              <m:f>
                <m:fPr>
                  <m:ctrlPr>
                    <w:rPr>
                      <w:rFonts w:hint="eastAsia" w:ascii="DejaVu Math TeX Gyre" w:hAnsi="DejaVu Math TeX Gyre" w:eastAsiaTheme="minorEastAsia" w:cstheme="minorEastAsia"/>
                      <w:b w:val="0"/>
                      <w:i w:val="0"/>
                      <w:color w:val="000000"/>
                      <w:sz w:val="21"/>
                      <w:szCs w:val="21"/>
                      <w:lang w:val="en-US" w:eastAsia="zh-CN"/>
                    </w:rPr>
                  </m:ctrlPr>
                </m:fPr>
                <m:num>
                  <m:d>
                    <m:dPr>
                      <m:begChr m:val="|"/>
                      <m:endChr m:val="|"/>
                      <m:ctrlPr>
                        <w:rPr>
                          <w:rFonts w:hint="eastAsia" w:ascii="DejaVu Math TeX Gyre" w:hAnsi="DejaVu Math TeX Gyre" w:eastAsiaTheme="minorEastAsia" w:cstheme="minorEastAsia"/>
                          <w:b w:val="0"/>
                          <w:i w:val="0"/>
                          <w:color w:val="000000"/>
                          <w:sz w:val="21"/>
                          <w:szCs w:val="21"/>
                          <w:lang w:val="en-US" w:eastAsia="zh-CN"/>
                        </w:rPr>
                      </m:ctrlPr>
                    </m:dPr>
                    <m:e>
                      <m:r>
                        <m:rPr>
                          <m:sty m:val="p"/>
                        </m:rPr>
                        <w:rPr>
                          <w:rFonts w:hint="eastAsia" w:ascii="DejaVu Math TeX Gyre" w:hAnsi="DejaVu Math TeX Gyre" w:eastAsiaTheme="minorEastAsia" w:cstheme="minorEastAsia"/>
                          <w:color w:val="000000"/>
                          <w:sz w:val="21"/>
                          <w:szCs w:val="21"/>
                          <w:lang w:val="en-US" w:eastAsia="zh-CN"/>
                        </w:rPr>
                        <m:t>B−A</m:t>
                      </m:r>
                      <m:ctrlPr>
                        <w:rPr>
                          <w:rFonts w:hint="eastAsia" w:ascii="DejaVu Math TeX Gyre" w:hAnsi="DejaVu Math TeX Gyre" w:eastAsiaTheme="minorEastAsia" w:cstheme="minorEastAsia"/>
                          <w:b w:val="0"/>
                          <w:i w:val="0"/>
                          <w:color w:val="000000"/>
                          <w:sz w:val="21"/>
                          <w:szCs w:val="21"/>
                          <w:lang w:val="en-US" w:eastAsia="zh-CN"/>
                        </w:rPr>
                      </m:ctrlPr>
                    </m:e>
                  </m:d>
                  <m:ctrlPr>
                    <w:rPr>
                      <w:rFonts w:hint="eastAsia" w:ascii="DejaVu Math TeX Gyre" w:hAnsi="DejaVu Math TeX Gyre" w:eastAsiaTheme="minorEastAsia" w:cstheme="minorEastAsia"/>
                      <w:b w:val="0"/>
                      <w:i w:val="0"/>
                      <w:color w:val="000000"/>
                      <w:sz w:val="21"/>
                      <w:szCs w:val="21"/>
                      <w:lang w:val="en-US" w:eastAsia="zh-CN"/>
                    </w:rPr>
                  </m:ctrlPr>
                </m:num>
                <m:den>
                  <m:r>
                    <m:rPr>
                      <m:sty m:val="p"/>
                    </m:rPr>
                    <w:rPr>
                      <w:rFonts w:hint="eastAsia" w:ascii="DejaVu Math TeX Gyre" w:hAnsi="DejaVu Math TeX Gyre" w:eastAsiaTheme="minorEastAsia" w:cstheme="minorEastAsia"/>
                      <w:color w:val="000000"/>
                      <w:sz w:val="21"/>
                      <w:szCs w:val="21"/>
                      <w:lang w:val="en-US" w:eastAsia="zh-CN"/>
                    </w:rPr>
                    <m:t>A</m:t>
                  </m:r>
                  <m:ctrlPr>
                    <w:rPr>
                      <w:rFonts w:hint="eastAsia" w:ascii="DejaVu Math TeX Gyre" w:hAnsi="DejaVu Math TeX Gyre" w:eastAsiaTheme="minorEastAsia" w:cstheme="minorEastAsia"/>
                      <w:b w:val="0"/>
                      <w:i w:val="0"/>
                      <w:color w:val="000000"/>
                      <w:sz w:val="21"/>
                      <w:szCs w:val="21"/>
                      <w:lang w:val="en-US" w:eastAsia="zh-CN"/>
                    </w:rPr>
                  </m:ctrlPr>
                </m:den>
              </m:f>
              <m:r>
                <m:rPr>
                  <m:sty m:val="p"/>
                </m:rPr>
                <w:rPr>
                  <w:rFonts w:hint="eastAsia" w:ascii="DejaVu Math TeX Gyre" w:hAnsi="DejaVu Math TeX Gyre" w:eastAsiaTheme="minorEastAsia" w:cstheme="minorEastAsia"/>
                  <w:color w:val="000000"/>
                  <w:sz w:val="21"/>
                  <w:szCs w:val="21"/>
                  <w:lang w:val="en-US" w:eastAsia="zh-CN"/>
                </w:rPr>
                <m:t>∗100</m:t>
              </m:r>
              <m:r>
                <m:rPr>
                  <m:sty m:val="p"/>
                </m:rPr>
                <w:rPr>
                  <w:rFonts w:hint="eastAsia" w:ascii="DejaVu Math TeX Gyre" w:hAnsi="DejaVu Math TeX Gyre" w:eastAsiaTheme="minorEastAsia" w:cstheme="minorEastAsia"/>
                  <w:color w:val="000000"/>
                  <w:kern w:val="2"/>
                  <w:sz w:val="21"/>
                  <w:szCs w:val="21"/>
                  <w:lang w:val="en-US" w:eastAsia="zh-CN" w:bidi="ar-SA"/>
                </w:rPr>
                <m:t>）</m:t>
              </m:r>
            </m:oMath>
            <w:r>
              <w:rPr>
                <w:rFonts w:hint="eastAsia" w:asciiTheme="minorEastAsia" w:hAnsiTheme="minorEastAsia" w:eastAsiaTheme="minorEastAsia" w:cstheme="minorEastAsia"/>
                <w:color w:val="000000"/>
                <w:sz w:val="21"/>
                <w:szCs w:val="21"/>
                <w:lang w:val="en-US" w:eastAsia="zh-CN"/>
              </w:rPr>
              <w:t>*10</w:t>
            </w:r>
            <w:r>
              <w:rPr>
                <w:rFonts w:hint="eastAsia" w:asciiTheme="minorEastAsia" w:hAnsiTheme="minorEastAsia" w:eastAsiaTheme="minorEastAsia" w:cstheme="minorEastAsia"/>
                <w:color w:val="000000"/>
                <w:sz w:val="21"/>
                <w:szCs w:val="21"/>
              </w:rPr>
              <w:t>%</w:t>
            </w:r>
          </w:p>
          <w:p>
            <w:pPr>
              <w:pStyle w:val="3"/>
              <w:wordWrap w:val="0"/>
              <w:spacing w:before="0" w:beforeAutospacing="0" w:after="0" w:afterAutospacing="0"/>
              <w:rPr>
                <w:rFonts w:hint="default" w:ascii="新宋体" w:hAnsi="新宋体" w:eastAsia="新宋体" w:cs="新宋体"/>
                <w:sz w:val="21"/>
                <w:szCs w:val="21"/>
                <w:lang w:val="en-US" w:eastAsia="zh-CN"/>
              </w:rPr>
            </w:pPr>
            <w:r>
              <w:rPr>
                <w:rFonts w:hint="default" w:ascii="新宋体" w:hAnsi="新宋体" w:eastAsia="新宋体" w:cs="新宋体"/>
                <w:sz w:val="21"/>
                <w:szCs w:val="21"/>
                <w:lang w:val="en-US" w:eastAsia="zh-CN"/>
              </w:rPr>
              <w:t>S—报价得分；</w:t>
            </w:r>
          </w:p>
          <w:p>
            <w:pPr>
              <w:pStyle w:val="3"/>
              <w:wordWrap w:val="0"/>
              <w:spacing w:before="0" w:beforeAutospacing="0" w:after="0" w:afterAutospacing="0"/>
              <w:rPr>
                <w:rFonts w:hint="default" w:ascii="新宋体" w:hAnsi="新宋体" w:eastAsia="新宋体" w:cs="新宋体"/>
                <w:sz w:val="21"/>
                <w:szCs w:val="21"/>
                <w:lang w:val="en-US" w:eastAsia="zh-CN"/>
              </w:rPr>
            </w:pPr>
            <w:r>
              <w:rPr>
                <w:rFonts w:hint="default" w:ascii="新宋体" w:hAnsi="新宋体" w:eastAsia="新宋体" w:cs="新宋体"/>
                <w:sz w:val="21"/>
                <w:szCs w:val="21"/>
                <w:lang w:val="en-US" w:eastAsia="zh-CN"/>
              </w:rPr>
              <w:t>B—响应人的报价；</w:t>
            </w:r>
          </w:p>
          <w:p>
            <w:pPr>
              <w:pStyle w:val="3"/>
              <w:wordWrap w:val="0"/>
              <w:spacing w:before="0" w:beforeAutospacing="0" w:after="0" w:afterAutospacing="0"/>
              <w:rPr>
                <w:rFonts w:hint="default" w:ascii="新宋体" w:hAnsi="新宋体" w:eastAsia="新宋体" w:cs="新宋体"/>
                <w:sz w:val="21"/>
                <w:szCs w:val="21"/>
                <w:lang w:val="en-US" w:eastAsia="zh-CN"/>
              </w:rPr>
            </w:pPr>
            <w:r>
              <w:rPr>
                <w:rFonts w:hint="default" w:ascii="新宋体" w:hAnsi="新宋体" w:eastAsia="新宋体" w:cs="新宋体"/>
                <w:sz w:val="21"/>
                <w:szCs w:val="21"/>
                <w:lang w:val="en-US" w:eastAsia="zh-CN"/>
              </w:rPr>
              <w:t>A—评分基准价；</w:t>
            </w:r>
          </w:p>
          <w:p>
            <w:pPr>
              <w:pStyle w:val="3"/>
              <w:wordWrap w:val="0"/>
              <w:spacing w:before="0" w:beforeAutospacing="0" w:after="0" w:afterAutospacing="0"/>
              <w:rPr>
                <w:rFonts w:hint="default" w:ascii="新宋体" w:hAnsi="新宋体" w:eastAsia="新宋体" w:cs="新宋体"/>
                <w:sz w:val="21"/>
                <w:szCs w:val="21"/>
                <w:lang w:val="en-US" w:eastAsia="zh-CN"/>
              </w:rPr>
            </w:pPr>
            <w:r>
              <w:rPr>
                <w:rFonts w:hint="default" w:ascii="新宋体" w:hAnsi="新宋体" w:eastAsia="新宋体" w:cs="新宋体"/>
                <w:sz w:val="21"/>
                <w:szCs w:val="21"/>
                <w:lang w:val="en-US" w:eastAsia="zh-CN"/>
              </w:rPr>
              <w:t>响应人报价得分最低分为0分，取值保留到小数点后两位。</w:t>
            </w:r>
          </w:p>
        </w:tc>
        <w:tc>
          <w:tcPr>
            <w:tcW w:w="886" w:type="dxa"/>
            <w:tcBorders>
              <w:top w:val="single" w:color="000000" w:sz="4" w:space="0"/>
              <w:left w:val="single" w:color="000000" w:sz="4" w:space="0"/>
              <w:bottom w:val="single" w:color="000000" w:sz="4" w:space="0"/>
              <w:right w:val="single" w:color="000000" w:sz="4" w:space="0"/>
            </w:tcBorders>
            <w:shd w:val="clear" w:color="auto" w:fill="FFFFFF"/>
            <w:noWrap w:val="0"/>
            <w:tcMar>
              <w:top w:w="60" w:type="dxa"/>
              <w:left w:w="120" w:type="dxa"/>
              <w:bottom w:w="60" w:type="dxa"/>
              <w:right w:w="120" w:type="dxa"/>
            </w:tcMar>
            <w:vAlign w:val="top"/>
          </w:tcPr>
          <w:p>
            <w:pPr>
              <w:pStyle w:val="3"/>
              <w:wordWrap w:val="0"/>
              <w:spacing w:before="0" w:beforeAutospacing="0" w:after="0" w:afterAutospacing="0"/>
              <w:jc w:val="center"/>
              <w:rPr>
                <w:rFonts w:hint="eastAsia" w:ascii="新宋体" w:hAnsi="新宋体" w:eastAsia="新宋体" w:cs="新宋体"/>
                <w:sz w:val="21"/>
                <w:szCs w:val="21"/>
              </w:rPr>
            </w:pPr>
            <w:r>
              <w:rPr>
                <w:rFonts w:hint="eastAsia" w:ascii="新宋体" w:hAnsi="新宋体" w:eastAsia="新宋体" w:cs="新宋体"/>
                <w:sz w:val="21"/>
                <w:szCs w:val="21"/>
              </w:rPr>
              <w:t>10</w:t>
            </w:r>
          </w:p>
        </w:tc>
      </w:tr>
    </w:tbl>
    <w:p>
      <w:pPr>
        <w:pStyle w:val="3"/>
        <w:keepNext w:val="0"/>
        <w:keepLines w:val="0"/>
        <w:pageBreakBefore w:val="0"/>
        <w:kinsoku/>
        <w:wordWrap/>
        <w:overflowPunct/>
        <w:topLinePunct w:val="0"/>
        <w:autoSpaceDE/>
        <w:autoSpaceDN/>
        <w:bidi w:val="0"/>
        <w:adjustRightInd/>
        <w:spacing w:before="0" w:beforeAutospacing="0" w:after="0" w:afterAutospacing="0" w:line="500" w:lineRule="exact"/>
        <w:ind w:firstLine="0" w:firstLineChars="0"/>
        <w:jc w:val="both"/>
        <w:textAlignment w:val="auto"/>
        <w:rPr>
          <w:rFonts w:hint="eastAsia" w:ascii="仿宋_GB2312" w:hAnsi="仿宋_GB2312" w:eastAsia="仿宋_GB2312" w:cs="仿宋_GB2312"/>
          <w:color w:val="auto"/>
          <w:sz w:val="32"/>
          <w:szCs w:val="32"/>
          <w:u w:val="none"/>
          <w:lang w:eastAsia="zh-CN"/>
        </w:rPr>
      </w:pPr>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Nimbus Roman No9 L">
    <w:panose1 w:val="00000000000000000000"/>
    <w:charset w:val="00"/>
    <w:family w:val="auto"/>
    <w:pitch w:val="default"/>
    <w:sig w:usb0="00000000" w:usb1="00000000" w:usb2="00000000" w:usb3="00000000" w:csb0="0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新宋体">
    <w:altName w:val="方正书宋_GBK"/>
    <w:panose1 w:val="02010609030101010101"/>
    <w:charset w:val="00"/>
    <w:family w:val="auto"/>
    <w:pitch w:val="default"/>
    <w:sig w:usb0="00000000" w:usb1="00000000" w:usb2="00000006" w:usb3="00000000" w:csb0="00040001" w:csb1="00000000"/>
  </w:font>
  <w:font w:name="DejaVu Math TeX Gyre">
    <w:panose1 w:val="02000503000000000000"/>
    <w:charset w:val="00"/>
    <w:family w:val="auto"/>
    <w:pitch w:val="default"/>
    <w:sig w:usb0="A10000EF" w:usb1="4201F9EE" w:usb2="02000000" w:usb3="00000000" w:csb0="60000193" w:csb1="0DD4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separate"/>
    </w:r>
    <w:r>
      <w:rPr>
        <w:rStyle w:val="6"/>
      </w:rPr>
      <w:t>3</w:t>
    </w:r>
    <w:r>
      <w:rPr>
        <w:rStyle w:val="6"/>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6E7166"/>
    <w:multiLevelType w:val="singleLevel"/>
    <w:tmpl w:val="176E7166"/>
    <w:lvl w:ilvl="0" w:tentative="0">
      <w:start w:val="1"/>
      <w:numFmt w:val="decimal"/>
      <w:suff w:val="nothing"/>
      <w:lvlText w:val="%1、"/>
      <w:lvlJc w:val="left"/>
    </w:lvl>
  </w:abstractNum>
  <w:abstractNum w:abstractNumId="1">
    <w:nsid w:val="5110FC47"/>
    <w:multiLevelType w:val="singleLevel"/>
    <w:tmpl w:val="5110FC47"/>
    <w:lvl w:ilvl="0" w:tentative="0">
      <w:start w:val="1"/>
      <w:numFmt w:val="decimal"/>
      <w:suff w:val="nothing"/>
      <w:lvlText w:val="%1、"/>
      <w:lvlJc w:val="left"/>
    </w:lvl>
  </w:abstractNum>
  <w:abstractNum w:abstractNumId="2">
    <w:nsid w:val="52C5CB93"/>
    <w:multiLevelType w:val="singleLevel"/>
    <w:tmpl w:val="52C5CB93"/>
    <w:lvl w:ilvl="0" w:tentative="0">
      <w:start w:val="2"/>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17FD550A"/>
    <w:rsid w:val="1CFFBEF8"/>
    <w:rsid w:val="2B7EF5BA"/>
    <w:rsid w:val="37A5143A"/>
    <w:rsid w:val="3BF5966A"/>
    <w:rsid w:val="3BFF3CD5"/>
    <w:rsid w:val="3F6F4340"/>
    <w:rsid w:val="4A1947CF"/>
    <w:rsid w:val="4D7F08F1"/>
    <w:rsid w:val="5FDB3CD9"/>
    <w:rsid w:val="63F7864A"/>
    <w:rsid w:val="67F5D925"/>
    <w:rsid w:val="6C5CD387"/>
    <w:rsid w:val="71D3F37D"/>
    <w:rsid w:val="77DF1C60"/>
    <w:rsid w:val="77F9403B"/>
    <w:rsid w:val="7D5161D1"/>
    <w:rsid w:val="7E55B01E"/>
    <w:rsid w:val="7FF3F4BA"/>
    <w:rsid w:val="9FD741CC"/>
    <w:rsid w:val="B4FF5FD6"/>
    <w:rsid w:val="D7CE6A3C"/>
    <w:rsid w:val="DA1F3690"/>
    <w:rsid w:val="EC6D340B"/>
    <w:rsid w:val="EEFDAEBD"/>
    <w:rsid w:val="F3FF2065"/>
    <w:rsid w:val="FEBFAA21"/>
    <w:rsid w:val="FEFA21BB"/>
    <w:rsid w:val="FFD39DB6"/>
    <w:rsid w:val="FFEF1EF9"/>
    <w:rsid w:val="FFFA39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unhideWhenUsed/>
    <w:qFormat/>
    <w:uiPriority w:val="0"/>
    <w:pPr>
      <w:widowControl/>
      <w:spacing w:before="100" w:beforeAutospacing="1" w:after="100" w:afterAutospacing="1"/>
      <w:jc w:val="left"/>
    </w:pPr>
    <w:rPr>
      <w:rFonts w:ascii="宋体" w:hAnsi="宋体" w:eastAsia="宋体" w:cs="宋体"/>
      <w:kern w:val="0"/>
      <w:sz w:val="24"/>
    </w:rPr>
  </w:style>
  <w:style w:type="character" w:styleId="6">
    <w:name w:val="page number"/>
    <w:basedOn w:val="5"/>
    <w:qFormat/>
    <w:uiPriority w:val="0"/>
  </w:style>
  <w:style w:type="character" w:styleId="7">
    <w:name w:val="Hyperlink"/>
    <w:basedOn w:val="5"/>
    <w:qFormat/>
    <w:uiPriority w:val="0"/>
    <w:rPr>
      <w:color w:val="0000FF"/>
      <w:u w:val="single"/>
    </w:rPr>
  </w:style>
  <w:style w:type="character" w:customStyle="1" w:styleId="8">
    <w:name w:val="font21"/>
    <w:basedOn w:val="5"/>
    <w:qFormat/>
    <w:uiPriority w:val="0"/>
    <w:rPr>
      <w:rFonts w:hint="eastAsia" w:ascii="仿宋_GB2312" w:eastAsia="仿宋_GB2312" w:cs="仿宋_GB2312"/>
      <w:b/>
      <w:bCs/>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2018-07-18T15:11:00Z</dcterms:created>
  <dc:creator>d</dc:creator>
  <cp:lastModifiedBy>greatwall</cp:lastModifiedBy>
  <cp:lastPrinted>2025-05-22T07:27:00Z</cp:lastPrinted>
  <dcterms:modified xsi:type="dcterms:W3CDTF">2025-06-06T17:59:36Z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8CFDF8DB9236EF9F385042681A610FCC</vt:lpwstr>
  </property>
</Properties>
</file>