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8E8D4">
      <w:pPr>
        <w:spacing w:line="560" w:lineRule="exact"/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江门市新会公路局养护中心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省道S271线崖门电厂路段(K109+000~K110+000)</w:t>
      </w:r>
    </w:p>
    <w:p w14:paraId="342FBAD8">
      <w:pPr>
        <w:spacing w:line="560" w:lineRule="exact"/>
        <w:jc w:val="center"/>
        <w:rPr>
          <w:rFonts w:hint="eastAsia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次等路整治工程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钢筋</w:t>
      </w:r>
      <w:r>
        <w:rPr>
          <w:rFonts w:hint="eastAsia"/>
          <w:b/>
          <w:bCs/>
          <w:color w:val="auto"/>
          <w:sz w:val="28"/>
          <w:szCs w:val="28"/>
        </w:rPr>
        <w:t>采购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评分标准</w:t>
      </w:r>
    </w:p>
    <w:p w14:paraId="626129D8">
      <w:pPr>
        <w:spacing w:line="560" w:lineRule="exact"/>
        <w:jc w:val="center"/>
        <w:rPr>
          <w:rFonts w:hint="eastAsia"/>
          <w:b/>
          <w:bCs/>
          <w:color w:val="auto"/>
          <w:sz w:val="28"/>
          <w:szCs w:val="28"/>
        </w:rPr>
      </w:pPr>
    </w:p>
    <w:p w14:paraId="7A3197C8">
      <w:pPr>
        <w:spacing w:line="560" w:lineRule="exact"/>
        <w:ind w:firstLine="560"/>
        <w:jc w:val="left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一、本</w:t>
      </w:r>
      <w:r>
        <w:rPr>
          <w:rFonts w:hint="eastAsia"/>
          <w:b/>
          <w:bCs/>
          <w:color w:val="auto"/>
          <w:sz w:val="24"/>
          <w:lang w:eastAsia="zh-CN"/>
        </w:rPr>
        <w:t>采购</w:t>
      </w:r>
      <w:r>
        <w:rPr>
          <w:rFonts w:hint="eastAsia"/>
          <w:b/>
          <w:bCs/>
          <w:color w:val="auto"/>
          <w:sz w:val="24"/>
        </w:rPr>
        <w:t>项目采用综合评分选取方式</w:t>
      </w:r>
    </w:p>
    <w:p w14:paraId="54C03CBA">
      <w:pPr>
        <w:spacing w:line="560" w:lineRule="exact"/>
        <w:ind w:firstLine="560"/>
        <w:jc w:val="left"/>
        <w:rPr>
          <w:color w:val="auto"/>
          <w:sz w:val="24"/>
        </w:rPr>
      </w:pPr>
      <w:r>
        <w:rPr>
          <w:rFonts w:hint="eastAsia"/>
          <w:color w:val="auto"/>
          <w:sz w:val="24"/>
        </w:rPr>
        <w:t>本次采购采用综合评</w:t>
      </w:r>
      <w:r>
        <w:rPr>
          <w:rFonts w:hint="eastAsia"/>
          <w:color w:val="auto"/>
          <w:sz w:val="24"/>
          <w:lang w:eastAsia="zh-CN"/>
        </w:rPr>
        <w:t>选</w:t>
      </w:r>
      <w:r>
        <w:rPr>
          <w:rFonts w:hint="eastAsia"/>
          <w:color w:val="auto"/>
          <w:sz w:val="24"/>
        </w:rPr>
        <w:t>的方式确定中选单位。</w:t>
      </w:r>
      <w:r>
        <w:rPr>
          <w:rFonts w:hint="eastAsia"/>
          <w:color w:val="auto"/>
          <w:sz w:val="24"/>
          <w:lang w:eastAsia="zh-CN"/>
        </w:rPr>
        <w:t>采购</w:t>
      </w:r>
      <w:r>
        <w:rPr>
          <w:rFonts w:hint="eastAsia"/>
          <w:color w:val="auto"/>
          <w:sz w:val="24"/>
        </w:rPr>
        <w:t>评选小组先对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单位进行初步评审；然后对满足初步评审要求的</w:t>
      </w:r>
      <w:r>
        <w:rPr>
          <w:rFonts w:hint="eastAsia"/>
          <w:color w:val="auto"/>
          <w:sz w:val="24"/>
          <w:lang w:eastAsia="zh-CN"/>
        </w:rPr>
        <w:t>投标</w:t>
      </w:r>
      <w:r>
        <w:rPr>
          <w:rFonts w:hint="eastAsia"/>
          <w:color w:val="auto"/>
          <w:sz w:val="24"/>
        </w:rPr>
        <w:t>单位</w:t>
      </w:r>
      <w:r>
        <w:rPr>
          <w:rFonts w:hint="eastAsia"/>
          <w:color w:val="auto"/>
          <w:sz w:val="24"/>
          <w:lang w:eastAsia="zh-CN"/>
        </w:rPr>
        <w:t>各规格钢筋的报价进行加权得分计算，</w:t>
      </w:r>
      <w:r>
        <w:rPr>
          <w:rFonts w:hint="eastAsia"/>
          <w:color w:val="auto"/>
          <w:sz w:val="24"/>
        </w:rPr>
        <w:t>按照</w:t>
      </w:r>
      <w:r>
        <w:rPr>
          <w:rFonts w:hint="eastAsia"/>
          <w:color w:val="auto"/>
          <w:sz w:val="24"/>
          <w:lang w:eastAsia="zh-CN"/>
        </w:rPr>
        <w:t>报价加权总得分由低到高</w:t>
      </w:r>
      <w:r>
        <w:rPr>
          <w:rFonts w:hint="eastAsia"/>
          <w:color w:val="auto"/>
          <w:sz w:val="24"/>
        </w:rPr>
        <w:t>顺序推荐</w:t>
      </w:r>
      <w:r>
        <w:rPr>
          <w:rFonts w:hint="eastAsia"/>
          <w:color w:val="auto"/>
          <w:sz w:val="24"/>
          <w:lang w:eastAsia="zh-CN"/>
        </w:rPr>
        <w:t>最多三家为中标候选人，如两家以上（含两家）报价单位得分相同，则由评审小组商议确定报价单位顺位</w:t>
      </w:r>
      <w:r>
        <w:rPr>
          <w:rFonts w:hint="eastAsia"/>
          <w:color w:val="auto"/>
          <w:sz w:val="24"/>
        </w:rPr>
        <w:t>。</w:t>
      </w:r>
      <w:bookmarkStart w:id="0" w:name="_GoBack"/>
      <w:bookmarkEnd w:id="0"/>
    </w:p>
    <w:p w14:paraId="43A60754">
      <w:pPr>
        <w:numPr>
          <w:ilvl w:val="0"/>
          <w:numId w:val="1"/>
        </w:numPr>
        <w:spacing w:line="560" w:lineRule="exact"/>
        <w:ind w:firstLine="560"/>
        <w:jc w:val="left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初步评审</w:t>
      </w:r>
    </w:p>
    <w:tbl>
      <w:tblPr>
        <w:tblStyle w:val="6"/>
        <w:tblW w:w="10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399"/>
        <w:gridCol w:w="6851"/>
      </w:tblGrid>
      <w:tr w14:paraId="38FF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1" w:type="dxa"/>
            <w:gridSpan w:val="2"/>
            <w:vAlign w:val="center"/>
          </w:tcPr>
          <w:p w14:paraId="54368176">
            <w:pPr>
              <w:spacing w:line="5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评审因素与评分值</w:t>
            </w:r>
          </w:p>
        </w:tc>
        <w:tc>
          <w:tcPr>
            <w:tcW w:w="6851" w:type="dxa"/>
            <w:vMerge w:val="restart"/>
            <w:vAlign w:val="center"/>
          </w:tcPr>
          <w:p w14:paraId="0734E0A7">
            <w:pPr>
              <w:spacing w:line="5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初评</w:t>
            </w:r>
            <w:r>
              <w:rPr>
                <w:rFonts w:hint="eastAsia"/>
                <w:color w:val="auto"/>
                <w:sz w:val="24"/>
              </w:rPr>
              <w:t>标准</w:t>
            </w:r>
          </w:p>
        </w:tc>
      </w:tr>
      <w:tr w14:paraId="5C60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2" w:type="dxa"/>
            <w:vAlign w:val="center"/>
          </w:tcPr>
          <w:p w14:paraId="19353FDF">
            <w:pPr>
              <w:spacing w:line="5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评审因素</w:t>
            </w:r>
          </w:p>
        </w:tc>
        <w:tc>
          <w:tcPr>
            <w:tcW w:w="2399" w:type="dxa"/>
            <w:vAlign w:val="center"/>
          </w:tcPr>
          <w:p w14:paraId="62C836E7">
            <w:pPr>
              <w:spacing w:line="5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各评审因素细项</w:t>
            </w:r>
          </w:p>
        </w:tc>
        <w:tc>
          <w:tcPr>
            <w:tcW w:w="6851" w:type="dxa"/>
            <w:vMerge w:val="continue"/>
            <w:vAlign w:val="center"/>
          </w:tcPr>
          <w:p w14:paraId="0325F147">
            <w:pPr>
              <w:spacing w:line="560" w:lineRule="exact"/>
              <w:jc w:val="center"/>
              <w:rPr>
                <w:color w:val="auto"/>
                <w:sz w:val="24"/>
              </w:rPr>
            </w:pPr>
          </w:p>
        </w:tc>
      </w:tr>
      <w:tr w14:paraId="7137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restart"/>
            <w:vAlign w:val="center"/>
          </w:tcPr>
          <w:p w14:paraId="1BC48351">
            <w:pPr>
              <w:spacing w:line="5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初步评审</w:t>
            </w:r>
          </w:p>
        </w:tc>
        <w:tc>
          <w:tcPr>
            <w:tcW w:w="2399" w:type="dxa"/>
            <w:vAlign w:val="center"/>
          </w:tcPr>
          <w:p w14:paraId="15F4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经营</w:t>
            </w:r>
            <w:r>
              <w:rPr>
                <w:rFonts w:hint="eastAsia"/>
                <w:color w:val="auto"/>
                <w:sz w:val="24"/>
                <w:lang w:eastAsia="zh-CN"/>
              </w:rPr>
              <w:t>资质</w:t>
            </w:r>
          </w:p>
        </w:tc>
        <w:tc>
          <w:tcPr>
            <w:tcW w:w="6851" w:type="dxa"/>
            <w:vAlign w:val="center"/>
          </w:tcPr>
          <w:p w14:paraId="595F4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1.在中华人民共和国境内依法注册的具有合法经营资格的独立法人；</w:t>
            </w:r>
          </w:p>
          <w:p w14:paraId="62C6E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2.具有独立承担民事责任及履行合同的能力；</w:t>
            </w:r>
          </w:p>
          <w:p w14:paraId="52264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3.经营范围</w:t>
            </w:r>
            <w:r>
              <w:rPr>
                <w:rFonts w:hint="eastAsia"/>
                <w:color w:val="auto"/>
                <w:sz w:val="24"/>
                <w:lang w:eastAsia="zh-CN"/>
              </w:rPr>
              <w:t>含钢筋销售经营。</w:t>
            </w:r>
          </w:p>
        </w:tc>
      </w:tr>
      <w:tr w14:paraId="2F55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2" w:type="dxa"/>
            <w:vMerge w:val="continue"/>
            <w:vAlign w:val="center"/>
          </w:tcPr>
          <w:p w14:paraId="0D24ECD6">
            <w:pPr>
              <w:spacing w:line="5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0B19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企业信</w:t>
            </w:r>
            <w:r>
              <w:rPr>
                <w:rFonts w:hint="eastAsia"/>
                <w:color w:val="auto"/>
                <w:sz w:val="24"/>
                <w:lang w:eastAsia="zh-CN"/>
              </w:rPr>
              <w:t>用</w:t>
            </w:r>
          </w:p>
        </w:tc>
        <w:tc>
          <w:tcPr>
            <w:tcW w:w="6851" w:type="dxa"/>
            <w:vAlign w:val="center"/>
          </w:tcPr>
          <w:p w14:paraId="3669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不处于中国政府采购网“政府采购严重违法失信行为信息记录”的名单中，在“信用中国”网站或地方信用网站的信用信息报告无不良记录。</w:t>
            </w:r>
          </w:p>
        </w:tc>
      </w:tr>
      <w:tr w14:paraId="6EAE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0218C7A3">
            <w:pPr>
              <w:spacing w:line="5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7D0E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材料质量</w:t>
            </w:r>
          </w:p>
        </w:tc>
        <w:tc>
          <w:tcPr>
            <w:tcW w:w="6851" w:type="dxa"/>
            <w:vAlign w:val="center"/>
          </w:tcPr>
          <w:p w14:paraId="055277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钢材质量符合国家或部颁标准。（GB/T 1499.1-2017《钢筋混凝土用钢 第1部分:热轧光圆钢筋》、GB/T 1499.2-2018《钢筋混凝土用钢 第2部分：热轧带肋钢筋》）</w:t>
            </w:r>
          </w:p>
        </w:tc>
      </w:tr>
      <w:tr w14:paraId="7B00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ED493FC">
            <w:pPr>
              <w:spacing w:line="5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6B55E0E4">
            <w:pPr>
              <w:spacing w:line="500" w:lineRule="exact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  <w:tc>
          <w:tcPr>
            <w:tcW w:w="6851" w:type="dxa"/>
            <w:shd w:val="clear" w:color="auto" w:fill="auto"/>
            <w:vAlign w:val="center"/>
          </w:tcPr>
          <w:p w14:paraId="2EE574A5">
            <w:pPr>
              <w:spacing w:line="500" w:lineRule="exact"/>
              <w:jc w:val="left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各细目单价均不超过对应单价最高限价。</w:t>
            </w:r>
          </w:p>
        </w:tc>
      </w:tr>
    </w:tbl>
    <w:p w14:paraId="7BB66488">
      <w:pPr>
        <w:numPr>
          <w:ilvl w:val="0"/>
          <w:numId w:val="0"/>
        </w:numPr>
        <w:spacing w:line="560" w:lineRule="exact"/>
        <w:jc w:val="left"/>
        <w:rPr>
          <w:b/>
          <w:bCs/>
          <w:color w:val="auto"/>
          <w:sz w:val="24"/>
        </w:rPr>
      </w:pPr>
    </w:p>
    <w:p w14:paraId="08A16AB4">
      <w:pPr>
        <w:numPr>
          <w:ilvl w:val="0"/>
          <w:numId w:val="0"/>
        </w:numPr>
        <w:spacing w:line="560" w:lineRule="exact"/>
        <w:jc w:val="left"/>
        <w:rPr>
          <w:rFonts w:hint="eastAsia"/>
          <w:b/>
          <w:bCs/>
          <w:color w:val="auto"/>
          <w:sz w:val="24"/>
        </w:rPr>
      </w:pPr>
    </w:p>
    <w:p w14:paraId="301DF7B4">
      <w:pPr>
        <w:numPr>
          <w:ilvl w:val="0"/>
          <w:numId w:val="0"/>
        </w:numPr>
        <w:spacing w:line="560" w:lineRule="exact"/>
        <w:jc w:val="left"/>
        <w:rPr>
          <w:rFonts w:hint="eastAsia"/>
          <w:b/>
          <w:bCs/>
          <w:color w:val="auto"/>
          <w:sz w:val="24"/>
        </w:rPr>
      </w:pPr>
    </w:p>
    <w:p w14:paraId="60A89952">
      <w:pPr>
        <w:numPr>
          <w:ilvl w:val="0"/>
          <w:numId w:val="0"/>
        </w:numPr>
        <w:spacing w:line="560" w:lineRule="exact"/>
        <w:ind w:firstLine="482" w:firstLineChars="200"/>
        <w:jc w:val="left"/>
        <w:rPr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  <w:lang w:eastAsia="zh-CN"/>
        </w:rPr>
        <w:t>三、</w:t>
      </w:r>
      <w:r>
        <w:rPr>
          <w:rFonts w:hint="eastAsia"/>
          <w:b/>
          <w:bCs/>
          <w:color w:val="auto"/>
          <w:sz w:val="24"/>
        </w:rPr>
        <w:t>详细评审</w:t>
      </w:r>
    </w:p>
    <w:p w14:paraId="7F3676AE">
      <w:pPr>
        <w:widowControl w:val="0"/>
        <w:numPr>
          <w:ilvl w:val="0"/>
          <w:numId w:val="0"/>
        </w:numPr>
        <w:spacing w:line="560" w:lineRule="exact"/>
        <w:ind w:left="480" w:leftChars="0"/>
        <w:jc w:val="left"/>
        <w:rPr>
          <w:rFonts w:hint="eastAsia"/>
          <w:b w:val="0"/>
          <w:bCs w:val="0"/>
          <w:color w:val="auto"/>
          <w:sz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报价加权得分计算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70"/>
        <w:gridCol w:w="1665"/>
        <w:gridCol w:w="1009"/>
        <w:gridCol w:w="721"/>
        <w:gridCol w:w="912"/>
        <w:gridCol w:w="1258"/>
        <w:gridCol w:w="2540"/>
      </w:tblGrid>
      <w:tr w14:paraId="451B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 w14:paraId="7A375EC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70" w:type="dxa"/>
            <w:vAlign w:val="center"/>
          </w:tcPr>
          <w:p w14:paraId="2064EF2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1665" w:type="dxa"/>
            <w:vAlign w:val="center"/>
          </w:tcPr>
          <w:p w14:paraId="008900E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钢筋</w:t>
            </w:r>
          </w:p>
          <w:p w14:paraId="096459E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品目</w:t>
            </w:r>
          </w:p>
        </w:tc>
        <w:tc>
          <w:tcPr>
            <w:tcW w:w="1009" w:type="dxa"/>
            <w:vAlign w:val="center"/>
          </w:tcPr>
          <w:p w14:paraId="2106B464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 w14:paraId="46B892A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（元/吨）</w:t>
            </w:r>
          </w:p>
        </w:tc>
        <w:tc>
          <w:tcPr>
            <w:tcW w:w="721" w:type="dxa"/>
            <w:vAlign w:val="center"/>
          </w:tcPr>
          <w:p w14:paraId="467D16C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权值</w:t>
            </w:r>
          </w:p>
        </w:tc>
        <w:tc>
          <w:tcPr>
            <w:tcW w:w="912" w:type="dxa"/>
            <w:vAlign w:val="center"/>
          </w:tcPr>
          <w:p w14:paraId="648B5D2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加权得分</w:t>
            </w:r>
          </w:p>
        </w:tc>
        <w:tc>
          <w:tcPr>
            <w:tcW w:w="1258" w:type="dxa"/>
            <w:vAlign w:val="center"/>
          </w:tcPr>
          <w:p w14:paraId="40FCDC4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加权值总得分</w:t>
            </w:r>
          </w:p>
        </w:tc>
        <w:tc>
          <w:tcPr>
            <w:tcW w:w="2540" w:type="dxa"/>
            <w:vAlign w:val="center"/>
          </w:tcPr>
          <w:p w14:paraId="46093F4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27F5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exact"/>
        </w:trPr>
        <w:tc>
          <w:tcPr>
            <w:tcW w:w="787" w:type="dxa"/>
            <w:vMerge w:val="restart"/>
            <w:vAlign w:val="center"/>
          </w:tcPr>
          <w:p w14:paraId="515770BC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70" w:type="dxa"/>
            <w:vMerge w:val="restart"/>
            <w:vAlign w:val="center"/>
          </w:tcPr>
          <w:p w14:paraId="3812807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0FE629AD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HPB300光圆钢筋（规格：</w:t>
            </w:r>
          </w:p>
          <w:p w14:paraId="160DF1D8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Φ28~Φ32）</w:t>
            </w:r>
          </w:p>
          <w:p w14:paraId="2F90D42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1A1766A1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7E27EE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912" w:type="dxa"/>
            <w:vAlign w:val="center"/>
          </w:tcPr>
          <w:p w14:paraId="2111134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Merge w:val="restart"/>
            <w:vAlign w:val="center"/>
          </w:tcPr>
          <w:p w14:paraId="6B5EC64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Merge w:val="restart"/>
            <w:vAlign w:val="center"/>
          </w:tcPr>
          <w:p w14:paraId="71525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一、加权得分计算公式：</w:t>
            </w:r>
          </w:p>
          <w:p w14:paraId="190C4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加权得分＝报价×权值。</w:t>
            </w:r>
          </w:p>
          <w:p w14:paraId="6C148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加权总得分为</w:t>
            </w:r>
            <w:r>
              <w:rPr>
                <w:rFonts w:hint="eastAsia"/>
                <w:color w:val="auto"/>
                <w:sz w:val="24"/>
                <w:lang w:eastAsia="zh-CN"/>
              </w:rPr>
              <w:t>各规格钢筋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报价加权得分值相加总和。</w:t>
            </w:r>
          </w:p>
        </w:tc>
      </w:tr>
      <w:tr w14:paraId="048F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</w:trPr>
        <w:tc>
          <w:tcPr>
            <w:tcW w:w="787" w:type="dxa"/>
            <w:vMerge w:val="continue"/>
            <w:vAlign w:val="center"/>
          </w:tcPr>
          <w:p w14:paraId="1458EA53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15D02F1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5B14D5F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HRB400带肋钢筋（规格：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6" name="图片 6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133350" cy="144145"/>
                  <wp:effectExtent l="0" t="0" r="0" b="8255"/>
                  <wp:docPr id="1" name="图片 1" descr="42b4526aae63ae84f156f8b8b7d59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b4526aae63ae84f156f8b8b7d59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16）</w:t>
            </w:r>
          </w:p>
        </w:tc>
        <w:tc>
          <w:tcPr>
            <w:tcW w:w="1009" w:type="dxa"/>
            <w:vAlign w:val="center"/>
          </w:tcPr>
          <w:p w14:paraId="40E24652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40A1A920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0.94</w:t>
            </w:r>
          </w:p>
        </w:tc>
        <w:tc>
          <w:tcPr>
            <w:tcW w:w="912" w:type="dxa"/>
            <w:vAlign w:val="center"/>
          </w:tcPr>
          <w:p w14:paraId="0B303367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vMerge w:val="continue"/>
            <w:vAlign w:val="center"/>
          </w:tcPr>
          <w:p w14:paraId="3D23975B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Merge w:val="continue"/>
            <w:vAlign w:val="center"/>
          </w:tcPr>
          <w:p w14:paraId="05FA7865">
            <w:pPr>
              <w:widowControl w:val="0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0A0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5925837A">
      <w:pPr>
        <w:spacing w:line="56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0D29449F">
      <w:pPr>
        <w:spacing w:line="560" w:lineRule="exact"/>
        <w:jc w:val="righ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04CABCBD">
      <w:pPr>
        <w:spacing w:line="560" w:lineRule="exact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02EAA"/>
    <w:multiLevelType w:val="singleLevel"/>
    <w:tmpl w:val="E0D02EA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CEBF69"/>
    <w:multiLevelType w:val="singleLevel"/>
    <w:tmpl w:val="40CEBF6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zkxYjFiMmFkYWNlOWMyMTc1NmU0ZmI1MjE4ODIifQ=="/>
  </w:docVars>
  <w:rsids>
    <w:rsidRoot w:val="0B7D4A0D"/>
    <w:rsid w:val="00056A68"/>
    <w:rsid w:val="00347F45"/>
    <w:rsid w:val="004B5441"/>
    <w:rsid w:val="007E7D0F"/>
    <w:rsid w:val="009C223A"/>
    <w:rsid w:val="00A33586"/>
    <w:rsid w:val="00B506CE"/>
    <w:rsid w:val="00B82116"/>
    <w:rsid w:val="00DC5072"/>
    <w:rsid w:val="00ED6C57"/>
    <w:rsid w:val="00FA775F"/>
    <w:rsid w:val="01635C49"/>
    <w:rsid w:val="04830723"/>
    <w:rsid w:val="05B0679A"/>
    <w:rsid w:val="0874152A"/>
    <w:rsid w:val="098849BD"/>
    <w:rsid w:val="0B7D4A0D"/>
    <w:rsid w:val="113D3447"/>
    <w:rsid w:val="12903B41"/>
    <w:rsid w:val="12A00B7B"/>
    <w:rsid w:val="12C910FC"/>
    <w:rsid w:val="12DB5F87"/>
    <w:rsid w:val="14883EEC"/>
    <w:rsid w:val="182E2E69"/>
    <w:rsid w:val="18892D35"/>
    <w:rsid w:val="18B573A8"/>
    <w:rsid w:val="1B2958D7"/>
    <w:rsid w:val="1F4D6497"/>
    <w:rsid w:val="1FD70B55"/>
    <w:rsid w:val="247D957F"/>
    <w:rsid w:val="28524F22"/>
    <w:rsid w:val="28974D43"/>
    <w:rsid w:val="293D309F"/>
    <w:rsid w:val="29820EEF"/>
    <w:rsid w:val="2A052FDD"/>
    <w:rsid w:val="2BDF2325"/>
    <w:rsid w:val="2BFFC151"/>
    <w:rsid w:val="2FE9188B"/>
    <w:rsid w:val="306443BF"/>
    <w:rsid w:val="31781C5A"/>
    <w:rsid w:val="32C739DA"/>
    <w:rsid w:val="33B75670"/>
    <w:rsid w:val="34DFFFD4"/>
    <w:rsid w:val="37FFB1A7"/>
    <w:rsid w:val="38A24CCD"/>
    <w:rsid w:val="38FB4E4D"/>
    <w:rsid w:val="3AF45588"/>
    <w:rsid w:val="3B546B61"/>
    <w:rsid w:val="3BF589FE"/>
    <w:rsid w:val="3D255BCB"/>
    <w:rsid w:val="3EE74E40"/>
    <w:rsid w:val="3FE61C4A"/>
    <w:rsid w:val="402B1A9F"/>
    <w:rsid w:val="41282F08"/>
    <w:rsid w:val="45EC56CC"/>
    <w:rsid w:val="4715773F"/>
    <w:rsid w:val="47E10C42"/>
    <w:rsid w:val="4A6F69D9"/>
    <w:rsid w:val="4B314060"/>
    <w:rsid w:val="4B6BE8B7"/>
    <w:rsid w:val="4CFF54A1"/>
    <w:rsid w:val="4DBA685E"/>
    <w:rsid w:val="4E1A3BE8"/>
    <w:rsid w:val="4FDB698B"/>
    <w:rsid w:val="4FEE6915"/>
    <w:rsid w:val="527C7665"/>
    <w:rsid w:val="52904CED"/>
    <w:rsid w:val="53074AA3"/>
    <w:rsid w:val="573A4FED"/>
    <w:rsid w:val="584B2674"/>
    <w:rsid w:val="5BD77442"/>
    <w:rsid w:val="5BFFC73A"/>
    <w:rsid w:val="5DE6553E"/>
    <w:rsid w:val="5E44187C"/>
    <w:rsid w:val="5EE0038C"/>
    <w:rsid w:val="659842EF"/>
    <w:rsid w:val="65AC4B11"/>
    <w:rsid w:val="670E33AA"/>
    <w:rsid w:val="67BB51E4"/>
    <w:rsid w:val="6B054A88"/>
    <w:rsid w:val="6D2D0B79"/>
    <w:rsid w:val="6E8FFFCF"/>
    <w:rsid w:val="6EC34B5F"/>
    <w:rsid w:val="6FEF8099"/>
    <w:rsid w:val="6FF6D09D"/>
    <w:rsid w:val="75F68EB5"/>
    <w:rsid w:val="76434265"/>
    <w:rsid w:val="77433A3A"/>
    <w:rsid w:val="77D63E86"/>
    <w:rsid w:val="7ADB2036"/>
    <w:rsid w:val="7D5D42EC"/>
    <w:rsid w:val="7D723DB3"/>
    <w:rsid w:val="7DFEDFD5"/>
    <w:rsid w:val="7E353E5F"/>
    <w:rsid w:val="7EDFD655"/>
    <w:rsid w:val="7EFF1AA9"/>
    <w:rsid w:val="7FFF247C"/>
    <w:rsid w:val="ABE34E6F"/>
    <w:rsid w:val="BDDD5508"/>
    <w:rsid w:val="BFCF58D1"/>
    <w:rsid w:val="C4F7F25F"/>
    <w:rsid w:val="CE97B96D"/>
    <w:rsid w:val="CF5CE3BA"/>
    <w:rsid w:val="D7FF2E81"/>
    <w:rsid w:val="DF5DF2EF"/>
    <w:rsid w:val="DFEE3BE2"/>
    <w:rsid w:val="E87B54DD"/>
    <w:rsid w:val="EBCFD8B5"/>
    <w:rsid w:val="ED5F03D6"/>
    <w:rsid w:val="F70E1B2F"/>
    <w:rsid w:val="F9FD011D"/>
    <w:rsid w:val="FA6FDB5A"/>
    <w:rsid w:val="FB7C592D"/>
    <w:rsid w:val="FBDF8AD5"/>
    <w:rsid w:val="FBFF602D"/>
    <w:rsid w:val="FCF3383F"/>
    <w:rsid w:val="FD773A75"/>
    <w:rsid w:val="FFDDA231"/>
    <w:rsid w:val="FF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江门市市公路事务中心</Company>
  <Pages>2</Pages>
  <Words>556</Words>
  <Characters>631</Characters>
  <Lines>10</Lines>
  <Paragraphs>2</Paragraphs>
  <TotalTime>0</TotalTime>
  <ScaleCrop>false</ScaleCrop>
  <LinksUpToDate>false</LinksUpToDate>
  <CharactersWithSpaces>637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2023-07-10T12:11:00Z</dcterms:created>
  <dc:creator>Administrator</dc:creator>
  <cp:lastModifiedBy>赵树艳</cp:lastModifiedBy>
  <cp:lastPrinted>2023-07-18T07:46:00Z</cp:lastPrinted>
  <dcterms:modified xsi:type="dcterms:W3CDTF">2025-06-04T09:10:24Z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35005FD55F72484FB576A2B3A11A4523_13</vt:lpwstr>
  </property>
  <property fmtid="{D5CDD505-2E9C-101B-9397-08002B2CF9AE}" pid="4" name="KSOTemplateDocerSaveRecord">
    <vt:lpwstr>eyJoZGlkIjoiMGMwNzZhN2EyNzczOGUwY2MxNDk4NmI1N2Q3YzAzMmEifQ==</vt:lpwstr>
  </property>
</Properties>
</file>