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_GBK" w:hAnsi="方正大标宋_GBK" w:eastAsia="方正大标宋_GBK" w:cs="方正大标宋_GBK"/>
          <w:bCs/>
          <w:sz w:val="42"/>
          <w:szCs w:val="42"/>
          <w:highlight w:val="none"/>
        </w:rPr>
      </w:pPr>
      <w:r>
        <w:rPr>
          <w:rFonts w:hint="eastAsia" w:ascii="方正大标宋_GBK" w:hAnsi="方正大标宋_GBK" w:eastAsia="方正大标宋_GBK" w:cs="方正大标宋_GBK"/>
          <w:bCs/>
          <w:sz w:val="42"/>
          <w:szCs w:val="42"/>
          <w:highlight w:val="none"/>
        </w:rPr>
        <w:t>江门市</w:t>
      </w:r>
      <w:r>
        <w:rPr>
          <w:rFonts w:hint="eastAsia" w:ascii="方正大标宋_GBK" w:hAnsi="方正大标宋_GBK" w:eastAsia="方正大标宋_GBK" w:cs="方正大标宋_GBK"/>
          <w:bCs/>
          <w:sz w:val="42"/>
          <w:szCs w:val="42"/>
          <w:highlight w:val="none"/>
          <w:lang w:eastAsia="zh-CN"/>
        </w:rPr>
        <w:t>市本级</w:t>
      </w:r>
      <w:r>
        <w:rPr>
          <w:rFonts w:hint="eastAsia" w:ascii="方正大标宋_GBK" w:hAnsi="方正大标宋_GBK" w:eastAsia="方正大标宋_GBK" w:cs="方正大标宋_GBK"/>
          <w:bCs/>
          <w:sz w:val="42"/>
          <w:szCs w:val="42"/>
          <w:highlight w:val="none"/>
        </w:rPr>
        <w:t>保障性住房</w:t>
      </w:r>
      <w:r>
        <w:rPr>
          <w:rFonts w:hint="eastAsia" w:ascii="方正大标宋_GBK" w:hAnsi="方正大标宋_GBK" w:eastAsia="方正大标宋_GBK" w:cs="方正大标宋_GBK"/>
          <w:bCs/>
          <w:sz w:val="42"/>
          <w:szCs w:val="42"/>
          <w:highlight w:val="none"/>
          <w:lang w:eastAsia="zh-CN"/>
        </w:rPr>
        <w:t>项目</w:t>
      </w:r>
      <w:r>
        <w:rPr>
          <w:rFonts w:hint="eastAsia" w:ascii="方正大标宋_GBK" w:hAnsi="方正大标宋_GBK" w:eastAsia="方正大标宋_GBK" w:cs="方正大标宋_GBK"/>
          <w:bCs/>
          <w:sz w:val="42"/>
          <w:szCs w:val="42"/>
          <w:highlight w:val="none"/>
        </w:rPr>
        <w:t>电动自行车</w:t>
      </w:r>
      <w:r>
        <w:rPr>
          <w:rFonts w:hint="eastAsia" w:ascii="方正大标宋_GBK" w:hAnsi="方正大标宋_GBK" w:eastAsia="方正大标宋_GBK" w:cs="方正大标宋_GBK"/>
          <w:bCs/>
          <w:sz w:val="42"/>
          <w:szCs w:val="42"/>
          <w:highlight w:val="none"/>
          <w:lang w:eastAsia="zh-CN"/>
        </w:rPr>
        <w:t>充电站项目运营采购方</w:t>
      </w:r>
      <w:r>
        <w:rPr>
          <w:rFonts w:hint="eastAsia" w:ascii="方正大标宋_GBK" w:hAnsi="方正大标宋_GBK" w:eastAsia="方正大标宋_GBK" w:cs="方正大标宋_GBK"/>
          <w:bCs/>
          <w:sz w:val="42"/>
          <w:szCs w:val="42"/>
          <w:highlight w:val="none"/>
        </w:rPr>
        <w:t>案</w:t>
      </w:r>
    </w:p>
    <w:p>
      <w:pPr>
        <w:rPr>
          <w:rFonts w:ascii="仿宋" w:hAnsi="仿宋" w:eastAsia="仿宋" w:cs="仿宋"/>
          <w:sz w:val="32"/>
          <w:szCs w:val="32"/>
          <w:highlight w:val="none"/>
        </w:rPr>
      </w:pPr>
    </w:p>
    <w:p>
      <w:pPr>
        <w:keepNext w:val="0"/>
        <w:keepLines w:val="0"/>
        <w:pageBreakBefore w:val="0"/>
        <w:kinsoku/>
        <w:wordWrap/>
        <w:overflowPunct/>
        <w:topLinePunct w:val="0"/>
        <w:autoSpaceDE/>
        <w:autoSpaceDN/>
        <w:bidi w:val="0"/>
        <w:snapToGrid/>
        <w:spacing w:line="580" w:lineRule="exact"/>
        <w:ind w:firstLine="600" w:firstLineChars="200"/>
        <w:textAlignment w:val="auto"/>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kern w:val="0"/>
          <w:sz w:val="30"/>
          <w:szCs w:val="30"/>
          <w:highlight w:val="none"/>
          <w:lang w:eastAsia="zh-CN"/>
        </w:rPr>
        <w:t>市本级</w:t>
      </w:r>
      <w:r>
        <w:rPr>
          <w:rFonts w:hint="eastAsia" w:ascii="方正仿宋_GBK" w:hAnsi="方正仿宋_GBK" w:eastAsia="方正仿宋_GBK" w:cs="方正仿宋_GBK"/>
          <w:kern w:val="0"/>
          <w:sz w:val="30"/>
          <w:szCs w:val="30"/>
          <w:highlight w:val="none"/>
        </w:rPr>
        <w:t>保障性住房</w:t>
      </w:r>
      <w:r>
        <w:rPr>
          <w:rFonts w:hint="eastAsia" w:ascii="方正仿宋_GBK" w:hAnsi="方正仿宋_GBK" w:eastAsia="方正仿宋_GBK" w:cs="方正仿宋_GBK"/>
          <w:kern w:val="0"/>
          <w:sz w:val="30"/>
          <w:szCs w:val="30"/>
          <w:highlight w:val="none"/>
          <w:lang w:eastAsia="zh-CN"/>
        </w:rPr>
        <w:t>项目</w:t>
      </w:r>
      <w:r>
        <w:rPr>
          <w:rFonts w:hint="eastAsia" w:ascii="方正仿宋_GBK" w:hAnsi="方正仿宋_GBK" w:eastAsia="方正仿宋_GBK" w:cs="方正仿宋_GBK"/>
          <w:kern w:val="0"/>
          <w:sz w:val="30"/>
          <w:szCs w:val="30"/>
          <w:highlight w:val="none"/>
        </w:rPr>
        <w:t>（兴南小区、福泽园、盈泽园、惠泽园、润泽园）</w:t>
      </w:r>
      <w:r>
        <w:rPr>
          <w:rFonts w:hint="eastAsia" w:ascii="方正仿宋_GBK" w:hAnsi="方正仿宋_GBK" w:eastAsia="方正仿宋_GBK" w:cs="方正仿宋_GBK"/>
          <w:kern w:val="0"/>
          <w:sz w:val="30"/>
          <w:szCs w:val="30"/>
          <w:highlight w:val="none"/>
          <w:lang w:eastAsia="zh-CN"/>
        </w:rPr>
        <w:t>租</w:t>
      </w:r>
      <w:r>
        <w:rPr>
          <w:rFonts w:hint="eastAsia" w:ascii="方正仿宋_GBK" w:hAnsi="方正仿宋_GBK" w:eastAsia="方正仿宋_GBK" w:cs="方正仿宋_GBK"/>
          <w:kern w:val="0"/>
          <w:sz w:val="30"/>
          <w:szCs w:val="30"/>
          <w:highlight w:val="none"/>
        </w:rPr>
        <w:t>住人数约</w:t>
      </w:r>
      <w:r>
        <w:rPr>
          <w:rFonts w:hint="eastAsia" w:ascii="方正仿宋_GBK" w:hAnsi="方正仿宋_GBK" w:eastAsia="方正仿宋_GBK" w:cs="方正仿宋_GBK"/>
          <w:kern w:val="0"/>
          <w:sz w:val="30"/>
          <w:szCs w:val="30"/>
          <w:highlight w:val="none"/>
          <w:lang w:val="en-US" w:eastAsia="zh-CN"/>
        </w:rPr>
        <w:t>2</w:t>
      </w:r>
      <w:r>
        <w:rPr>
          <w:rFonts w:hint="eastAsia" w:ascii="方正仿宋_GBK" w:hAnsi="方正仿宋_GBK" w:eastAsia="方正仿宋_GBK" w:cs="方正仿宋_GBK"/>
          <w:kern w:val="0"/>
          <w:sz w:val="30"/>
          <w:szCs w:val="30"/>
          <w:highlight w:val="none"/>
        </w:rPr>
        <w:t>万人</w:t>
      </w:r>
      <w:r>
        <w:rPr>
          <w:rFonts w:hint="eastAsia" w:ascii="方正仿宋_GBK" w:hAnsi="方正仿宋_GBK" w:eastAsia="方正仿宋_GBK" w:cs="方正仿宋_GBK"/>
          <w:kern w:val="0"/>
          <w:sz w:val="30"/>
          <w:szCs w:val="30"/>
          <w:highlight w:val="none"/>
          <w:lang w:eastAsia="zh-CN"/>
        </w:rPr>
        <w:t>，保有电动自行车近</w:t>
      </w:r>
      <w:r>
        <w:rPr>
          <w:rFonts w:hint="eastAsia" w:ascii="方正仿宋_GBK" w:hAnsi="方正仿宋_GBK" w:eastAsia="方正仿宋_GBK" w:cs="方正仿宋_GBK"/>
          <w:kern w:val="0"/>
          <w:sz w:val="30"/>
          <w:szCs w:val="30"/>
          <w:highlight w:val="none"/>
          <w:lang w:val="en-US" w:eastAsia="zh-CN"/>
        </w:rPr>
        <w:t>1700辆</w:t>
      </w:r>
      <w:r>
        <w:rPr>
          <w:rFonts w:ascii="方正仿宋_GBK" w:hAnsi="方正仿宋_GBK" w:eastAsia="方正仿宋_GBK" w:cs="方正仿宋_GBK"/>
          <w:kern w:val="0"/>
          <w:sz w:val="30"/>
          <w:szCs w:val="30"/>
          <w:highlight w:val="none"/>
        </w:rPr>
        <w:t>。充电难、充电不规范</w:t>
      </w:r>
      <w:r>
        <w:rPr>
          <w:rFonts w:hint="eastAsia" w:ascii="方正仿宋_GBK" w:hAnsi="方正仿宋_GBK" w:eastAsia="方正仿宋_GBK" w:cs="方正仿宋_GBK"/>
          <w:kern w:val="0"/>
          <w:sz w:val="30"/>
          <w:szCs w:val="30"/>
          <w:highlight w:val="none"/>
          <w:lang w:eastAsia="zh-CN"/>
        </w:rPr>
        <w:t>等问题不仅影响租户生活，更存在较大安全隐患</w:t>
      </w:r>
      <w:r>
        <w:rPr>
          <w:rFonts w:ascii="方正仿宋_GBK" w:hAnsi="方正仿宋_GBK" w:eastAsia="方正仿宋_GBK" w:cs="方正仿宋_GBK"/>
          <w:kern w:val="0"/>
          <w:sz w:val="30"/>
          <w:szCs w:val="30"/>
          <w:highlight w:val="none"/>
        </w:rPr>
        <w:t>。为</w:t>
      </w:r>
      <w:r>
        <w:rPr>
          <w:rFonts w:hint="eastAsia" w:ascii="方正仿宋_GBK" w:hAnsi="方正仿宋_GBK" w:eastAsia="方正仿宋_GBK" w:cs="方正仿宋_GBK"/>
          <w:kern w:val="0"/>
          <w:sz w:val="30"/>
          <w:szCs w:val="30"/>
          <w:highlight w:val="none"/>
          <w:lang w:eastAsia="zh-CN"/>
        </w:rPr>
        <w:t>消除安全隐患，提升市本级保障性住房管理水平，</w:t>
      </w:r>
      <w:r>
        <w:rPr>
          <w:rFonts w:ascii="方正仿宋_GBK" w:hAnsi="方正仿宋_GBK" w:eastAsia="方正仿宋_GBK" w:cs="方正仿宋_GBK"/>
          <w:kern w:val="0"/>
          <w:sz w:val="30"/>
          <w:szCs w:val="30"/>
          <w:highlight w:val="none"/>
        </w:rPr>
        <w:t>进一步加强电动自行车安全管理，按照因地制宜、满足需求、规范安全的原则，</w:t>
      </w:r>
      <w:r>
        <w:rPr>
          <w:rFonts w:hint="eastAsia" w:ascii="方正仿宋_GBK" w:hAnsi="方正仿宋_GBK" w:eastAsia="方正仿宋_GBK" w:cs="方正仿宋_GBK"/>
          <w:kern w:val="0"/>
          <w:sz w:val="30"/>
          <w:szCs w:val="30"/>
          <w:highlight w:val="none"/>
          <w:lang w:eastAsia="zh-CN"/>
        </w:rPr>
        <w:t>江门市住房和城乡建设局</w:t>
      </w:r>
      <w:r>
        <w:rPr>
          <w:rFonts w:ascii="方正仿宋_GBK" w:hAnsi="方正仿宋_GBK" w:eastAsia="方正仿宋_GBK" w:cs="方正仿宋_GBK"/>
          <w:kern w:val="0"/>
          <w:sz w:val="30"/>
          <w:szCs w:val="30"/>
          <w:highlight w:val="none"/>
        </w:rPr>
        <w:t>拟</w:t>
      </w:r>
      <w:r>
        <w:rPr>
          <w:rFonts w:hint="eastAsia" w:ascii="方正仿宋_GBK" w:hAnsi="方正仿宋_GBK" w:eastAsia="方正仿宋_GBK" w:cs="方正仿宋_GBK"/>
          <w:kern w:val="0"/>
          <w:sz w:val="30"/>
          <w:szCs w:val="30"/>
          <w:highlight w:val="none"/>
          <w:lang w:eastAsia="zh-CN"/>
        </w:rPr>
        <w:t>采购一家项目运营商，负责市本级保障性住房小区</w:t>
      </w:r>
      <w:r>
        <w:rPr>
          <w:rFonts w:ascii="方正仿宋_GBK" w:hAnsi="方正仿宋_GBK" w:eastAsia="方正仿宋_GBK" w:cs="方正仿宋_GBK"/>
          <w:kern w:val="0"/>
          <w:sz w:val="30"/>
          <w:szCs w:val="30"/>
          <w:highlight w:val="none"/>
        </w:rPr>
        <w:t>公共区域</w:t>
      </w:r>
      <w:r>
        <w:rPr>
          <w:rFonts w:hint="eastAsia" w:ascii="方正仿宋_GBK" w:hAnsi="方正仿宋_GBK" w:eastAsia="方正仿宋_GBK" w:cs="方正仿宋_GBK"/>
          <w:kern w:val="0"/>
          <w:sz w:val="30"/>
          <w:szCs w:val="30"/>
          <w:highlight w:val="none"/>
          <w:lang w:eastAsia="zh-CN"/>
        </w:rPr>
        <w:t>的</w:t>
      </w:r>
      <w:r>
        <w:rPr>
          <w:rFonts w:ascii="方正仿宋_GBK" w:hAnsi="方正仿宋_GBK" w:eastAsia="方正仿宋_GBK" w:cs="方正仿宋_GBK"/>
          <w:kern w:val="0"/>
          <w:sz w:val="30"/>
          <w:szCs w:val="30"/>
          <w:highlight w:val="none"/>
        </w:rPr>
        <w:t>电动自行车充电</w:t>
      </w:r>
      <w:r>
        <w:rPr>
          <w:rFonts w:hint="eastAsia" w:ascii="方正仿宋_GBK" w:hAnsi="方正仿宋_GBK" w:eastAsia="方正仿宋_GBK" w:cs="方正仿宋_GBK"/>
          <w:kern w:val="0"/>
          <w:sz w:val="30"/>
          <w:szCs w:val="30"/>
          <w:highlight w:val="none"/>
          <w:lang w:eastAsia="zh-CN"/>
        </w:rPr>
        <w:t>站的新建、改造、运营</w:t>
      </w:r>
      <w:r>
        <w:rPr>
          <w:rFonts w:ascii="方正仿宋_GBK" w:hAnsi="方正仿宋_GBK" w:eastAsia="方正仿宋_GBK" w:cs="方正仿宋_GBK"/>
          <w:kern w:val="0"/>
          <w:sz w:val="30"/>
          <w:szCs w:val="30"/>
          <w:highlight w:val="none"/>
        </w:rPr>
        <w:t>，为广大</w:t>
      </w:r>
      <w:r>
        <w:rPr>
          <w:rFonts w:hint="eastAsia" w:ascii="方正仿宋_GBK" w:hAnsi="方正仿宋_GBK" w:eastAsia="方正仿宋_GBK" w:cs="方正仿宋_GBK"/>
          <w:kern w:val="0"/>
          <w:sz w:val="30"/>
          <w:szCs w:val="30"/>
          <w:highlight w:val="none"/>
          <w:lang w:eastAsia="zh-CN"/>
        </w:rPr>
        <w:t>租户</w:t>
      </w:r>
      <w:r>
        <w:rPr>
          <w:rFonts w:ascii="方正仿宋_GBK" w:hAnsi="方正仿宋_GBK" w:eastAsia="方正仿宋_GBK" w:cs="方正仿宋_GBK"/>
          <w:kern w:val="0"/>
          <w:sz w:val="30"/>
          <w:szCs w:val="30"/>
          <w:highlight w:val="none"/>
        </w:rPr>
        <w:t>提供更便捷、高效、安全的电动自行车充电服务</w:t>
      </w:r>
      <w:r>
        <w:rPr>
          <w:rFonts w:hint="eastAsia" w:ascii="方正仿宋_GBK" w:hAnsi="方正仿宋_GBK" w:eastAsia="方正仿宋_GBK" w:cs="方正仿宋_GBK"/>
          <w:kern w:val="0"/>
          <w:sz w:val="30"/>
          <w:szCs w:val="30"/>
          <w:highlight w:val="none"/>
          <w:lang w:eastAsia="zh-CN"/>
        </w:rPr>
        <w:t>，特制定本采购方案。具体如下：</w:t>
      </w:r>
    </w:p>
    <w:p>
      <w:pPr>
        <w:keepNext w:val="0"/>
        <w:keepLines w:val="0"/>
        <w:pageBreakBefore w:val="0"/>
        <w:kinsoku/>
        <w:wordWrap/>
        <w:overflowPunct/>
        <w:topLinePunct w:val="0"/>
        <w:autoSpaceDE/>
        <w:autoSpaceDN/>
        <w:bidi w:val="0"/>
        <w:adjustRightInd w:val="0"/>
        <w:snapToGrid/>
        <w:spacing w:line="580" w:lineRule="exact"/>
        <w:ind w:firstLine="600" w:firstLineChars="200"/>
        <w:textAlignment w:val="auto"/>
        <w:rPr>
          <w:rFonts w:ascii="方正黑体_GBK" w:hAnsi="方正黑体_GBK" w:eastAsia="方正黑体_GBK" w:cs="方正黑体_GBK"/>
          <w:b w:val="0"/>
          <w:bCs w:val="0"/>
          <w:sz w:val="30"/>
          <w:szCs w:val="30"/>
          <w:highlight w:val="none"/>
        </w:rPr>
      </w:pPr>
      <w:r>
        <w:rPr>
          <w:rFonts w:hint="eastAsia" w:ascii="方正黑体_GBK" w:hAnsi="方正黑体_GBK" w:eastAsia="方正黑体_GBK" w:cs="方正黑体_GBK"/>
          <w:b w:val="0"/>
          <w:bCs w:val="0"/>
          <w:sz w:val="30"/>
          <w:szCs w:val="30"/>
          <w:highlight w:val="none"/>
        </w:rPr>
        <w:t>一、</w:t>
      </w:r>
      <w:r>
        <w:rPr>
          <w:rFonts w:hint="eastAsia" w:ascii="方正黑体_GBK" w:hAnsi="方正黑体_GBK" w:eastAsia="方正黑体_GBK" w:cs="方正黑体_GBK"/>
          <w:b w:val="0"/>
          <w:bCs w:val="0"/>
          <w:sz w:val="30"/>
          <w:szCs w:val="30"/>
          <w:highlight w:val="none"/>
          <w:lang w:eastAsia="zh-CN"/>
        </w:rPr>
        <w:t>项目</w:t>
      </w:r>
      <w:r>
        <w:rPr>
          <w:rFonts w:hint="eastAsia" w:ascii="方正黑体_GBK" w:hAnsi="方正黑体_GBK" w:eastAsia="方正黑体_GBK" w:cs="方正黑体_GBK"/>
          <w:b w:val="0"/>
          <w:bCs w:val="0"/>
          <w:sz w:val="30"/>
          <w:szCs w:val="30"/>
          <w:highlight w:val="none"/>
        </w:rPr>
        <w:t>概况</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目前</w:t>
      </w:r>
      <w:r>
        <w:rPr>
          <w:rFonts w:hint="eastAsia" w:ascii="方正仿宋_GBK" w:hAnsi="方正仿宋_GBK" w:eastAsia="方正仿宋_GBK" w:cs="方正仿宋_GBK"/>
          <w:sz w:val="30"/>
          <w:szCs w:val="30"/>
          <w:highlight w:val="none"/>
          <w:lang w:eastAsia="zh-CN"/>
        </w:rPr>
        <w:t>市本级</w:t>
      </w:r>
      <w:r>
        <w:rPr>
          <w:rFonts w:hint="eastAsia" w:ascii="方正仿宋_GBK" w:hAnsi="方正仿宋_GBK" w:eastAsia="方正仿宋_GBK" w:cs="方正仿宋_GBK"/>
          <w:sz w:val="30"/>
          <w:szCs w:val="30"/>
          <w:highlight w:val="none"/>
          <w:lang w:val="en-US" w:eastAsia="zh-CN"/>
        </w:rPr>
        <w:t>6个</w:t>
      </w:r>
      <w:r>
        <w:rPr>
          <w:rFonts w:hint="eastAsia" w:ascii="方正仿宋_GBK" w:hAnsi="方正仿宋_GBK" w:eastAsia="方正仿宋_GBK" w:cs="方正仿宋_GBK"/>
          <w:sz w:val="30"/>
          <w:szCs w:val="30"/>
          <w:highlight w:val="none"/>
        </w:rPr>
        <w:t>保障房</w:t>
      </w:r>
      <w:r>
        <w:rPr>
          <w:rFonts w:hint="eastAsia" w:ascii="方正仿宋_GBK" w:hAnsi="方正仿宋_GBK" w:eastAsia="方正仿宋_GBK" w:cs="方正仿宋_GBK"/>
          <w:sz w:val="30"/>
          <w:szCs w:val="30"/>
          <w:highlight w:val="none"/>
          <w:lang w:eastAsia="zh-CN"/>
        </w:rPr>
        <w:t>项目现有</w:t>
      </w:r>
      <w:r>
        <w:rPr>
          <w:rFonts w:hint="eastAsia" w:ascii="方正仿宋_GBK" w:hAnsi="方正仿宋_GBK" w:eastAsia="方正仿宋_GBK" w:cs="方正仿宋_GBK"/>
          <w:sz w:val="30"/>
          <w:szCs w:val="30"/>
          <w:highlight w:val="none"/>
        </w:rPr>
        <w:t>电动自行车充电站数量和端口情况如下：</w:t>
      </w:r>
    </w:p>
    <w:tbl>
      <w:tblPr>
        <w:tblStyle w:val="7"/>
        <w:tblW w:w="7900" w:type="dxa"/>
        <w:jc w:val="center"/>
        <w:tblLayout w:type="autofit"/>
        <w:tblCellMar>
          <w:top w:w="0" w:type="dxa"/>
          <w:left w:w="108" w:type="dxa"/>
          <w:bottom w:w="0" w:type="dxa"/>
          <w:right w:w="108" w:type="dxa"/>
        </w:tblCellMar>
      </w:tblPr>
      <w:tblGrid>
        <w:gridCol w:w="760"/>
        <w:gridCol w:w="1820"/>
        <w:gridCol w:w="1760"/>
        <w:gridCol w:w="1800"/>
        <w:gridCol w:w="1760"/>
      </w:tblGrid>
      <w:tr>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182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保障房小区名称</w:t>
            </w:r>
          </w:p>
        </w:tc>
        <w:tc>
          <w:tcPr>
            <w:tcW w:w="17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建站位置</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现有充电站点数</w:t>
            </w:r>
          </w:p>
        </w:tc>
        <w:tc>
          <w:tcPr>
            <w:tcW w:w="17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现有充电端口数</w:t>
            </w:r>
          </w:p>
        </w:tc>
      </w:tr>
      <w:tr>
        <w:tblPrEx>
          <w:tblCellMar>
            <w:top w:w="0" w:type="dxa"/>
            <w:left w:w="108" w:type="dxa"/>
            <w:bottom w:w="0" w:type="dxa"/>
            <w:right w:w="108" w:type="dxa"/>
          </w:tblCellMar>
        </w:tblPrEx>
        <w:trPr>
          <w:trHeight w:val="465" w:hRule="atLeast"/>
          <w:jc w:val="center"/>
        </w:trPr>
        <w:tc>
          <w:tcPr>
            <w:tcW w:w="760"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1</w:t>
            </w:r>
          </w:p>
        </w:tc>
        <w:tc>
          <w:tcPr>
            <w:tcW w:w="1820"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福泽园</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园区内</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7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54</w:t>
            </w:r>
          </w:p>
        </w:tc>
      </w:tr>
      <w:tr>
        <w:tblPrEx>
          <w:tblCellMar>
            <w:top w:w="0" w:type="dxa"/>
            <w:left w:w="108" w:type="dxa"/>
            <w:bottom w:w="0" w:type="dxa"/>
            <w:right w:w="108" w:type="dxa"/>
          </w:tblCellMar>
        </w:tblPrEx>
        <w:trPr>
          <w:trHeight w:val="510" w:hRule="atLeast"/>
          <w:jc w:val="center"/>
        </w:trPr>
        <w:tc>
          <w:tcPr>
            <w:tcW w:w="7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1"/>
                <w:highlight w:val="none"/>
              </w:rPr>
            </w:pPr>
          </w:p>
        </w:tc>
        <w:tc>
          <w:tcPr>
            <w:tcW w:w="18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1"/>
                <w:highlight w:val="none"/>
              </w:rPr>
            </w:pP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园区内</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r>
      <w:tr>
        <w:tblPrEx>
          <w:tblCellMar>
            <w:top w:w="0" w:type="dxa"/>
            <w:left w:w="108" w:type="dxa"/>
            <w:bottom w:w="0" w:type="dxa"/>
            <w:right w:w="108" w:type="dxa"/>
          </w:tblCellMar>
        </w:tblPrEx>
        <w:trPr>
          <w:trHeight w:val="660" w:hRule="atLeast"/>
          <w:jc w:val="center"/>
        </w:trPr>
        <w:tc>
          <w:tcPr>
            <w:tcW w:w="76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2</w:t>
            </w:r>
          </w:p>
        </w:tc>
        <w:tc>
          <w:tcPr>
            <w:tcW w:w="18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盈泽园</w:t>
            </w:r>
          </w:p>
        </w:tc>
        <w:tc>
          <w:tcPr>
            <w:tcW w:w="17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园区内</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11</w:t>
            </w:r>
          </w:p>
        </w:tc>
      </w:tr>
      <w:tr>
        <w:tblPrEx>
          <w:tblCellMar>
            <w:top w:w="0" w:type="dxa"/>
            <w:left w:w="108" w:type="dxa"/>
            <w:bottom w:w="0" w:type="dxa"/>
            <w:right w:w="108" w:type="dxa"/>
          </w:tblCellMar>
        </w:tblPrEx>
        <w:trPr>
          <w:trHeight w:val="660" w:hRule="atLeast"/>
          <w:jc w:val="center"/>
        </w:trPr>
        <w:tc>
          <w:tcPr>
            <w:tcW w:w="760"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3</w:t>
            </w:r>
          </w:p>
        </w:tc>
        <w:tc>
          <w:tcPr>
            <w:tcW w:w="1820"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惠泽园</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3-4幢</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60</w:t>
            </w:r>
          </w:p>
        </w:tc>
      </w:tr>
      <w:tr>
        <w:tblPrEx>
          <w:tblCellMar>
            <w:top w:w="0" w:type="dxa"/>
            <w:left w:w="108" w:type="dxa"/>
            <w:bottom w:w="0" w:type="dxa"/>
            <w:right w:w="108" w:type="dxa"/>
          </w:tblCellMar>
        </w:tblPrEx>
        <w:trPr>
          <w:trHeight w:val="90" w:hRule="atLeast"/>
          <w:jc w:val="center"/>
        </w:trPr>
        <w:tc>
          <w:tcPr>
            <w:tcW w:w="76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4</w:t>
            </w:r>
          </w:p>
        </w:tc>
        <w:tc>
          <w:tcPr>
            <w:tcW w:w="18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润泽园</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正门户外</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54</w:t>
            </w:r>
          </w:p>
        </w:tc>
      </w:tr>
      <w:tr>
        <w:tblPrEx>
          <w:tblCellMar>
            <w:top w:w="0" w:type="dxa"/>
            <w:left w:w="108" w:type="dxa"/>
            <w:bottom w:w="0" w:type="dxa"/>
            <w:right w:w="108" w:type="dxa"/>
          </w:tblCellMar>
        </w:tblPrEx>
        <w:trPr>
          <w:trHeight w:val="660" w:hRule="atLeast"/>
          <w:jc w:val="center"/>
        </w:trPr>
        <w:tc>
          <w:tcPr>
            <w:tcW w:w="4340" w:type="dxa"/>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合计</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7</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189</w:t>
            </w:r>
          </w:p>
        </w:tc>
      </w:tr>
    </w:tbl>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eastAsia="zh-CN"/>
        </w:rPr>
        <w:t>根据《</w:t>
      </w:r>
      <w:r>
        <w:rPr>
          <w:rFonts w:hint="eastAsia" w:ascii="方正仿宋_GBK" w:hAnsi="方正仿宋_GBK" w:eastAsia="方正仿宋_GBK" w:cs="方正仿宋_GBK"/>
          <w:sz w:val="30"/>
          <w:szCs w:val="30"/>
          <w:highlight w:val="none"/>
          <w:lang w:val="en-US" w:eastAsia="zh-CN"/>
        </w:rPr>
        <w:t>江门市市区电动自行车停放场所规划设计标准</w:t>
      </w:r>
      <w:r>
        <w:rPr>
          <w:rFonts w:hint="eastAsia" w:ascii="方正仿宋_GBK" w:hAnsi="方正仿宋_GBK" w:eastAsia="方正仿宋_GBK" w:cs="方正仿宋_GBK"/>
          <w:sz w:val="30"/>
          <w:szCs w:val="30"/>
          <w:highlight w:val="none"/>
          <w:lang w:eastAsia="zh-CN"/>
        </w:rPr>
        <w:t>》等规定，</w:t>
      </w:r>
      <w:r>
        <w:rPr>
          <w:rFonts w:hint="eastAsia" w:ascii="方正仿宋_GBK" w:hAnsi="方正仿宋_GBK" w:eastAsia="方正仿宋_GBK" w:cs="方正仿宋_GBK"/>
          <w:sz w:val="30"/>
          <w:szCs w:val="30"/>
          <w:highlight w:val="none"/>
          <w:lang w:val="en-US" w:eastAsia="zh-CN"/>
        </w:rPr>
        <w:t>保障性住房项目按不低于0.5辆/每户的标准配建电动自行车集中停放场所，并按不低于配建电动自行车停车位数量50%比例配建充电设施。根据省、市相关要求，电动自行车充电设施总体数量与电动自行车总体数量之比原则上不宜低于1:3；按</w:t>
      </w:r>
      <w:r>
        <w:rPr>
          <w:rFonts w:hint="eastAsia" w:ascii="方正仿宋_GBK" w:hAnsi="方正仿宋_GBK" w:eastAsia="方正仿宋_GBK" w:cs="方正仿宋_GBK"/>
          <w:sz w:val="30"/>
          <w:szCs w:val="30"/>
          <w:highlight w:val="none"/>
          <w:lang w:eastAsia="zh-CN"/>
        </w:rPr>
        <w:t>照市本级保障房小区</w:t>
      </w:r>
      <w:r>
        <w:rPr>
          <w:rFonts w:hint="eastAsia" w:ascii="方正仿宋_GBK" w:hAnsi="方正仿宋_GBK" w:eastAsia="方正仿宋_GBK" w:cs="方正仿宋_GBK"/>
          <w:sz w:val="30"/>
          <w:szCs w:val="30"/>
          <w:highlight w:val="none"/>
          <w:lang w:val="en-US" w:eastAsia="zh-CN"/>
        </w:rPr>
        <w:t>1700辆计算，</w:t>
      </w:r>
      <w:r>
        <w:rPr>
          <w:rFonts w:hint="eastAsia" w:ascii="方正仿宋_GBK" w:hAnsi="方正仿宋_GBK" w:eastAsia="方正仿宋_GBK" w:cs="方正仿宋_GBK"/>
          <w:sz w:val="30"/>
          <w:szCs w:val="30"/>
          <w:highlight w:val="none"/>
        </w:rPr>
        <w:t>每</w:t>
      </w: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辆电动自行车需要一个充电端口，6个保障房小区至少需要</w:t>
      </w:r>
      <w:r>
        <w:rPr>
          <w:rFonts w:hint="eastAsia" w:ascii="方正仿宋_GBK" w:hAnsi="方正仿宋_GBK" w:eastAsia="方正仿宋_GBK" w:cs="方正仿宋_GBK"/>
          <w:sz w:val="30"/>
          <w:szCs w:val="30"/>
          <w:highlight w:val="none"/>
          <w:lang w:val="en-US" w:eastAsia="zh-CN"/>
        </w:rPr>
        <w:t>567</w:t>
      </w:r>
      <w:r>
        <w:rPr>
          <w:rFonts w:hint="eastAsia" w:ascii="方正仿宋_GBK" w:hAnsi="方正仿宋_GBK" w:eastAsia="方正仿宋_GBK" w:cs="方正仿宋_GBK"/>
          <w:sz w:val="30"/>
          <w:szCs w:val="30"/>
          <w:highlight w:val="none"/>
        </w:rPr>
        <w:t>个充电端口，目前189个充电端口远远满足不了居民日常充电需求，端口缺口</w:t>
      </w:r>
      <w:r>
        <w:rPr>
          <w:rFonts w:hint="eastAsia" w:ascii="方正仿宋_GBK" w:hAnsi="方正仿宋_GBK" w:eastAsia="方正仿宋_GBK" w:cs="方正仿宋_GBK"/>
          <w:sz w:val="30"/>
          <w:szCs w:val="30"/>
          <w:highlight w:val="none"/>
          <w:lang w:val="en-US" w:eastAsia="zh-CN"/>
        </w:rPr>
        <w:t>378</w:t>
      </w:r>
      <w:r>
        <w:rPr>
          <w:rFonts w:hint="eastAsia" w:ascii="方正仿宋_GBK" w:hAnsi="方正仿宋_GBK" w:eastAsia="方正仿宋_GBK" w:cs="方正仿宋_GBK"/>
          <w:sz w:val="30"/>
          <w:szCs w:val="30"/>
          <w:highlight w:val="none"/>
        </w:rPr>
        <w:t>个，需尽快扩容增设充电端口。</w:t>
      </w:r>
      <w:r>
        <w:rPr>
          <w:rFonts w:hint="eastAsia" w:ascii="方正仿宋_GBK" w:hAnsi="方正仿宋_GBK" w:eastAsia="方正仿宋_GBK" w:cs="方正仿宋_GBK"/>
          <w:sz w:val="30"/>
          <w:szCs w:val="30"/>
          <w:highlight w:val="none"/>
          <w:lang w:eastAsia="zh-CN"/>
        </w:rPr>
        <w:t>（具体缺口详见附件</w:t>
      </w:r>
      <w:r>
        <w:rPr>
          <w:rFonts w:hint="eastAsia" w:ascii="方正仿宋_GBK" w:hAnsi="方正仿宋_GBK" w:eastAsia="方正仿宋_GBK" w:cs="方正仿宋_GBK"/>
          <w:sz w:val="30"/>
          <w:szCs w:val="30"/>
          <w:highlight w:val="none"/>
          <w:lang w:val="en-US" w:eastAsia="zh-CN"/>
        </w:rPr>
        <w:t>1</w:t>
      </w:r>
      <w:r>
        <w:rPr>
          <w:rFonts w:hint="eastAsia" w:ascii="方正仿宋_GBK" w:hAnsi="方正仿宋_GBK" w:eastAsia="方正仿宋_GBK" w:cs="方正仿宋_GBK"/>
          <w:sz w:val="30"/>
          <w:szCs w:val="30"/>
          <w:highlight w:val="none"/>
          <w:lang w:eastAsia="zh-CN"/>
        </w:rPr>
        <w:t>）</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left="420" w:leftChars="200" w:firstLine="300" w:firstLineChars="100"/>
        <w:jc w:val="both"/>
        <w:textAlignment w:val="auto"/>
        <w:rPr>
          <w:rFonts w:hint="eastAsia" w:ascii="方正黑体_GBK" w:hAnsi="方正黑体_GBK" w:eastAsia="方正黑体_GBK" w:cs="方正黑体_GBK"/>
          <w:b w:val="0"/>
          <w:bCs w:val="0"/>
          <w:kern w:val="2"/>
          <w:sz w:val="30"/>
          <w:szCs w:val="30"/>
          <w:highlight w:val="none"/>
          <w:lang w:eastAsia="zh-CN"/>
        </w:rPr>
      </w:pPr>
      <w:r>
        <w:rPr>
          <w:rFonts w:hint="eastAsia" w:ascii="方正黑体_GBK" w:hAnsi="方正黑体_GBK" w:eastAsia="方正黑体_GBK" w:cs="方正黑体_GBK"/>
          <w:b w:val="0"/>
          <w:bCs w:val="0"/>
          <w:kern w:val="2"/>
          <w:sz w:val="30"/>
          <w:szCs w:val="30"/>
          <w:highlight w:val="none"/>
          <w:lang w:eastAsia="zh-CN"/>
        </w:rPr>
        <w:t>二</w:t>
      </w:r>
      <w:r>
        <w:rPr>
          <w:rFonts w:hint="eastAsia" w:ascii="方正黑体_GBK" w:hAnsi="方正黑体_GBK" w:eastAsia="方正黑体_GBK" w:cs="方正黑体_GBK"/>
          <w:b w:val="0"/>
          <w:bCs w:val="0"/>
          <w:kern w:val="2"/>
          <w:sz w:val="30"/>
          <w:szCs w:val="30"/>
          <w:highlight w:val="none"/>
        </w:rPr>
        <w:t>、</w:t>
      </w:r>
      <w:r>
        <w:rPr>
          <w:rFonts w:hint="eastAsia" w:ascii="方正黑体_GBK" w:hAnsi="方正黑体_GBK" w:eastAsia="方正黑体_GBK" w:cs="方正黑体_GBK"/>
          <w:b w:val="0"/>
          <w:bCs w:val="0"/>
          <w:kern w:val="2"/>
          <w:sz w:val="30"/>
          <w:szCs w:val="30"/>
          <w:highlight w:val="none"/>
          <w:lang w:eastAsia="zh-CN"/>
        </w:rPr>
        <w:t>运营内容</w:t>
      </w:r>
    </w:p>
    <w:p>
      <w:pPr>
        <w:keepNext w:val="0"/>
        <w:keepLines w:val="0"/>
        <w:pageBreakBefore w:val="0"/>
        <w:kinsoku/>
        <w:wordWrap/>
        <w:overflowPunct/>
        <w:topLinePunct w:val="0"/>
        <w:autoSpaceDE/>
        <w:autoSpaceDN/>
        <w:bidi w:val="0"/>
        <w:snapToGrid/>
        <w:spacing w:line="580" w:lineRule="exact"/>
        <w:ind w:firstLine="600" w:firstLineChars="200"/>
        <w:textAlignment w:val="auto"/>
        <w:rPr>
          <w:rFonts w:hint="eastAsia" w:ascii="方正仿宋_GBK" w:hAnsi="方正仿宋_GBK" w:eastAsia="方正仿宋_GBK" w:cs="方正仿宋_GBK"/>
          <w:kern w:val="0"/>
          <w:sz w:val="30"/>
          <w:szCs w:val="30"/>
          <w:highlight w:val="none"/>
          <w:lang w:eastAsia="zh-CN"/>
        </w:rPr>
      </w:pPr>
      <w:r>
        <w:rPr>
          <w:rFonts w:hint="eastAsia" w:ascii="方正楷体_GBK" w:hAnsi="方正楷体_GBK" w:eastAsia="方正楷体_GBK" w:cs="方正楷体_GBK"/>
          <w:kern w:val="0"/>
          <w:sz w:val="30"/>
          <w:szCs w:val="30"/>
          <w:highlight w:val="none"/>
          <w:lang w:eastAsia="zh-CN"/>
        </w:rPr>
        <w:t>（一）</w:t>
      </w:r>
      <w:r>
        <w:rPr>
          <w:rFonts w:hint="eastAsia" w:ascii="方正楷体_GBK" w:hAnsi="方正楷体_GBK" w:eastAsia="方正楷体_GBK" w:cs="方正楷体_GBK"/>
          <w:kern w:val="0"/>
          <w:sz w:val="30"/>
          <w:szCs w:val="30"/>
          <w:highlight w:val="none"/>
          <w:lang w:val="en-US" w:eastAsia="zh-CN"/>
        </w:rPr>
        <w:t>新站点建设。</w:t>
      </w:r>
      <w:r>
        <w:rPr>
          <w:rFonts w:hint="eastAsia" w:ascii="方正仿宋_GBK" w:hAnsi="方正仿宋_GBK" w:eastAsia="方正仿宋_GBK" w:cs="方正仿宋_GBK"/>
          <w:kern w:val="0"/>
          <w:sz w:val="30"/>
          <w:szCs w:val="30"/>
          <w:highlight w:val="none"/>
          <w:lang w:eastAsia="zh-CN"/>
        </w:rPr>
        <w:t>本</w:t>
      </w:r>
      <w:r>
        <w:rPr>
          <w:rFonts w:hint="eastAsia" w:ascii="方正仿宋_GBK" w:hAnsi="方正仿宋_GBK" w:eastAsia="方正仿宋_GBK" w:cs="方正仿宋_GBK"/>
          <w:kern w:val="0"/>
          <w:sz w:val="30"/>
          <w:szCs w:val="30"/>
          <w:highlight w:val="none"/>
        </w:rPr>
        <w:t>项目共</w:t>
      </w:r>
      <w:r>
        <w:rPr>
          <w:rFonts w:hint="eastAsia" w:ascii="方正仿宋_GBK" w:hAnsi="方正仿宋_GBK" w:eastAsia="方正仿宋_GBK" w:cs="方正仿宋_GBK"/>
          <w:kern w:val="0"/>
          <w:sz w:val="30"/>
          <w:szCs w:val="30"/>
          <w:highlight w:val="none"/>
          <w:lang w:eastAsia="zh-CN"/>
        </w:rPr>
        <w:t>需</w:t>
      </w:r>
      <w:r>
        <w:rPr>
          <w:rFonts w:hint="eastAsia" w:ascii="方正仿宋_GBK" w:hAnsi="方正仿宋_GBK" w:eastAsia="方正仿宋_GBK" w:cs="方正仿宋_GBK"/>
          <w:kern w:val="0"/>
          <w:sz w:val="30"/>
          <w:szCs w:val="30"/>
          <w:highlight w:val="none"/>
        </w:rPr>
        <w:t>新建设</w:t>
      </w:r>
      <w:r>
        <w:rPr>
          <w:rFonts w:hint="eastAsia" w:ascii="方正仿宋_GBK" w:hAnsi="方正仿宋_GBK" w:eastAsia="方正仿宋_GBK" w:cs="方正仿宋_GBK"/>
          <w:kern w:val="0"/>
          <w:sz w:val="30"/>
          <w:szCs w:val="30"/>
          <w:highlight w:val="none"/>
          <w:lang w:val="en-US" w:eastAsia="zh-CN"/>
        </w:rPr>
        <w:t>9</w:t>
      </w:r>
      <w:r>
        <w:rPr>
          <w:rFonts w:hint="eastAsia" w:ascii="方正仿宋_GBK" w:hAnsi="方正仿宋_GBK" w:eastAsia="方正仿宋_GBK" w:cs="方正仿宋_GBK"/>
          <w:kern w:val="0"/>
          <w:sz w:val="30"/>
          <w:szCs w:val="30"/>
          <w:highlight w:val="none"/>
        </w:rPr>
        <w:t>个电动自行车集中充电站、约</w:t>
      </w:r>
      <w:r>
        <w:rPr>
          <w:rFonts w:hint="eastAsia" w:ascii="方正仿宋_GBK" w:hAnsi="方正仿宋_GBK" w:eastAsia="方正仿宋_GBK" w:cs="方正仿宋_GBK"/>
          <w:kern w:val="0"/>
          <w:sz w:val="30"/>
          <w:szCs w:val="30"/>
          <w:highlight w:val="none"/>
          <w:lang w:val="en-US" w:eastAsia="zh-CN"/>
        </w:rPr>
        <w:t>322</w:t>
      </w:r>
      <w:r>
        <w:rPr>
          <w:rFonts w:hint="eastAsia" w:ascii="方正仿宋_GBK" w:hAnsi="方正仿宋_GBK" w:eastAsia="方正仿宋_GBK" w:cs="方正仿宋_GBK"/>
          <w:kern w:val="0"/>
          <w:sz w:val="30"/>
          <w:szCs w:val="30"/>
          <w:highlight w:val="none"/>
        </w:rPr>
        <w:t>个充电端口</w:t>
      </w:r>
      <w:r>
        <w:rPr>
          <w:rFonts w:hint="eastAsia" w:ascii="方正仿宋_GBK" w:hAnsi="方正仿宋_GBK" w:eastAsia="方正仿宋_GBK" w:cs="方正仿宋_GBK"/>
          <w:kern w:val="0"/>
          <w:sz w:val="30"/>
          <w:szCs w:val="30"/>
          <w:highlight w:val="none"/>
          <w:lang w:eastAsia="zh-CN"/>
        </w:rPr>
        <w:t>，需在合同签订</w:t>
      </w:r>
      <w:r>
        <w:rPr>
          <w:rFonts w:hint="eastAsia" w:ascii="方正仿宋_GBK" w:hAnsi="方正仿宋_GBK" w:eastAsia="方正仿宋_GBK" w:cs="方正仿宋_GBK"/>
          <w:kern w:val="0"/>
          <w:sz w:val="30"/>
          <w:szCs w:val="30"/>
          <w:highlight w:val="none"/>
          <w:lang w:val="en-US" w:eastAsia="zh-CN"/>
        </w:rPr>
        <w:t>180个自然日内完成全部新建充电桩站点建设工作，</w:t>
      </w:r>
      <w:r>
        <w:rPr>
          <w:rFonts w:hint="eastAsia" w:ascii="方正仿宋_GBK" w:hAnsi="方正仿宋_GBK" w:eastAsia="方正仿宋_GBK" w:cs="方正仿宋_GBK"/>
          <w:kern w:val="0"/>
          <w:sz w:val="30"/>
          <w:szCs w:val="30"/>
          <w:highlight w:val="none"/>
          <w:lang w:eastAsia="zh-CN"/>
        </w:rPr>
        <w:t>相关费用</w:t>
      </w:r>
      <w:r>
        <w:rPr>
          <w:rFonts w:hint="eastAsia" w:ascii="方正仿宋_GBK" w:hAnsi="方正仿宋_GBK" w:eastAsia="方正仿宋_GBK" w:cs="方正仿宋_GBK"/>
          <w:kern w:val="0"/>
          <w:sz w:val="30"/>
          <w:szCs w:val="30"/>
          <w:highlight w:val="none"/>
        </w:rPr>
        <w:t>由</w:t>
      </w:r>
      <w:r>
        <w:rPr>
          <w:rFonts w:hint="eastAsia" w:ascii="方正仿宋_GBK" w:hAnsi="方正仿宋_GBK" w:eastAsia="方正仿宋_GBK" w:cs="方正仿宋_GBK"/>
          <w:kern w:val="0"/>
          <w:sz w:val="30"/>
          <w:szCs w:val="30"/>
          <w:highlight w:val="none"/>
          <w:lang w:eastAsia="zh-CN"/>
        </w:rPr>
        <w:t>运营商</w:t>
      </w:r>
      <w:r>
        <w:rPr>
          <w:rFonts w:hint="eastAsia" w:ascii="方正仿宋_GBK" w:hAnsi="方正仿宋_GBK" w:eastAsia="方正仿宋_GBK" w:cs="方正仿宋_GBK"/>
          <w:kern w:val="0"/>
          <w:sz w:val="30"/>
          <w:szCs w:val="30"/>
          <w:highlight w:val="none"/>
        </w:rPr>
        <w:t>全额投资建设</w:t>
      </w:r>
      <w:r>
        <w:rPr>
          <w:rFonts w:hint="eastAsia" w:ascii="方正仿宋_GBK" w:hAnsi="方正仿宋_GBK" w:eastAsia="方正仿宋_GBK" w:cs="方正仿宋_GBK"/>
          <w:kern w:val="0"/>
          <w:sz w:val="30"/>
          <w:szCs w:val="30"/>
          <w:highlight w:val="none"/>
          <w:lang w:eastAsia="zh-CN"/>
        </w:rPr>
        <w:t>。（具体详见附件</w:t>
      </w:r>
      <w:r>
        <w:rPr>
          <w:rFonts w:hint="eastAsia" w:ascii="方正仿宋_GBK" w:hAnsi="方正仿宋_GBK" w:eastAsia="方正仿宋_GBK" w:cs="方正仿宋_GBK"/>
          <w:kern w:val="0"/>
          <w:sz w:val="30"/>
          <w:szCs w:val="30"/>
          <w:highlight w:val="none"/>
          <w:lang w:val="en-US" w:eastAsia="zh-CN"/>
        </w:rPr>
        <w:t>2</w:t>
      </w:r>
      <w:r>
        <w:rPr>
          <w:rFonts w:hint="eastAsia" w:ascii="方正仿宋_GBK" w:hAnsi="方正仿宋_GBK" w:eastAsia="方正仿宋_GBK" w:cs="方正仿宋_GBK"/>
          <w:kern w:val="0"/>
          <w:sz w:val="30"/>
          <w:szCs w:val="30"/>
          <w:highlight w:val="none"/>
          <w:lang w:eastAsia="zh-CN"/>
        </w:rPr>
        <w:t>）</w:t>
      </w:r>
    </w:p>
    <w:p>
      <w:pPr>
        <w:keepNext w:val="0"/>
        <w:keepLines w:val="0"/>
        <w:pageBreakBefore w:val="0"/>
        <w:kinsoku/>
        <w:wordWrap/>
        <w:overflowPunct/>
        <w:topLinePunct w:val="0"/>
        <w:autoSpaceDE/>
        <w:autoSpaceDN/>
        <w:bidi w:val="0"/>
        <w:snapToGrid/>
        <w:spacing w:line="580" w:lineRule="exact"/>
        <w:ind w:firstLine="600" w:firstLineChars="200"/>
        <w:textAlignment w:val="auto"/>
        <w:rPr>
          <w:rFonts w:hint="eastAsia" w:ascii="方正仿宋_GBK" w:hAnsi="方正仿宋_GBK" w:eastAsia="方正仿宋_GBK" w:cs="方正仿宋_GBK"/>
          <w:kern w:val="0"/>
          <w:sz w:val="30"/>
          <w:szCs w:val="30"/>
          <w:highlight w:val="none"/>
          <w:lang w:eastAsia="zh-CN"/>
        </w:rPr>
      </w:pPr>
      <w:r>
        <w:rPr>
          <w:rFonts w:hint="eastAsia" w:ascii="方正楷体_GBK" w:hAnsi="方正楷体_GBK" w:eastAsia="方正楷体_GBK" w:cs="方正楷体_GBK"/>
          <w:kern w:val="0"/>
          <w:sz w:val="30"/>
          <w:szCs w:val="30"/>
          <w:highlight w:val="none"/>
          <w:lang w:val="en-US" w:eastAsia="zh-CN"/>
        </w:rPr>
        <w:t>（二）</w:t>
      </w:r>
      <w:r>
        <w:rPr>
          <w:rFonts w:hint="eastAsia" w:ascii="方正楷体_GBK" w:hAnsi="方正楷体_GBK" w:eastAsia="方正楷体_GBK" w:cs="方正楷体_GBK"/>
          <w:kern w:val="0"/>
          <w:sz w:val="30"/>
          <w:szCs w:val="30"/>
          <w:highlight w:val="none"/>
          <w:lang w:eastAsia="zh-CN"/>
        </w:rPr>
        <w:t>旧站点改造。</w:t>
      </w:r>
      <w:r>
        <w:rPr>
          <w:rFonts w:hint="eastAsia" w:ascii="方正仿宋_GBK" w:hAnsi="方正仿宋_GBK" w:eastAsia="方正仿宋_GBK" w:cs="方正仿宋_GBK"/>
          <w:kern w:val="0"/>
          <w:sz w:val="30"/>
          <w:szCs w:val="30"/>
          <w:highlight w:val="none"/>
          <w:lang w:eastAsia="zh-CN"/>
        </w:rPr>
        <w:t>本项目需</w:t>
      </w:r>
      <w:r>
        <w:rPr>
          <w:rFonts w:hint="eastAsia" w:ascii="方正仿宋_GBK" w:hAnsi="方正仿宋_GBK" w:eastAsia="方正仿宋_GBK" w:cs="方正仿宋_GBK"/>
          <w:kern w:val="0"/>
          <w:sz w:val="30"/>
          <w:szCs w:val="30"/>
          <w:highlight w:val="none"/>
        </w:rPr>
        <w:t>改造</w:t>
      </w:r>
      <w:r>
        <w:rPr>
          <w:rFonts w:hint="eastAsia" w:ascii="方正仿宋_GBK" w:hAnsi="方正仿宋_GBK" w:eastAsia="方正仿宋_GBK" w:cs="方正仿宋_GBK"/>
          <w:kern w:val="0"/>
          <w:sz w:val="30"/>
          <w:szCs w:val="30"/>
          <w:highlight w:val="none"/>
          <w:lang w:val="en-US" w:eastAsia="zh-CN"/>
        </w:rPr>
        <w:t>6</w:t>
      </w:r>
      <w:r>
        <w:rPr>
          <w:rFonts w:hint="eastAsia" w:ascii="方正仿宋_GBK" w:hAnsi="方正仿宋_GBK" w:eastAsia="方正仿宋_GBK" w:cs="方正仿宋_GBK"/>
          <w:kern w:val="0"/>
          <w:sz w:val="30"/>
          <w:szCs w:val="30"/>
          <w:highlight w:val="none"/>
        </w:rPr>
        <w:t>个旧集中充电站，1</w:t>
      </w:r>
      <w:r>
        <w:rPr>
          <w:rFonts w:hint="eastAsia" w:ascii="方正仿宋_GBK" w:hAnsi="方正仿宋_GBK" w:eastAsia="方正仿宋_GBK" w:cs="方正仿宋_GBK"/>
          <w:kern w:val="0"/>
          <w:sz w:val="30"/>
          <w:szCs w:val="30"/>
          <w:highlight w:val="none"/>
          <w:lang w:val="en-US" w:eastAsia="zh-CN"/>
        </w:rPr>
        <w:t>35</w:t>
      </w:r>
      <w:r>
        <w:rPr>
          <w:rFonts w:hint="eastAsia" w:ascii="方正仿宋_GBK" w:hAnsi="方正仿宋_GBK" w:eastAsia="方正仿宋_GBK" w:cs="方正仿宋_GBK"/>
          <w:kern w:val="0"/>
          <w:sz w:val="30"/>
          <w:szCs w:val="30"/>
          <w:highlight w:val="none"/>
        </w:rPr>
        <w:t>个充电端口</w:t>
      </w:r>
      <w:r>
        <w:rPr>
          <w:rFonts w:hint="eastAsia" w:ascii="方正仿宋_GBK" w:hAnsi="方正仿宋_GBK" w:eastAsia="方正仿宋_GBK" w:cs="方正仿宋_GBK"/>
          <w:kern w:val="0"/>
          <w:sz w:val="30"/>
          <w:szCs w:val="30"/>
          <w:highlight w:val="none"/>
          <w:lang w:eastAsia="zh-CN"/>
        </w:rPr>
        <w:t>，需在合同签订</w:t>
      </w:r>
      <w:r>
        <w:rPr>
          <w:rFonts w:hint="eastAsia" w:ascii="方正仿宋_GBK" w:hAnsi="方正仿宋_GBK" w:eastAsia="方正仿宋_GBK" w:cs="方正仿宋_GBK"/>
          <w:sz w:val="30"/>
          <w:szCs w:val="30"/>
          <w:highlight w:val="none"/>
          <w:lang w:val="en-US" w:eastAsia="zh-CN"/>
        </w:rPr>
        <w:t>30个自然日内完成改造，</w:t>
      </w:r>
      <w:r>
        <w:rPr>
          <w:rFonts w:hint="eastAsia" w:ascii="方正仿宋_GBK" w:hAnsi="方正仿宋_GBK" w:eastAsia="方正仿宋_GBK" w:cs="方正仿宋_GBK"/>
          <w:kern w:val="0"/>
          <w:sz w:val="30"/>
          <w:szCs w:val="30"/>
          <w:highlight w:val="none"/>
          <w:lang w:eastAsia="zh-CN"/>
        </w:rPr>
        <w:t>改造工作由运营商负责实施。（具体详见附件</w:t>
      </w:r>
      <w:r>
        <w:rPr>
          <w:rFonts w:hint="eastAsia" w:ascii="方正仿宋_GBK" w:hAnsi="方正仿宋_GBK" w:eastAsia="方正仿宋_GBK" w:cs="方正仿宋_GBK"/>
          <w:kern w:val="0"/>
          <w:sz w:val="30"/>
          <w:szCs w:val="30"/>
          <w:highlight w:val="none"/>
          <w:lang w:val="en-US" w:eastAsia="zh-CN"/>
        </w:rPr>
        <w:t>3</w:t>
      </w:r>
      <w:r>
        <w:rPr>
          <w:rFonts w:hint="eastAsia" w:ascii="方正仿宋_GBK" w:hAnsi="方正仿宋_GBK" w:eastAsia="方正仿宋_GBK" w:cs="方正仿宋_GBK"/>
          <w:kern w:val="0"/>
          <w:sz w:val="30"/>
          <w:szCs w:val="30"/>
          <w:highlight w:val="none"/>
          <w:lang w:eastAsia="zh-CN"/>
        </w:rPr>
        <w:t>）</w:t>
      </w:r>
    </w:p>
    <w:p>
      <w:pPr>
        <w:keepNext w:val="0"/>
        <w:keepLines w:val="0"/>
        <w:pageBreakBefore w:val="0"/>
        <w:kinsoku/>
        <w:wordWrap/>
        <w:overflowPunct/>
        <w:topLinePunct w:val="0"/>
        <w:autoSpaceDE/>
        <w:autoSpaceDN/>
        <w:bidi w:val="0"/>
        <w:snapToGrid/>
        <w:spacing w:line="580" w:lineRule="exact"/>
        <w:ind w:firstLine="600" w:firstLineChars="200"/>
        <w:textAlignment w:val="auto"/>
        <w:rPr>
          <w:rFonts w:hint="eastAsia" w:ascii="方正仿宋_GBK" w:hAnsi="方正仿宋_GBK" w:eastAsia="方正仿宋_GBK" w:cs="方正仿宋_GBK"/>
          <w:kern w:val="0"/>
          <w:sz w:val="30"/>
          <w:szCs w:val="30"/>
          <w:highlight w:val="none"/>
          <w:lang w:eastAsia="zh-CN"/>
        </w:rPr>
      </w:pPr>
      <w:r>
        <w:rPr>
          <w:rFonts w:hint="eastAsia" w:ascii="方正楷体_GBK" w:hAnsi="方正楷体_GBK" w:eastAsia="方正楷体_GBK" w:cs="方正楷体_GBK"/>
          <w:kern w:val="0"/>
          <w:sz w:val="30"/>
          <w:szCs w:val="30"/>
          <w:highlight w:val="none"/>
          <w:lang w:val="en-US" w:eastAsia="zh-CN"/>
        </w:rPr>
        <w:t>（三）站点运营与维护。</w:t>
      </w:r>
      <w:r>
        <w:rPr>
          <w:rFonts w:hint="eastAsia" w:ascii="方正仿宋_GBK" w:hAnsi="方正仿宋_GBK" w:eastAsia="方正仿宋_GBK" w:cs="方正仿宋_GBK"/>
          <w:kern w:val="0"/>
          <w:sz w:val="30"/>
          <w:szCs w:val="30"/>
          <w:highlight w:val="none"/>
          <w:lang w:eastAsia="zh-CN"/>
        </w:rPr>
        <w:t>运营商</w:t>
      </w:r>
      <w:r>
        <w:rPr>
          <w:rFonts w:hint="eastAsia" w:ascii="方正仿宋_GBK" w:hAnsi="方正仿宋_GBK" w:eastAsia="方正仿宋_GBK" w:cs="方正仿宋_GBK"/>
          <w:kern w:val="0"/>
          <w:sz w:val="30"/>
          <w:szCs w:val="30"/>
          <w:highlight w:val="none"/>
        </w:rPr>
        <w:t>对新建及改造的</w:t>
      </w:r>
      <w:r>
        <w:rPr>
          <w:rFonts w:hint="eastAsia" w:ascii="方正仿宋_GBK" w:hAnsi="方正仿宋_GBK" w:eastAsia="方正仿宋_GBK" w:cs="方正仿宋_GBK"/>
          <w:kern w:val="0"/>
          <w:sz w:val="30"/>
          <w:szCs w:val="30"/>
          <w:highlight w:val="none"/>
          <w:lang w:eastAsia="zh-CN"/>
        </w:rPr>
        <w:t>充电站点</w:t>
      </w:r>
      <w:r>
        <w:rPr>
          <w:rFonts w:hint="eastAsia" w:ascii="方正仿宋_GBK" w:hAnsi="方正仿宋_GBK" w:eastAsia="方正仿宋_GBK" w:cs="方正仿宋_GBK"/>
          <w:kern w:val="0"/>
          <w:sz w:val="30"/>
          <w:szCs w:val="30"/>
          <w:highlight w:val="none"/>
        </w:rPr>
        <w:t>进行</w:t>
      </w:r>
      <w:r>
        <w:rPr>
          <w:rFonts w:hint="eastAsia" w:ascii="方正仿宋_GBK" w:hAnsi="方正仿宋_GBK" w:eastAsia="方正仿宋_GBK" w:cs="方正仿宋_GBK"/>
          <w:kern w:val="0"/>
          <w:sz w:val="30"/>
          <w:szCs w:val="30"/>
          <w:highlight w:val="none"/>
          <w:lang w:eastAsia="zh-CN"/>
        </w:rPr>
        <w:t>运营、</w:t>
      </w:r>
      <w:r>
        <w:rPr>
          <w:rFonts w:hint="eastAsia" w:ascii="方正仿宋_GBK" w:hAnsi="方正仿宋_GBK" w:eastAsia="方正仿宋_GBK" w:cs="方正仿宋_GBK"/>
          <w:kern w:val="0"/>
          <w:sz w:val="30"/>
          <w:szCs w:val="30"/>
          <w:highlight w:val="none"/>
        </w:rPr>
        <w:t>维护</w:t>
      </w:r>
      <w:r>
        <w:rPr>
          <w:rFonts w:hint="eastAsia" w:ascii="方正仿宋_GBK" w:hAnsi="方正仿宋_GBK" w:eastAsia="方正仿宋_GBK" w:cs="方正仿宋_GBK"/>
          <w:kern w:val="0"/>
          <w:sz w:val="30"/>
          <w:szCs w:val="30"/>
          <w:highlight w:val="none"/>
          <w:lang w:eastAsia="zh-CN"/>
        </w:rPr>
        <w:t>，确保设备始终处于正常运行状态，运营、维护期直至合作期满，</w:t>
      </w:r>
      <w:r>
        <w:rPr>
          <w:rFonts w:hint="eastAsia" w:ascii="方正仿宋_GBK" w:hAnsi="方正仿宋_GBK" w:eastAsia="方正仿宋_GBK" w:cs="方正仿宋_GBK"/>
          <w:kern w:val="0"/>
          <w:sz w:val="30"/>
          <w:szCs w:val="30"/>
          <w:highlight w:val="none"/>
        </w:rPr>
        <w:t>实现电动自行车集中停放、安全充电等功能</w:t>
      </w:r>
      <w:r>
        <w:rPr>
          <w:rFonts w:hint="eastAsia" w:ascii="方正仿宋_GBK" w:hAnsi="方正仿宋_GBK" w:eastAsia="方正仿宋_GBK" w:cs="方正仿宋_GBK"/>
          <w:kern w:val="0"/>
          <w:sz w:val="30"/>
          <w:szCs w:val="30"/>
          <w:highlight w:val="none"/>
          <w:lang w:eastAsia="zh-CN"/>
        </w:rPr>
        <w:t>。</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ascii="方正黑体_GBK" w:hAnsi="方正黑体_GBK" w:eastAsia="方正黑体_GBK" w:cs="方正黑体_GBK"/>
          <w:b w:val="0"/>
          <w:bCs w:val="0"/>
          <w:sz w:val="30"/>
          <w:szCs w:val="30"/>
          <w:highlight w:val="none"/>
        </w:rPr>
      </w:pPr>
      <w:r>
        <w:rPr>
          <w:rFonts w:hint="eastAsia" w:ascii="方正黑体_GBK" w:hAnsi="方正黑体_GBK" w:eastAsia="方正黑体_GBK" w:cs="方正黑体_GBK"/>
          <w:b w:val="0"/>
          <w:bCs w:val="0"/>
          <w:sz w:val="30"/>
          <w:szCs w:val="30"/>
          <w:highlight w:val="none"/>
        </w:rPr>
        <w:t>三、项目年限</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kern w:val="0"/>
          <w:sz w:val="30"/>
          <w:szCs w:val="30"/>
          <w:highlight w:val="none"/>
          <w:lang w:eastAsia="zh-CN"/>
        </w:rPr>
      </w:pPr>
      <w:r>
        <w:rPr>
          <w:rFonts w:hint="eastAsia" w:ascii="方正仿宋_GBK" w:hAnsi="方正仿宋_GBK" w:eastAsia="方正仿宋_GBK" w:cs="方正仿宋_GBK"/>
          <w:sz w:val="30"/>
          <w:szCs w:val="30"/>
          <w:highlight w:val="none"/>
          <w:lang w:eastAsia="zh-CN"/>
        </w:rPr>
        <w:t>运营</w:t>
      </w:r>
      <w:r>
        <w:rPr>
          <w:rFonts w:hint="eastAsia" w:ascii="方正仿宋_GBK" w:hAnsi="方正仿宋_GBK" w:eastAsia="方正仿宋_GBK" w:cs="方正仿宋_GBK"/>
          <w:sz w:val="30"/>
          <w:szCs w:val="30"/>
          <w:highlight w:val="none"/>
        </w:rPr>
        <w:t>年限：5年</w:t>
      </w:r>
      <w:r>
        <w:rPr>
          <w:rFonts w:hint="eastAsia" w:ascii="方正仿宋_GBK" w:hAnsi="方正仿宋_GBK" w:eastAsia="方正仿宋_GBK" w:cs="方正仿宋_GBK"/>
          <w:sz w:val="30"/>
          <w:szCs w:val="30"/>
          <w:highlight w:val="none"/>
          <w:lang w:eastAsia="zh-CN"/>
        </w:rPr>
        <w:t>（参照《江门市市直行政事业性国有资产管理办法》，期限设置为</w:t>
      </w:r>
      <w:r>
        <w:rPr>
          <w:rFonts w:hint="eastAsia" w:ascii="方正仿宋_GBK" w:hAnsi="方正仿宋_GBK" w:eastAsia="方正仿宋_GBK" w:cs="方正仿宋_GBK"/>
          <w:sz w:val="30"/>
          <w:szCs w:val="30"/>
          <w:highlight w:val="none"/>
          <w:lang w:val="en-US" w:eastAsia="zh-CN"/>
        </w:rPr>
        <w:t>5年</w:t>
      </w:r>
      <w:r>
        <w:rPr>
          <w:rFonts w:hint="eastAsia" w:ascii="方正仿宋_GBK" w:hAnsi="方正仿宋_GBK" w:eastAsia="方正仿宋_GBK" w:cs="方正仿宋_GBK"/>
          <w:sz w:val="30"/>
          <w:szCs w:val="30"/>
          <w:highlight w:val="none"/>
          <w:lang w:eastAsia="zh-CN"/>
        </w:rPr>
        <w:t>）。</w:t>
      </w:r>
    </w:p>
    <w:p>
      <w:pPr>
        <w:keepNext w:val="0"/>
        <w:keepLines w:val="0"/>
        <w:pageBreakBefore w:val="0"/>
        <w:kinsoku/>
        <w:wordWrap/>
        <w:overflowPunct/>
        <w:topLinePunct w:val="0"/>
        <w:autoSpaceDE/>
        <w:autoSpaceDN/>
        <w:bidi w:val="0"/>
        <w:adjustRightInd w:val="0"/>
        <w:snapToGrid/>
        <w:spacing w:line="580" w:lineRule="exact"/>
        <w:ind w:firstLine="600" w:firstLineChars="200"/>
        <w:textAlignment w:val="auto"/>
        <w:rPr>
          <w:rFonts w:hint="eastAsia" w:ascii="方正黑体_GBK" w:hAnsi="方正黑体_GBK" w:eastAsia="方正黑体_GBK" w:cs="方正黑体_GBK"/>
          <w:b w:val="0"/>
          <w:bCs w:val="0"/>
          <w:sz w:val="30"/>
          <w:szCs w:val="30"/>
          <w:highlight w:val="none"/>
          <w:lang w:eastAsia="zh-CN"/>
        </w:rPr>
      </w:pPr>
      <w:r>
        <w:rPr>
          <w:rFonts w:hint="eastAsia" w:ascii="方正黑体_GBK" w:hAnsi="方正黑体_GBK" w:eastAsia="方正黑体_GBK" w:cs="方正黑体_GBK"/>
          <w:b w:val="0"/>
          <w:bCs w:val="0"/>
          <w:sz w:val="30"/>
          <w:szCs w:val="30"/>
          <w:highlight w:val="none"/>
          <w:lang w:eastAsia="zh-CN"/>
        </w:rPr>
        <w:t>四</w:t>
      </w:r>
      <w:r>
        <w:rPr>
          <w:rFonts w:hint="eastAsia" w:ascii="方正黑体_GBK" w:hAnsi="方正黑体_GBK" w:eastAsia="方正黑体_GBK" w:cs="方正黑体_GBK"/>
          <w:b w:val="0"/>
          <w:bCs w:val="0"/>
          <w:sz w:val="30"/>
          <w:szCs w:val="30"/>
          <w:highlight w:val="none"/>
        </w:rPr>
        <w:t>、</w:t>
      </w:r>
      <w:r>
        <w:rPr>
          <w:rFonts w:hint="eastAsia" w:ascii="方正黑体_GBK" w:hAnsi="方正黑体_GBK" w:eastAsia="方正黑体_GBK" w:cs="方正黑体_GBK"/>
          <w:b w:val="0"/>
          <w:bCs w:val="0"/>
          <w:sz w:val="30"/>
          <w:szCs w:val="30"/>
          <w:highlight w:val="none"/>
          <w:lang w:eastAsia="zh-CN"/>
        </w:rPr>
        <w:t>运营所需资金</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充电桩站点建设、改造及运营所需资金</w:t>
      </w:r>
      <w:r>
        <w:rPr>
          <w:rFonts w:hint="eastAsia" w:ascii="方正仿宋_GBK" w:hAnsi="方正仿宋_GBK" w:eastAsia="方正仿宋_GBK" w:cs="方正仿宋_GBK"/>
          <w:sz w:val="30"/>
          <w:szCs w:val="30"/>
          <w:highlight w:val="none"/>
        </w:rPr>
        <w:t>由</w:t>
      </w:r>
      <w:r>
        <w:rPr>
          <w:rFonts w:hint="eastAsia" w:ascii="方正仿宋_GBK" w:hAnsi="方正仿宋_GBK" w:eastAsia="方正仿宋_GBK" w:cs="方正仿宋_GBK"/>
          <w:sz w:val="30"/>
          <w:szCs w:val="30"/>
          <w:highlight w:val="none"/>
          <w:lang w:eastAsia="zh-CN"/>
        </w:rPr>
        <w:t>运营商自行负责</w:t>
      </w:r>
      <w:r>
        <w:rPr>
          <w:rFonts w:hint="eastAsia" w:ascii="方正仿宋_GBK" w:hAnsi="方正仿宋_GBK" w:eastAsia="方正仿宋_GBK" w:cs="方正仿宋_GBK"/>
          <w:sz w:val="30"/>
          <w:szCs w:val="30"/>
          <w:highlight w:val="none"/>
        </w:rPr>
        <w:t>。</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left="420" w:leftChars="200" w:firstLine="300" w:firstLineChars="100"/>
        <w:jc w:val="both"/>
        <w:textAlignment w:val="auto"/>
        <w:rPr>
          <w:rFonts w:hint="eastAsia" w:ascii="方正黑体_GBK" w:hAnsi="方正黑体_GBK" w:eastAsia="方正黑体_GBK" w:cs="方正黑体_GBK"/>
          <w:b w:val="0"/>
          <w:bCs w:val="0"/>
          <w:kern w:val="2"/>
          <w:sz w:val="30"/>
          <w:szCs w:val="30"/>
          <w:highlight w:val="none"/>
          <w:lang w:eastAsia="zh-CN"/>
        </w:rPr>
      </w:pPr>
      <w:r>
        <w:rPr>
          <w:rFonts w:hint="eastAsia" w:ascii="方正黑体_GBK" w:hAnsi="方正黑体_GBK" w:eastAsia="方正黑体_GBK" w:cs="方正黑体_GBK"/>
          <w:b w:val="0"/>
          <w:bCs w:val="0"/>
          <w:kern w:val="2"/>
          <w:sz w:val="30"/>
          <w:szCs w:val="30"/>
          <w:highlight w:val="none"/>
          <w:lang w:eastAsia="zh-CN"/>
        </w:rPr>
        <w:t>五、运营收费要求</w:t>
      </w:r>
    </w:p>
    <w:p>
      <w:pPr>
        <w:keepNext w:val="0"/>
        <w:keepLines w:val="0"/>
        <w:pageBreakBefore w:val="0"/>
        <w:kinsoku/>
        <w:wordWrap/>
        <w:overflowPunct/>
        <w:topLinePunct w:val="0"/>
        <w:autoSpaceDE/>
        <w:autoSpaceDN/>
        <w:bidi w:val="0"/>
        <w:snapToGrid/>
        <w:spacing w:line="580" w:lineRule="exact"/>
        <w:ind w:firstLine="600" w:firstLineChars="200"/>
        <w:textAlignment w:val="auto"/>
        <w:rPr>
          <w:rFonts w:hint="eastAsia" w:ascii="方正楷体_GBK" w:hAnsi="方正楷体_GBK" w:eastAsia="方正楷体_GBK" w:cs="方正楷体_GBK"/>
          <w:kern w:val="0"/>
          <w:sz w:val="30"/>
          <w:szCs w:val="30"/>
          <w:highlight w:val="none"/>
          <w:lang w:val="en-US" w:eastAsia="zh-CN"/>
        </w:rPr>
      </w:pPr>
      <w:r>
        <w:rPr>
          <w:rFonts w:hint="eastAsia" w:ascii="方正楷体_GBK" w:hAnsi="方正楷体_GBK" w:eastAsia="方正楷体_GBK" w:cs="方正楷体_GBK"/>
          <w:kern w:val="0"/>
          <w:sz w:val="30"/>
          <w:szCs w:val="30"/>
          <w:highlight w:val="none"/>
          <w:lang w:val="en-US" w:eastAsia="zh-CN"/>
        </w:rPr>
        <w:t>（一）充电收费模式</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eastAsia="zh-CN"/>
        </w:rPr>
        <w:t>电动自行车充电站由运营商向需充电的租户、业主个人进行收取</w:t>
      </w:r>
      <w:r>
        <w:rPr>
          <w:rFonts w:hint="eastAsia" w:ascii="方正仿宋_GBK" w:hAnsi="方正仿宋_GBK" w:eastAsia="方正仿宋_GBK" w:cs="方正仿宋_GBK"/>
          <w:sz w:val="30"/>
          <w:szCs w:val="30"/>
          <w:highlight w:val="none"/>
        </w:rPr>
        <w:t>，采用电费+服务费方式收费。电费按</w:t>
      </w:r>
      <w:r>
        <w:rPr>
          <w:rFonts w:hint="eastAsia" w:ascii="方正仿宋_GBK" w:hAnsi="方正仿宋_GBK" w:eastAsia="方正仿宋_GBK" w:cs="方正仿宋_GBK"/>
          <w:sz w:val="30"/>
          <w:szCs w:val="30"/>
          <w:highlight w:val="none"/>
          <w:lang w:val="en-US" w:eastAsia="zh-CN"/>
        </w:rPr>
        <w:t>项目所在辖区供电局直供电单价收取。</w:t>
      </w:r>
      <w:r>
        <w:rPr>
          <w:rFonts w:hint="eastAsia" w:ascii="方正仿宋_GBK" w:hAnsi="方正仿宋_GBK" w:eastAsia="方正仿宋_GBK" w:cs="方正仿宋_GBK"/>
          <w:b w:val="0"/>
          <w:bCs w:val="0"/>
          <w:sz w:val="30"/>
          <w:szCs w:val="30"/>
          <w:highlight w:val="none"/>
        </w:rPr>
        <w:t>服务费</w:t>
      </w:r>
      <w:r>
        <w:rPr>
          <w:rFonts w:hint="eastAsia" w:ascii="方正仿宋_GBK" w:hAnsi="方正仿宋_GBK" w:eastAsia="方正仿宋_GBK" w:cs="方正仿宋_GBK"/>
          <w:b w:val="0"/>
          <w:bCs w:val="0"/>
          <w:sz w:val="30"/>
          <w:szCs w:val="30"/>
          <w:highlight w:val="none"/>
          <w:lang w:val="en-US" w:eastAsia="zh-CN"/>
        </w:rPr>
        <w:t>由运营商自行定价，最高不超过</w:t>
      </w:r>
      <w:r>
        <w:rPr>
          <w:rFonts w:hint="eastAsia" w:ascii="方正仿宋_GBK" w:hAnsi="方正仿宋_GBK" w:eastAsia="方正仿宋_GBK" w:cs="方正仿宋_GBK"/>
          <w:b w:val="0"/>
          <w:bCs w:val="0"/>
          <w:sz w:val="30"/>
          <w:szCs w:val="30"/>
          <w:highlight w:val="none"/>
        </w:rPr>
        <w:t>0.5元/小时收费</w:t>
      </w:r>
      <w:r>
        <w:rPr>
          <w:rFonts w:hint="eastAsia" w:ascii="方正仿宋_GBK" w:hAnsi="方正仿宋_GBK" w:eastAsia="方正仿宋_GBK" w:cs="方正仿宋_GBK"/>
          <w:b w:val="0"/>
          <w:bCs w:val="0"/>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按每小时收取服务费报价）</w:t>
      </w:r>
      <w:r>
        <w:rPr>
          <w:rFonts w:hint="eastAsia" w:ascii="方正仿宋_GBK" w:hAnsi="方正仿宋_GBK" w:eastAsia="方正仿宋_GBK" w:cs="方正仿宋_GBK"/>
          <w:b w:val="0"/>
          <w:bCs w:val="0"/>
          <w:sz w:val="30"/>
          <w:szCs w:val="30"/>
          <w:highlight w:val="none"/>
        </w:rPr>
        <w:t>。充电采</w:t>
      </w:r>
      <w:r>
        <w:rPr>
          <w:rFonts w:hint="eastAsia" w:ascii="方正仿宋_GBK" w:hAnsi="方正仿宋_GBK" w:eastAsia="方正仿宋_GBK" w:cs="方正仿宋_GBK"/>
          <w:sz w:val="30"/>
          <w:szCs w:val="30"/>
          <w:highlight w:val="none"/>
        </w:rPr>
        <w:t>取微信、刷卡两种方式，解决附近住户充电问题，给居民提供便捷、便宜的充电</w:t>
      </w:r>
      <w:r>
        <w:rPr>
          <w:rFonts w:hint="eastAsia" w:ascii="方正仿宋_GBK" w:hAnsi="方正仿宋_GBK" w:eastAsia="方正仿宋_GBK" w:cs="方正仿宋_GBK"/>
          <w:sz w:val="30"/>
          <w:szCs w:val="30"/>
          <w:highlight w:val="none"/>
          <w:lang w:eastAsia="zh-CN"/>
        </w:rPr>
        <w:t>服务。</w:t>
      </w:r>
    </w:p>
    <w:p>
      <w:pPr>
        <w:keepNext w:val="0"/>
        <w:keepLines w:val="0"/>
        <w:pageBreakBefore w:val="0"/>
        <w:kinsoku/>
        <w:wordWrap/>
        <w:overflowPunct/>
        <w:topLinePunct w:val="0"/>
        <w:autoSpaceDE/>
        <w:autoSpaceDN/>
        <w:bidi w:val="0"/>
        <w:snapToGrid/>
        <w:spacing w:line="580" w:lineRule="exact"/>
        <w:ind w:firstLine="600" w:firstLineChars="200"/>
        <w:textAlignment w:val="auto"/>
        <w:rPr>
          <w:rFonts w:hint="eastAsia" w:ascii="方正楷体_GBK" w:hAnsi="方正楷体_GBK" w:eastAsia="方正楷体_GBK" w:cs="方正楷体_GBK"/>
          <w:kern w:val="0"/>
          <w:sz w:val="30"/>
          <w:szCs w:val="30"/>
          <w:highlight w:val="none"/>
          <w:lang w:val="en-US" w:eastAsia="zh-CN"/>
        </w:rPr>
      </w:pPr>
      <w:r>
        <w:rPr>
          <w:rFonts w:hint="eastAsia" w:ascii="方正楷体_GBK" w:hAnsi="方正楷体_GBK" w:eastAsia="方正楷体_GBK" w:cs="方正楷体_GBK"/>
          <w:kern w:val="0"/>
          <w:sz w:val="30"/>
          <w:szCs w:val="30"/>
          <w:highlight w:val="none"/>
          <w:lang w:val="en-US" w:eastAsia="zh-CN"/>
        </w:rPr>
        <w:t>（二）经营权收益</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运营商根据建设的低速电动车充电桩实际端口数量</w:t>
      </w:r>
      <w:r>
        <w:rPr>
          <w:rFonts w:hint="eastAsia" w:ascii="方正仿宋_GBK" w:hAnsi="方正仿宋_GBK" w:eastAsia="方正仿宋_GBK" w:cs="方正仿宋_GBK"/>
          <w:strike w:val="0"/>
          <w:dstrike w:val="0"/>
          <w:sz w:val="30"/>
          <w:szCs w:val="30"/>
          <w:highlight w:val="none"/>
          <w:lang w:val="en-US" w:eastAsia="zh-CN"/>
        </w:rPr>
        <w:t>，</w:t>
      </w:r>
      <w:r>
        <w:rPr>
          <w:rFonts w:hint="eastAsia" w:ascii="方正仿宋_GBK" w:hAnsi="方正仿宋_GBK" w:eastAsia="方正仿宋_GBK" w:cs="方正仿宋_GBK"/>
          <w:sz w:val="30"/>
          <w:szCs w:val="30"/>
          <w:highlight w:val="none"/>
          <w:lang w:val="en-US" w:eastAsia="zh-CN"/>
        </w:rPr>
        <w:t>并结合项目建设投入及运营情况综合评估端口经营权收益。经营权收益由采购人或采购人委托的管理单位向运营商收取，收取标准为每月每充电端口不低于1.5元（运营商按每个端口每月缴纳的经营权收益报价）。</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黑体_GBK" w:hAnsi="方正黑体_GBK" w:eastAsia="方正黑体_GBK" w:cs="方正黑体_GBK"/>
          <w:b w:val="0"/>
          <w:bCs w:val="0"/>
          <w:sz w:val="30"/>
          <w:szCs w:val="30"/>
          <w:highlight w:val="none"/>
          <w:lang w:eastAsia="zh-CN"/>
        </w:rPr>
      </w:pPr>
      <w:r>
        <w:rPr>
          <w:rFonts w:hint="eastAsia" w:ascii="方正黑体_GBK" w:hAnsi="方正黑体_GBK" w:eastAsia="方正黑体_GBK" w:cs="方正黑体_GBK"/>
          <w:b w:val="0"/>
          <w:bCs w:val="0"/>
          <w:sz w:val="30"/>
          <w:szCs w:val="30"/>
          <w:highlight w:val="none"/>
          <w:lang w:eastAsia="zh-CN"/>
        </w:rPr>
        <w:t>六</w:t>
      </w:r>
      <w:r>
        <w:rPr>
          <w:rFonts w:hint="eastAsia" w:ascii="方正黑体_GBK" w:hAnsi="方正黑体_GBK" w:eastAsia="方正黑体_GBK" w:cs="方正黑体_GBK"/>
          <w:b w:val="0"/>
          <w:bCs w:val="0"/>
          <w:sz w:val="30"/>
          <w:szCs w:val="30"/>
          <w:highlight w:val="none"/>
        </w:rPr>
        <w:t>、</w:t>
      </w:r>
      <w:r>
        <w:rPr>
          <w:rFonts w:hint="eastAsia" w:ascii="方正黑体_GBK" w:hAnsi="方正黑体_GBK" w:eastAsia="方正黑体_GBK" w:cs="方正黑体_GBK"/>
          <w:b w:val="0"/>
          <w:bCs w:val="0"/>
          <w:sz w:val="30"/>
          <w:szCs w:val="30"/>
          <w:highlight w:val="none"/>
          <w:lang w:eastAsia="zh-CN"/>
        </w:rPr>
        <w:t>权利与义务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楷体_GBK" w:hAnsi="方正楷体_GBK" w:eastAsia="方正楷体_GBK" w:cs="方正楷体_GBK"/>
          <w:b w:val="0"/>
          <w:bCs w:val="0"/>
          <w:sz w:val="30"/>
          <w:szCs w:val="30"/>
          <w:highlight w:val="none"/>
          <w:lang w:eastAsia="zh-CN"/>
        </w:rPr>
      </w:pPr>
      <w:r>
        <w:rPr>
          <w:rFonts w:hint="eastAsia" w:ascii="方正楷体_GBK" w:hAnsi="方正楷体_GBK" w:eastAsia="方正楷体_GBK" w:cs="方正楷体_GBK"/>
          <w:b w:val="0"/>
          <w:bCs w:val="0"/>
          <w:sz w:val="30"/>
          <w:szCs w:val="30"/>
          <w:highlight w:val="none"/>
          <w:lang w:eastAsia="zh-CN"/>
        </w:rPr>
        <w:t>（一）采购人权利与义务</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rPr>
        <w:t>提供建设安装充电桩的场地，</w:t>
      </w:r>
      <w:r>
        <w:rPr>
          <w:rFonts w:hint="eastAsia" w:ascii="方正仿宋_GBK" w:hAnsi="方正仿宋_GBK" w:eastAsia="方正仿宋_GBK" w:cs="方正仿宋_GBK"/>
          <w:sz w:val="30"/>
          <w:szCs w:val="30"/>
          <w:highlight w:val="none"/>
          <w:lang w:eastAsia="zh-CN"/>
        </w:rPr>
        <w:t>并</w:t>
      </w:r>
      <w:r>
        <w:rPr>
          <w:rFonts w:hint="eastAsia" w:ascii="方正仿宋_GBK" w:hAnsi="方正仿宋_GBK" w:eastAsia="方正仿宋_GBK" w:cs="方正仿宋_GBK"/>
          <w:sz w:val="30"/>
          <w:szCs w:val="30"/>
          <w:highlight w:val="none"/>
        </w:rPr>
        <w:t>协助提供报装电表资料。</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b w:val="0"/>
          <w:bCs w:val="0"/>
          <w:sz w:val="30"/>
          <w:szCs w:val="30"/>
          <w:highlight w:val="none"/>
        </w:rPr>
      </w:pP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b w:val="0"/>
          <w:bCs w:val="0"/>
          <w:sz w:val="30"/>
          <w:szCs w:val="30"/>
          <w:highlight w:val="none"/>
        </w:rPr>
        <w:t>项目实施过程中，</w:t>
      </w:r>
      <w:r>
        <w:rPr>
          <w:rFonts w:hint="eastAsia" w:ascii="方正仿宋_GBK" w:hAnsi="方正仿宋_GBK" w:eastAsia="方正仿宋_GBK" w:cs="方正仿宋_GBK"/>
          <w:b w:val="0"/>
          <w:bCs w:val="0"/>
          <w:sz w:val="30"/>
          <w:szCs w:val="30"/>
          <w:highlight w:val="none"/>
          <w:lang w:eastAsia="zh-CN"/>
        </w:rPr>
        <w:t>采购人或采购人</w:t>
      </w:r>
      <w:r>
        <w:rPr>
          <w:rFonts w:hint="eastAsia" w:ascii="方正仿宋_GBK" w:hAnsi="方正仿宋_GBK" w:eastAsia="方正仿宋_GBK" w:cs="方正仿宋_GBK"/>
          <w:sz w:val="30"/>
          <w:szCs w:val="30"/>
          <w:highlight w:val="none"/>
          <w:lang w:eastAsia="zh-CN"/>
        </w:rPr>
        <w:t>委托的管理单位应积极</w:t>
      </w:r>
      <w:r>
        <w:rPr>
          <w:rFonts w:hint="eastAsia" w:ascii="方正仿宋_GBK" w:hAnsi="方正仿宋_GBK" w:eastAsia="方正仿宋_GBK" w:cs="方正仿宋_GBK"/>
          <w:b w:val="0"/>
          <w:bCs w:val="0"/>
          <w:sz w:val="30"/>
          <w:szCs w:val="30"/>
          <w:highlight w:val="none"/>
        </w:rPr>
        <w:t>监督</w:t>
      </w:r>
      <w:r>
        <w:rPr>
          <w:rFonts w:hint="eastAsia" w:ascii="方正仿宋_GBK" w:hAnsi="方正仿宋_GBK" w:eastAsia="方正仿宋_GBK" w:cs="方正仿宋_GBK"/>
          <w:b w:val="0"/>
          <w:bCs w:val="0"/>
          <w:sz w:val="30"/>
          <w:szCs w:val="30"/>
          <w:highlight w:val="none"/>
          <w:lang w:eastAsia="zh-CN"/>
        </w:rPr>
        <w:t>项目实施情况</w:t>
      </w:r>
      <w:r>
        <w:rPr>
          <w:rFonts w:hint="eastAsia" w:ascii="方正仿宋_GBK" w:hAnsi="方正仿宋_GBK" w:eastAsia="方正仿宋_GBK" w:cs="方正仿宋_GBK"/>
          <w:b w:val="0"/>
          <w:bCs w:val="0"/>
          <w:sz w:val="30"/>
          <w:szCs w:val="30"/>
          <w:highlight w:val="none"/>
        </w:rPr>
        <w:t>，</w:t>
      </w:r>
      <w:r>
        <w:rPr>
          <w:rFonts w:hint="eastAsia" w:ascii="方正仿宋_GBK" w:hAnsi="方正仿宋_GBK" w:eastAsia="方正仿宋_GBK" w:cs="方正仿宋_GBK"/>
          <w:b w:val="0"/>
          <w:bCs w:val="0"/>
          <w:sz w:val="30"/>
          <w:szCs w:val="30"/>
          <w:highlight w:val="none"/>
          <w:lang w:val="en-US" w:eastAsia="zh-CN"/>
        </w:rPr>
        <w:t>并</w:t>
      </w:r>
      <w:r>
        <w:rPr>
          <w:rFonts w:hint="eastAsia" w:ascii="方正仿宋_GBK" w:hAnsi="方正仿宋_GBK" w:eastAsia="方正仿宋_GBK" w:cs="方正仿宋_GBK"/>
          <w:b w:val="0"/>
          <w:bCs w:val="0"/>
          <w:sz w:val="30"/>
          <w:szCs w:val="30"/>
          <w:highlight w:val="none"/>
        </w:rPr>
        <w:t>对监督过程中发现的</w:t>
      </w:r>
      <w:r>
        <w:rPr>
          <w:rFonts w:hint="eastAsia" w:ascii="方正仿宋_GBK" w:hAnsi="方正仿宋_GBK" w:eastAsia="方正仿宋_GBK" w:cs="方正仿宋_GBK"/>
          <w:b w:val="0"/>
          <w:bCs w:val="0"/>
          <w:sz w:val="30"/>
          <w:szCs w:val="30"/>
          <w:highlight w:val="none"/>
          <w:lang w:eastAsia="zh-CN"/>
        </w:rPr>
        <w:t>消防、安全等</w:t>
      </w:r>
      <w:r>
        <w:rPr>
          <w:rFonts w:hint="eastAsia" w:ascii="方正仿宋_GBK" w:hAnsi="方正仿宋_GBK" w:eastAsia="方正仿宋_GBK" w:cs="方正仿宋_GBK"/>
          <w:b w:val="0"/>
          <w:bCs w:val="0"/>
          <w:sz w:val="30"/>
          <w:szCs w:val="30"/>
          <w:highlight w:val="none"/>
        </w:rPr>
        <w:t>问题</w:t>
      </w:r>
      <w:r>
        <w:rPr>
          <w:rFonts w:hint="eastAsia" w:ascii="方正仿宋_GBK" w:hAnsi="方正仿宋_GBK" w:eastAsia="方正仿宋_GBK" w:cs="方正仿宋_GBK"/>
          <w:b w:val="0"/>
          <w:bCs w:val="0"/>
          <w:sz w:val="30"/>
          <w:szCs w:val="30"/>
          <w:highlight w:val="none"/>
          <w:lang w:eastAsia="zh-CN"/>
        </w:rPr>
        <w:t>提出整改要求，运营商应积极配合整改</w:t>
      </w:r>
      <w:r>
        <w:rPr>
          <w:rFonts w:hint="eastAsia" w:ascii="方正仿宋_GBK" w:hAnsi="方正仿宋_GBK" w:eastAsia="方正仿宋_GBK" w:cs="方正仿宋_GBK"/>
          <w:b w:val="0"/>
          <w:bCs w:val="0"/>
          <w:sz w:val="30"/>
          <w:szCs w:val="30"/>
          <w:highlight w:val="none"/>
        </w:rPr>
        <w:t>。</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3.运维期内，运营商如就新增站点建设等提出合理诉求，采购人应积极配合运营商推进相关工作。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方正楷体_GBK" w:hAnsi="方正楷体_GBK" w:eastAsia="方正楷体_GBK" w:cs="方正楷体_GBK"/>
          <w:b w:val="0"/>
          <w:bCs w:val="0"/>
          <w:sz w:val="30"/>
          <w:szCs w:val="30"/>
          <w:highlight w:val="none"/>
          <w:lang w:eastAsia="zh-CN"/>
        </w:rPr>
      </w:pPr>
      <w:r>
        <w:rPr>
          <w:rFonts w:hint="eastAsia" w:ascii="方正楷体_GBK" w:hAnsi="方正楷体_GBK" w:eastAsia="方正楷体_GBK" w:cs="方正楷体_GBK"/>
          <w:b w:val="0"/>
          <w:bCs w:val="0"/>
          <w:sz w:val="30"/>
          <w:szCs w:val="30"/>
          <w:highlight w:val="none"/>
          <w:lang w:eastAsia="zh-CN"/>
        </w:rPr>
        <w:t>（二）运营商权利与义务</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1.</w:t>
      </w:r>
      <w:r>
        <w:rPr>
          <w:rFonts w:hint="eastAsia" w:ascii="方正仿宋_GBK" w:hAnsi="方正仿宋_GBK" w:eastAsia="方正仿宋_GBK" w:cs="方正仿宋_GBK"/>
          <w:sz w:val="30"/>
          <w:szCs w:val="30"/>
          <w:highlight w:val="none"/>
        </w:rPr>
        <w:t>负责</w:t>
      </w:r>
      <w:r>
        <w:rPr>
          <w:rFonts w:hint="eastAsia" w:ascii="方正仿宋_GBK" w:hAnsi="方正仿宋_GBK" w:eastAsia="方正仿宋_GBK" w:cs="方正仿宋_GBK"/>
          <w:sz w:val="30"/>
          <w:szCs w:val="30"/>
          <w:highlight w:val="none"/>
          <w:lang w:eastAsia="zh-CN"/>
        </w:rPr>
        <w:t>充电站点的新建、改造工作，并承担相关费用。</w:t>
      </w:r>
      <w:r>
        <w:rPr>
          <w:rFonts w:hint="eastAsia" w:ascii="方正仿宋_GBK" w:hAnsi="方正仿宋_GBK" w:eastAsia="方正仿宋_GBK" w:cs="方正仿宋_GBK"/>
          <w:sz w:val="30"/>
          <w:szCs w:val="30"/>
          <w:highlight w:val="none"/>
          <w:lang w:val="en-US" w:eastAsia="zh-CN"/>
        </w:rPr>
        <w:t>合同期结束后，运营商所建设的充电站雨棚、硬化场地、铺设电路(自电网接入点至低速车充电端口前)等作为小区配套设施，应无偿移交采购人继续支配使用，运营商未经采购人同意不得随意拆除。</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2.负责</w:t>
      </w:r>
      <w:r>
        <w:rPr>
          <w:rFonts w:hint="eastAsia" w:ascii="方正仿宋_GBK" w:hAnsi="方正仿宋_GBK" w:eastAsia="方正仿宋_GBK" w:cs="方正仿宋_GBK"/>
          <w:sz w:val="30"/>
          <w:szCs w:val="30"/>
          <w:highlight w:val="none"/>
        </w:rPr>
        <w:t>报装直供电表，电动自行车充电及雨棚、灭火器、监控摄像头等设备的投资、建设、安装、调试、维护、运营和客服等工作</w:t>
      </w:r>
      <w:r>
        <w:rPr>
          <w:rFonts w:hint="eastAsia" w:ascii="方正仿宋_GBK" w:hAnsi="方正仿宋_GBK" w:eastAsia="方正仿宋_GBK" w:cs="方正仿宋_GBK"/>
          <w:sz w:val="30"/>
          <w:szCs w:val="30"/>
          <w:highlight w:val="none"/>
          <w:lang w:eastAsia="zh-CN"/>
        </w:rPr>
        <w:t>。</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3.负责与旧站点原运营商协调工作，确保站点改造及充电使用平稳过渡。</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所有施工内容使用材料、施工工序、安全管理措施等均按消防安全要求和施工安全有关法律法规规定和行业标准执行。</w:t>
      </w:r>
    </w:p>
    <w:p>
      <w:pPr>
        <w:pStyle w:val="3"/>
        <w:keepNext w:val="0"/>
        <w:keepLines w:val="0"/>
        <w:pageBreakBefore w:val="0"/>
        <w:kinsoku/>
        <w:wordWrap/>
        <w:overflowPunct/>
        <w:topLinePunct w:val="0"/>
        <w:autoSpaceDE/>
        <w:autoSpaceDN/>
        <w:bidi w:val="0"/>
        <w:snapToGrid/>
        <w:spacing w:line="580" w:lineRule="exact"/>
        <w:ind w:left="0" w:firstLine="600" w:firstLineChars="200"/>
        <w:jc w:val="left"/>
        <w:textAlignment w:val="auto"/>
        <w:rPr>
          <w:rFonts w:hint="eastAsia" w:ascii="方正仿宋_GBK" w:hAnsi="方正仿宋_GBK" w:eastAsia="方正仿宋_GBK" w:cs="方正仿宋_GBK"/>
          <w:kern w:val="0"/>
          <w:sz w:val="30"/>
          <w:szCs w:val="30"/>
          <w:highlight w:val="none"/>
          <w:lang w:eastAsia="zh-CN"/>
        </w:rPr>
      </w:pP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1</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rPr>
        <w:t>智能充电站建设方案选用高标准材料，采用防火防水性能俱佳的安全材料；有雨棚的站点需安装消防喷淋系统，无雨棚的站点使用手提式（每隔 3 米）或悬挂式（每隔 3 米）两种干粉式灭火器以实现快速灭火；配置监控系统可以进行实现检测；每套充电桩设备设置专用配电箱；插座采用高标准两孔加三孔10A 安全插座。</w:t>
      </w:r>
      <w:r>
        <w:rPr>
          <w:rFonts w:hint="eastAsia" w:ascii="方正仿宋_GBK" w:hAnsi="方正仿宋_GBK" w:eastAsia="方正仿宋_GBK" w:cs="方正仿宋_GBK"/>
          <w:kern w:val="0"/>
          <w:sz w:val="30"/>
          <w:szCs w:val="30"/>
          <w:highlight w:val="none"/>
          <w:lang w:eastAsia="zh-CN"/>
        </w:rPr>
        <w:t>（具体详见附件</w:t>
      </w:r>
      <w:r>
        <w:rPr>
          <w:rFonts w:hint="eastAsia" w:ascii="方正仿宋_GBK" w:hAnsi="方正仿宋_GBK" w:eastAsia="方正仿宋_GBK" w:cs="方正仿宋_GBK"/>
          <w:kern w:val="0"/>
          <w:sz w:val="30"/>
          <w:szCs w:val="30"/>
          <w:highlight w:val="none"/>
          <w:lang w:val="en-US" w:eastAsia="zh-CN"/>
        </w:rPr>
        <w:t>4</w:t>
      </w:r>
      <w:r>
        <w:rPr>
          <w:rFonts w:hint="eastAsia" w:ascii="方正仿宋_GBK" w:hAnsi="方正仿宋_GBK" w:eastAsia="方正仿宋_GBK" w:cs="方正仿宋_GBK"/>
          <w:kern w:val="0"/>
          <w:sz w:val="30"/>
          <w:szCs w:val="30"/>
          <w:highlight w:val="none"/>
          <w:lang w:eastAsia="zh-CN"/>
        </w:rPr>
        <w:t>）</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按照要求安装配套充电桩设施，同时配置雨棚、被动式消防喷淋系统</w:t>
      </w:r>
      <w:r>
        <w:rPr>
          <w:rFonts w:hint="eastAsia" w:ascii="方正仿宋_GBK" w:hAnsi="方正仿宋_GBK" w:eastAsia="方正仿宋_GBK" w:cs="方正仿宋_GBK"/>
          <w:sz w:val="30"/>
          <w:szCs w:val="30"/>
          <w:highlight w:val="none"/>
          <w:lang w:eastAsia="zh-CN"/>
        </w:rPr>
        <w:t>及灭火器</w:t>
      </w:r>
      <w:r>
        <w:rPr>
          <w:rFonts w:hint="eastAsia" w:ascii="方正仿宋_GBK" w:hAnsi="方正仿宋_GBK" w:eastAsia="方正仿宋_GBK" w:cs="方正仿宋_GBK"/>
          <w:sz w:val="30"/>
          <w:szCs w:val="30"/>
          <w:highlight w:val="none"/>
        </w:rPr>
        <w:t>、摄像头等配套设施。</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lang w:eastAsia="zh-CN"/>
        </w:rPr>
        <w:t>）应</w:t>
      </w:r>
      <w:r>
        <w:rPr>
          <w:rFonts w:hint="eastAsia" w:ascii="方正仿宋_GBK" w:hAnsi="方正仿宋_GBK" w:eastAsia="方正仿宋_GBK" w:cs="方正仿宋_GBK"/>
          <w:sz w:val="30"/>
          <w:szCs w:val="30"/>
          <w:highlight w:val="none"/>
        </w:rPr>
        <w:t>为</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提供统一</w:t>
      </w:r>
      <w:r>
        <w:rPr>
          <w:rFonts w:hint="eastAsia" w:ascii="方正仿宋_GBK" w:hAnsi="方正仿宋_GBK" w:eastAsia="方正仿宋_GBK" w:cs="方正仿宋_GBK"/>
          <w:sz w:val="30"/>
          <w:szCs w:val="30"/>
          <w:highlight w:val="none"/>
          <w:lang w:eastAsia="zh-CN"/>
        </w:rPr>
        <w:t>的</w:t>
      </w:r>
      <w:r>
        <w:rPr>
          <w:rFonts w:hint="eastAsia" w:ascii="方正仿宋_GBK" w:hAnsi="方正仿宋_GBK" w:eastAsia="方正仿宋_GBK" w:cs="方正仿宋_GBK"/>
          <w:sz w:val="30"/>
          <w:szCs w:val="30"/>
          <w:highlight w:val="none"/>
        </w:rPr>
        <w:t>监管平台，监管平台</w:t>
      </w:r>
      <w:r>
        <w:rPr>
          <w:rFonts w:hint="eastAsia" w:ascii="方正仿宋_GBK" w:hAnsi="方正仿宋_GBK" w:eastAsia="方正仿宋_GBK" w:cs="方正仿宋_GBK"/>
          <w:sz w:val="30"/>
          <w:szCs w:val="30"/>
          <w:highlight w:val="none"/>
          <w:lang w:eastAsia="zh-CN"/>
        </w:rPr>
        <w:t>须</w:t>
      </w:r>
      <w:r>
        <w:rPr>
          <w:rFonts w:hint="eastAsia" w:ascii="方正仿宋_GBK" w:hAnsi="方正仿宋_GBK" w:eastAsia="方正仿宋_GBK" w:cs="方正仿宋_GBK"/>
          <w:sz w:val="30"/>
          <w:szCs w:val="30"/>
          <w:highlight w:val="none"/>
        </w:rPr>
        <w:t>允许纳管第三方设备，强化管理。</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5.须对新建站点场地应进行硬化处理，并根据场地条件建设单排或双排白色拉幕钢结构棚（具体详见附件5）。</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6.在新建、改造站点时，须符合以下要求：</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1</w:t>
      </w:r>
      <w:r>
        <w:rPr>
          <w:rFonts w:hint="eastAsia" w:ascii="方正仿宋_GBK" w:hAnsi="方正仿宋_GBK" w:eastAsia="方正仿宋_GBK" w:cs="方正仿宋_GBK"/>
          <w:sz w:val="30"/>
          <w:szCs w:val="30"/>
          <w:highlight w:val="none"/>
        </w:rPr>
        <w:t>）质量要求：</w:t>
      </w:r>
      <w:r>
        <w:rPr>
          <w:rFonts w:hint="eastAsia" w:ascii="方正仿宋_GBK" w:hAnsi="方正仿宋_GBK" w:eastAsia="方正仿宋_GBK" w:cs="方正仿宋_GBK"/>
          <w:sz w:val="30"/>
          <w:szCs w:val="30"/>
          <w:highlight w:val="none"/>
          <w:lang w:eastAsia="zh-CN"/>
        </w:rPr>
        <w:t>运营商</w:t>
      </w:r>
      <w:r>
        <w:rPr>
          <w:rFonts w:hint="eastAsia" w:ascii="方正仿宋_GBK" w:hAnsi="方正仿宋_GBK" w:eastAsia="方正仿宋_GBK" w:cs="方正仿宋_GBK"/>
          <w:sz w:val="30"/>
          <w:szCs w:val="30"/>
          <w:highlight w:val="none"/>
        </w:rPr>
        <w:t>按项目要求产品规格供应，质量合格，符合使用安全。</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rPr>
        <w:t>）合同签订并生效后，</w:t>
      </w:r>
      <w:r>
        <w:rPr>
          <w:rFonts w:hint="eastAsia" w:ascii="方正仿宋_GBK" w:hAnsi="方正仿宋_GBK" w:eastAsia="方正仿宋_GBK" w:cs="方正仿宋_GBK"/>
          <w:sz w:val="30"/>
          <w:szCs w:val="30"/>
          <w:highlight w:val="none"/>
          <w:lang w:eastAsia="zh-CN"/>
        </w:rPr>
        <w:t>运营商须</w:t>
      </w:r>
      <w:r>
        <w:rPr>
          <w:rFonts w:hint="eastAsia" w:ascii="方正仿宋_GBK" w:hAnsi="方正仿宋_GBK" w:eastAsia="方正仿宋_GBK" w:cs="方正仿宋_GBK"/>
          <w:sz w:val="30"/>
          <w:szCs w:val="30"/>
          <w:highlight w:val="none"/>
        </w:rPr>
        <w:t>按合同约定在规定时间内供应产品，并完成安装。</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b w:val="0"/>
          <w:bCs w:val="0"/>
          <w:sz w:val="30"/>
          <w:szCs w:val="30"/>
          <w:highlight w:val="none"/>
        </w:rPr>
      </w:pPr>
      <w:r>
        <w:rPr>
          <w:rFonts w:hint="eastAsia" w:ascii="方正仿宋_GBK" w:hAnsi="方正仿宋_GBK" w:eastAsia="方正仿宋_GBK" w:cs="方正仿宋_GBK"/>
          <w:b w:val="0"/>
          <w:bCs w:val="0"/>
          <w:sz w:val="30"/>
          <w:szCs w:val="30"/>
          <w:highlight w:val="none"/>
        </w:rPr>
        <w:t>（</w:t>
      </w:r>
      <w:r>
        <w:rPr>
          <w:rFonts w:hint="eastAsia" w:ascii="方正仿宋_GBK" w:hAnsi="方正仿宋_GBK" w:eastAsia="方正仿宋_GBK" w:cs="方正仿宋_GBK"/>
          <w:b w:val="0"/>
          <w:bCs w:val="0"/>
          <w:sz w:val="30"/>
          <w:szCs w:val="30"/>
          <w:highlight w:val="none"/>
          <w:lang w:val="en-US" w:eastAsia="zh-CN"/>
        </w:rPr>
        <w:t>3</w:t>
      </w:r>
      <w:r>
        <w:rPr>
          <w:rFonts w:hint="eastAsia" w:ascii="方正仿宋_GBK" w:hAnsi="方正仿宋_GBK" w:eastAsia="方正仿宋_GBK" w:cs="方正仿宋_GBK"/>
          <w:b w:val="0"/>
          <w:bCs w:val="0"/>
          <w:sz w:val="30"/>
          <w:szCs w:val="30"/>
          <w:highlight w:val="none"/>
        </w:rPr>
        <w:t>）项目实施过程中，</w:t>
      </w:r>
      <w:r>
        <w:rPr>
          <w:rFonts w:hint="eastAsia" w:ascii="方正仿宋_GBK" w:hAnsi="方正仿宋_GBK" w:eastAsia="方正仿宋_GBK" w:cs="方正仿宋_GBK"/>
          <w:b w:val="0"/>
          <w:bCs w:val="0"/>
          <w:sz w:val="30"/>
          <w:szCs w:val="30"/>
          <w:highlight w:val="none"/>
          <w:lang w:eastAsia="zh-CN"/>
        </w:rPr>
        <w:t>应主动</w:t>
      </w:r>
      <w:r>
        <w:rPr>
          <w:rFonts w:hint="eastAsia" w:ascii="方正仿宋_GBK" w:hAnsi="方正仿宋_GBK" w:eastAsia="方正仿宋_GBK" w:cs="方正仿宋_GBK"/>
          <w:b w:val="0"/>
          <w:bCs w:val="0"/>
          <w:sz w:val="30"/>
          <w:szCs w:val="30"/>
          <w:highlight w:val="none"/>
        </w:rPr>
        <w:t>接受</w:t>
      </w:r>
      <w:r>
        <w:rPr>
          <w:rFonts w:hint="eastAsia" w:ascii="方正仿宋_GBK" w:hAnsi="方正仿宋_GBK" w:eastAsia="方正仿宋_GBK" w:cs="方正仿宋_GBK"/>
          <w:b w:val="0"/>
          <w:bCs w:val="0"/>
          <w:sz w:val="30"/>
          <w:szCs w:val="30"/>
          <w:highlight w:val="none"/>
          <w:lang w:eastAsia="zh-CN"/>
        </w:rPr>
        <w:t>采购人或采购人</w:t>
      </w:r>
      <w:r>
        <w:rPr>
          <w:rFonts w:hint="eastAsia" w:ascii="方正仿宋_GBK" w:hAnsi="方正仿宋_GBK" w:eastAsia="方正仿宋_GBK" w:cs="方正仿宋_GBK"/>
          <w:sz w:val="30"/>
          <w:szCs w:val="30"/>
          <w:highlight w:val="none"/>
          <w:lang w:eastAsia="zh-CN"/>
        </w:rPr>
        <w:t>委托的管理单位</w:t>
      </w:r>
      <w:r>
        <w:rPr>
          <w:rFonts w:hint="eastAsia" w:ascii="方正仿宋_GBK" w:hAnsi="方正仿宋_GBK" w:eastAsia="方正仿宋_GBK" w:cs="方正仿宋_GBK"/>
          <w:b w:val="0"/>
          <w:bCs w:val="0"/>
          <w:sz w:val="30"/>
          <w:szCs w:val="30"/>
          <w:highlight w:val="none"/>
        </w:rPr>
        <w:t>监督，</w:t>
      </w:r>
      <w:r>
        <w:rPr>
          <w:rFonts w:hint="eastAsia" w:ascii="方正仿宋_GBK" w:hAnsi="方正仿宋_GBK" w:eastAsia="方正仿宋_GBK" w:cs="方正仿宋_GBK"/>
          <w:b w:val="0"/>
          <w:bCs w:val="0"/>
          <w:sz w:val="30"/>
          <w:szCs w:val="30"/>
          <w:highlight w:val="none"/>
          <w:lang w:eastAsia="zh-CN"/>
        </w:rPr>
        <w:t>并</w:t>
      </w:r>
      <w:r>
        <w:rPr>
          <w:rFonts w:hint="eastAsia" w:ascii="方正仿宋_GBK" w:hAnsi="方正仿宋_GBK" w:eastAsia="方正仿宋_GBK" w:cs="方正仿宋_GBK"/>
          <w:b w:val="0"/>
          <w:bCs w:val="0"/>
          <w:sz w:val="30"/>
          <w:szCs w:val="30"/>
          <w:highlight w:val="none"/>
        </w:rPr>
        <w:t>能对监督过程中发现的问题及时进行整改。</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运维要求：</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1</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运行期维护内容包括：现场维护、客服支撑、物联网卡费用、电费及管理费缴纳、购买设备责任险、公众责任险保险费等。其中维护内容包括低速车充电端口及配套设备设施的日常巡检、故障处理及工单回复、日常修理和更新改造等。</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巡检作业基本要求：对低速车充电端口的环境及安全进行定期的巡查，每月不低于一次，确保环境整洁，无安全隐患，符合规范。按时、保质、保量完成各项周期检测任务，及时对检测中发现的问题进行处理，确保低速车充电端口的正常运行。巡检过程中发现的故障及隐患问题应记录在册，并及时处理。巡检中发现的故障及隐患问题的整改结果要符合相关规范和质量要求。</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故障处理：一般故障应当在24小时内完成处理；涉及到设备更换的在备件充足的情况下48小时内完成更换。故障处理如涉及对用户的影响，</w:t>
      </w:r>
      <w:r>
        <w:rPr>
          <w:rFonts w:hint="eastAsia" w:ascii="方正仿宋_GBK" w:hAnsi="方正仿宋_GBK" w:eastAsia="方正仿宋_GBK" w:cs="方正仿宋_GBK"/>
          <w:sz w:val="30"/>
          <w:szCs w:val="30"/>
          <w:highlight w:val="none"/>
          <w:lang w:eastAsia="zh-CN"/>
        </w:rPr>
        <w:t>须及时</w:t>
      </w:r>
      <w:r>
        <w:rPr>
          <w:rFonts w:hint="eastAsia" w:ascii="方正仿宋_GBK" w:hAnsi="方正仿宋_GBK" w:eastAsia="方正仿宋_GBK" w:cs="方正仿宋_GBK"/>
          <w:sz w:val="30"/>
          <w:szCs w:val="30"/>
          <w:highlight w:val="none"/>
        </w:rPr>
        <w:t>告知用户，并向用户提供备用产品，将对用户的影响降至最小。</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sz w:val="30"/>
          <w:szCs w:val="30"/>
          <w:highlight w:val="none"/>
        </w:rPr>
        <w:t>在</w:t>
      </w:r>
      <w:r>
        <w:rPr>
          <w:rFonts w:hint="eastAsia" w:ascii="方正仿宋_GBK" w:hAnsi="方正仿宋_GBK" w:eastAsia="方正仿宋_GBK" w:cs="方正仿宋_GBK"/>
          <w:sz w:val="30"/>
          <w:szCs w:val="30"/>
          <w:highlight w:val="none"/>
          <w:lang w:eastAsia="zh-CN"/>
        </w:rPr>
        <w:t>运维</w:t>
      </w:r>
      <w:r>
        <w:rPr>
          <w:rFonts w:hint="eastAsia" w:ascii="方正仿宋_GBK" w:hAnsi="方正仿宋_GBK" w:eastAsia="方正仿宋_GBK" w:cs="方正仿宋_GBK"/>
          <w:sz w:val="30"/>
          <w:szCs w:val="30"/>
          <w:highlight w:val="none"/>
        </w:rPr>
        <w:t>期内，</w:t>
      </w:r>
      <w:r>
        <w:rPr>
          <w:rFonts w:hint="eastAsia" w:ascii="方正仿宋_GBK" w:hAnsi="方正仿宋_GBK" w:eastAsia="方正仿宋_GBK" w:cs="方正仿宋_GBK"/>
          <w:sz w:val="30"/>
          <w:szCs w:val="30"/>
          <w:highlight w:val="none"/>
          <w:lang w:eastAsia="zh-CN"/>
        </w:rPr>
        <w:t>运营商</w:t>
      </w:r>
      <w:r>
        <w:rPr>
          <w:rFonts w:hint="eastAsia" w:ascii="方正仿宋_GBK" w:hAnsi="方正仿宋_GBK" w:eastAsia="方正仿宋_GBK" w:cs="方正仿宋_GBK"/>
          <w:sz w:val="30"/>
          <w:szCs w:val="30"/>
          <w:highlight w:val="none"/>
        </w:rPr>
        <w:t>对产品的质量负保修责任</w:t>
      </w:r>
      <w:r>
        <w:rPr>
          <w:rFonts w:hint="eastAsia" w:ascii="方正仿宋_GBK" w:hAnsi="方正仿宋_GBK" w:eastAsia="方正仿宋_GBK" w:cs="方正仿宋_GBK"/>
          <w:sz w:val="30"/>
          <w:szCs w:val="30"/>
          <w:highlight w:val="none"/>
          <w:lang w:eastAsia="zh-CN"/>
        </w:rPr>
        <w:t>，并须</w:t>
      </w:r>
      <w:r>
        <w:rPr>
          <w:rFonts w:hint="eastAsia" w:ascii="方正仿宋_GBK" w:hAnsi="方正仿宋_GBK" w:eastAsia="方正仿宋_GBK" w:cs="方正仿宋_GBK"/>
          <w:sz w:val="30"/>
          <w:szCs w:val="30"/>
          <w:highlight w:val="none"/>
        </w:rPr>
        <w:t>购买产品责任险及公众责任险。</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黑体_GBK" w:hAnsi="方正黑体_GBK" w:eastAsia="方正黑体_GBK" w:cs="方正黑体_GBK"/>
          <w:b w:val="0"/>
          <w:bCs w:val="0"/>
          <w:kern w:val="2"/>
          <w:sz w:val="30"/>
          <w:szCs w:val="30"/>
          <w:highlight w:val="none"/>
          <w:lang w:eastAsia="zh-CN"/>
        </w:rPr>
      </w:pPr>
      <w:r>
        <w:rPr>
          <w:rFonts w:hint="eastAsia" w:ascii="方正黑体_GBK" w:hAnsi="方正黑体_GBK" w:eastAsia="方正黑体_GBK" w:cs="方正黑体_GBK"/>
          <w:b w:val="0"/>
          <w:bCs w:val="0"/>
          <w:kern w:val="2"/>
          <w:sz w:val="30"/>
          <w:szCs w:val="30"/>
          <w:highlight w:val="none"/>
          <w:lang w:eastAsia="zh-CN"/>
        </w:rPr>
        <w:t>七、新建、改造站点验收方式</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楷体_GBK" w:hAnsi="方正楷体_GBK" w:eastAsia="方正楷体_GBK" w:cs="方正楷体_GBK"/>
          <w:sz w:val="30"/>
          <w:szCs w:val="30"/>
          <w:highlight w:val="none"/>
        </w:rPr>
      </w:pPr>
      <w:r>
        <w:rPr>
          <w:rFonts w:hint="eastAsia" w:ascii="方正楷体_GBK" w:hAnsi="方正楷体_GBK" w:eastAsia="方正楷体_GBK" w:cs="方正楷体_GBK"/>
          <w:sz w:val="30"/>
          <w:szCs w:val="30"/>
          <w:highlight w:val="none"/>
        </w:rPr>
        <w:t>（</w:t>
      </w:r>
      <w:r>
        <w:rPr>
          <w:rFonts w:hint="eastAsia" w:ascii="方正楷体_GBK" w:hAnsi="方正楷体_GBK" w:eastAsia="方正楷体_GBK" w:cs="方正楷体_GBK"/>
          <w:sz w:val="30"/>
          <w:szCs w:val="30"/>
          <w:highlight w:val="none"/>
          <w:lang w:eastAsia="zh-CN"/>
        </w:rPr>
        <w:t>一</w:t>
      </w:r>
      <w:r>
        <w:rPr>
          <w:rFonts w:hint="eastAsia" w:ascii="方正楷体_GBK" w:hAnsi="方正楷体_GBK" w:eastAsia="方正楷体_GBK" w:cs="方正楷体_GBK"/>
          <w:sz w:val="30"/>
          <w:szCs w:val="30"/>
          <w:highlight w:val="none"/>
        </w:rPr>
        <w:t>）验收方法</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运营商</w:t>
      </w:r>
      <w:r>
        <w:rPr>
          <w:rFonts w:hint="eastAsia" w:ascii="方正仿宋_GBK" w:hAnsi="方正仿宋_GBK" w:eastAsia="方正仿宋_GBK" w:cs="方正仿宋_GBK"/>
          <w:sz w:val="30"/>
          <w:szCs w:val="30"/>
          <w:highlight w:val="none"/>
        </w:rPr>
        <w:t>完成</w:t>
      </w:r>
      <w:r>
        <w:rPr>
          <w:rFonts w:hint="eastAsia" w:ascii="方正仿宋_GBK" w:hAnsi="方正仿宋_GBK" w:eastAsia="方正仿宋_GBK" w:cs="方正仿宋_GBK"/>
          <w:sz w:val="30"/>
          <w:szCs w:val="30"/>
          <w:highlight w:val="none"/>
          <w:lang w:eastAsia="zh-CN"/>
        </w:rPr>
        <w:t>新建、改造站点建设</w:t>
      </w:r>
      <w:r>
        <w:rPr>
          <w:rFonts w:hint="eastAsia" w:ascii="方正仿宋_GBK" w:hAnsi="方正仿宋_GBK" w:eastAsia="方正仿宋_GBK" w:cs="方正仿宋_GBK"/>
          <w:sz w:val="30"/>
          <w:szCs w:val="30"/>
          <w:highlight w:val="none"/>
        </w:rPr>
        <w:t>并自检合格后，向</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提出验收，申请之日起3</w:t>
      </w:r>
      <w:r>
        <w:rPr>
          <w:rFonts w:hint="eastAsia" w:ascii="方正仿宋_GBK" w:hAnsi="方正仿宋_GBK" w:eastAsia="方正仿宋_GBK" w:cs="方正仿宋_GBK"/>
          <w:sz w:val="30"/>
          <w:szCs w:val="30"/>
          <w:highlight w:val="none"/>
          <w:lang w:eastAsia="zh-CN"/>
        </w:rPr>
        <w:t>个工作</w:t>
      </w:r>
      <w:r>
        <w:rPr>
          <w:rFonts w:hint="eastAsia" w:ascii="方正仿宋_GBK" w:hAnsi="方正仿宋_GBK" w:eastAsia="方正仿宋_GBK" w:cs="方正仿宋_GBK"/>
          <w:sz w:val="30"/>
          <w:szCs w:val="30"/>
          <w:highlight w:val="none"/>
        </w:rPr>
        <w:t>日内双方派遣有经验有能力的代表人员到场验收。</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楷体_GBK" w:hAnsi="方正楷体_GBK" w:eastAsia="方正楷体_GBK" w:cs="方正楷体_GBK"/>
          <w:sz w:val="30"/>
          <w:szCs w:val="30"/>
          <w:highlight w:val="none"/>
        </w:rPr>
      </w:pPr>
      <w:r>
        <w:rPr>
          <w:rFonts w:hint="eastAsia" w:ascii="方正楷体_GBK" w:hAnsi="方正楷体_GBK" w:eastAsia="方正楷体_GBK" w:cs="方正楷体_GBK"/>
          <w:sz w:val="30"/>
          <w:szCs w:val="30"/>
          <w:highlight w:val="none"/>
        </w:rPr>
        <w:t>（</w:t>
      </w:r>
      <w:r>
        <w:rPr>
          <w:rFonts w:hint="eastAsia" w:ascii="方正楷体_GBK" w:hAnsi="方正楷体_GBK" w:eastAsia="方正楷体_GBK" w:cs="方正楷体_GBK"/>
          <w:sz w:val="30"/>
          <w:szCs w:val="30"/>
          <w:highlight w:val="none"/>
          <w:lang w:eastAsia="zh-CN"/>
        </w:rPr>
        <w:t>二</w:t>
      </w:r>
      <w:r>
        <w:rPr>
          <w:rFonts w:hint="eastAsia" w:ascii="方正楷体_GBK" w:hAnsi="方正楷体_GBK" w:eastAsia="方正楷体_GBK" w:cs="方正楷体_GBK"/>
          <w:sz w:val="30"/>
          <w:szCs w:val="30"/>
          <w:highlight w:val="none"/>
        </w:rPr>
        <w:t>）验收内容</w:t>
      </w:r>
    </w:p>
    <w:p>
      <w:pPr>
        <w:pStyle w:val="13"/>
        <w:keepNext w:val="0"/>
        <w:keepLines w:val="0"/>
        <w:pageBreakBefore w:val="0"/>
        <w:kinsoku/>
        <w:wordWrap/>
        <w:overflowPunct/>
        <w:topLinePunct w:val="0"/>
        <w:autoSpaceDE/>
        <w:autoSpaceDN/>
        <w:bidi w:val="0"/>
        <w:snapToGrid/>
        <w:spacing w:line="580" w:lineRule="exact"/>
        <w:ind w:firstLine="600"/>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rPr>
        <w:t>项目报价表内全部清单内容，包括产品规格、数量、项目效果等，整体效果必须达到双方合同约定标准。</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ascii="方正黑体_GBK" w:hAnsi="方正黑体_GBK" w:eastAsia="方正黑体_GBK" w:cs="方正黑体_GBK"/>
          <w:b w:val="0"/>
          <w:bCs w:val="0"/>
          <w:kern w:val="2"/>
          <w:sz w:val="30"/>
          <w:szCs w:val="30"/>
          <w:highlight w:val="none"/>
        </w:rPr>
      </w:pPr>
      <w:r>
        <w:rPr>
          <w:rFonts w:hint="eastAsia" w:ascii="方正黑体_GBK" w:hAnsi="方正黑体_GBK" w:eastAsia="方正黑体_GBK" w:cs="方正黑体_GBK"/>
          <w:b w:val="0"/>
          <w:bCs w:val="0"/>
          <w:kern w:val="2"/>
          <w:sz w:val="30"/>
          <w:szCs w:val="30"/>
          <w:highlight w:val="none"/>
          <w:lang w:eastAsia="zh-CN"/>
        </w:rPr>
        <w:t>八</w:t>
      </w:r>
      <w:r>
        <w:rPr>
          <w:rFonts w:hint="eastAsia" w:ascii="方正黑体_GBK" w:hAnsi="方正黑体_GBK" w:eastAsia="方正黑体_GBK" w:cs="方正黑体_GBK"/>
          <w:b w:val="0"/>
          <w:bCs w:val="0"/>
          <w:kern w:val="2"/>
          <w:sz w:val="30"/>
          <w:szCs w:val="30"/>
          <w:highlight w:val="none"/>
        </w:rPr>
        <w:t>、</w:t>
      </w:r>
      <w:r>
        <w:rPr>
          <w:rFonts w:hint="eastAsia" w:ascii="方正黑体_GBK" w:hAnsi="方正黑体_GBK" w:eastAsia="方正黑体_GBK" w:cs="方正黑体_GBK"/>
          <w:b w:val="0"/>
          <w:bCs w:val="0"/>
          <w:kern w:val="2"/>
          <w:sz w:val="30"/>
          <w:szCs w:val="30"/>
          <w:highlight w:val="none"/>
          <w:lang w:eastAsia="zh-CN"/>
        </w:rPr>
        <w:t>采购方</w:t>
      </w:r>
      <w:r>
        <w:rPr>
          <w:rFonts w:hint="eastAsia" w:ascii="方正黑体_GBK" w:hAnsi="方正黑体_GBK" w:eastAsia="方正黑体_GBK" w:cs="方正黑体_GBK"/>
          <w:b w:val="0"/>
          <w:bCs w:val="0"/>
          <w:kern w:val="2"/>
          <w:sz w:val="30"/>
          <w:szCs w:val="30"/>
          <w:highlight w:val="none"/>
        </w:rPr>
        <w:t>式</w:t>
      </w:r>
    </w:p>
    <w:p>
      <w:pPr>
        <w:keepNext w:val="0"/>
        <w:keepLines w:val="0"/>
        <w:pageBreakBefore w:val="0"/>
        <w:kinsoku/>
        <w:wordWrap/>
        <w:overflowPunct/>
        <w:topLinePunct w:val="0"/>
        <w:autoSpaceDE/>
        <w:autoSpaceDN/>
        <w:bidi w:val="0"/>
        <w:snapToGrid/>
        <w:spacing w:line="580" w:lineRule="exact"/>
        <w:ind w:firstLine="639" w:firstLineChars="213"/>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rPr>
        <w:t>由于该采购服务不</w:t>
      </w:r>
      <w:r>
        <w:rPr>
          <w:rFonts w:hint="eastAsia" w:ascii="方正仿宋_GBK" w:hAnsi="方正仿宋_GBK" w:eastAsia="方正仿宋_GBK" w:cs="方正仿宋_GBK"/>
          <w:sz w:val="30"/>
          <w:szCs w:val="30"/>
          <w:highlight w:val="none"/>
          <w:lang w:eastAsia="zh-CN"/>
        </w:rPr>
        <w:t>属于</w:t>
      </w:r>
      <w:r>
        <w:rPr>
          <w:rFonts w:hint="eastAsia" w:ascii="方正仿宋_GBK" w:hAnsi="方正仿宋_GBK" w:eastAsia="方正仿宋_GBK" w:cs="方正仿宋_GBK"/>
          <w:sz w:val="30"/>
          <w:szCs w:val="30"/>
          <w:highlight w:val="none"/>
        </w:rPr>
        <w:t>政府集中采购目录</w:t>
      </w:r>
      <w:r>
        <w:rPr>
          <w:rFonts w:hint="eastAsia" w:ascii="方正仿宋_GBK" w:hAnsi="方正仿宋_GBK" w:eastAsia="方正仿宋_GBK" w:cs="方正仿宋_GBK"/>
          <w:sz w:val="30"/>
          <w:szCs w:val="30"/>
          <w:highlight w:val="none"/>
          <w:lang w:eastAsia="zh-CN"/>
        </w:rPr>
        <w:t>及广东省网上中介服务超市服务清单内容</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eastAsia="zh-CN"/>
        </w:rPr>
        <w:t>拟</w:t>
      </w:r>
      <w:r>
        <w:rPr>
          <w:rFonts w:hint="eastAsia" w:ascii="方正仿宋_GBK" w:hAnsi="方正仿宋_GBK" w:eastAsia="方正仿宋_GBK" w:cs="方正仿宋_GBK"/>
          <w:sz w:val="30"/>
          <w:szCs w:val="30"/>
          <w:highlight w:val="none"/>
        </w:rPr>
        <w:t>根据</w:t>
      </w:r>
      <w:r>
        <w:rPr>
          <w:rFonts w:hint="eastAsia" w:ascii="方正仿宋_GBK" w:hAnsi="方正仿宋_GBK" w:eastAsia="方正仿宋_GBK" w:cs="方正仿宋_GBK"/>
          <w:sz w:val="30"/>
          <w:szCs w:val="30"/>
          <w:highlight w:val="none"/>
          <w:lang w:eastAsia="zh-CN"/>
        </w:rPr>
        <w:t>《江门市住房和城乡建设局自行采购管理办法》开展公开招标采购。采购人将根据《</w:t>
      </w:r>
      <w:r>
        <w:rPr>
          <w:rFonts w:hint="eastAsia" w:ascii="方正仿宋_GBK" w:hAnsi="方正仿宋_GBK" w:eastAsia="方正仿宋_GBK" w:cs="方正仿宋_GBK"/>
          <w:sz w:val="30"/>
          <w:szCs w:val="30"/>
          <w:highlight w:val="none"/>
          <w:lang w:val="en-US" w:eastAsia="zh-CN"/>
        </w:rPr>
        <w:t>江门市市本级保障性住房项目电动自行车建设项目运营商采购评分标准</w:t>
      </w:r>
      <w:r>
        <w:rPr>
          <w:rFonts w:hint="eastAsia" w:ascii="方正仿宋_GBK" w:hAnsi="方正仿宋_GBK" w:eastAsia="方正仿宋_GBK" w:cs="方正仿宋_GBK"/>
          <w:sz w:val="30"/>
          <w:szCs w:val="30"/>
          <w:highlight w:val="none"/>
          <w:lang w:eastAsia="zh-CN"/>
        </w:rPr>
        <w:t>》（具体详见附件</w:t>
      </w: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lang w:eastAsia="zh-CN"/>
        </w:rPr>
        <w:t>对已报名的运营商中进行综合评价，从三家或以上已报名的运营商中择优自主选取一家运营商作为中选机构。对采购报名的机构不足三家或符合资格要求的运营商不足三家的，采购人将终止采购并调整采购人案后重新采购。</w:t>
      </w:r>
    </w:p>
    <w:p>
      <w:pPr>
        <w:keepNext w:val="0"/>
        <w:keepLines w:val="0"/>
        <w:pageBreakBefore w:val="0"/>
        <w:widowControl/>
        <w:kinsoku/>
        <w:wordWrap/>
        <w:overflowPunct/>
        <w:topLinePunct w:val="0"/>
        <w:autoSpaceDE/>
        <w:autoSpaceDN/>
        <w:bidi w:val="0"/>
        <w:snapToGrid/>
        <w:spacing w:line="580" w:lineRule="exact"/>
        <w:ind w:firstLine="600" w:firstLineChars="200"/>
        <w:textAlignment w:val="auto"/>
        <w:rPr>
          <w:rFonts w:hint="eastAsia" w:ascii="方正黑体_GBK" w:hAnsi="方正黑体_GBK" w:eastAsia="方正黑体_GBK" w:cs="方正黑体_GBK"/>
          <w:b w:val="0"/>
          <w:bCs w:val="0"/>
          <w:sz w:val="30"/>
          <w:szCs w:val="30"/>
          <w:highlight w:val="none"/>
        </w:rPr>
      </w:pPr>
      <w:r>
        <w:rPr>
          <w:rFonts w:hint="eastAsia" w:ascii="方正黑体_GBK" w:hAnsi="方正黑体_GBK" w:eastAsia="方正黑体_GBK" w:cs="方正黑体_GBK"/>
          <w:b w:val="0"/>
          <w:bCs w:val="0"/>
          <w:sz w:val="30"/>
          <w:szCs w:val="30"/>
          <w:highlight w:val="none"/>
          <w:lang w:eastAsia="zh-CN"/>
        </w:rPr>
        <w:t>九</w:t>
      </w:r>
      <w:r>
        <w:rPr>
          <w:rFonts w:hint="eastAsia" w:ascii="方正黑体_GBK" w:hAnsi="方正黑体_GBK" w:eastAsia="方正黑体_GBK" w:cs="方正黑体_GBK"/>
          <w:b w:val="0"/>
          <w:bCs w:val="0"/>
          <w:sz w:val="30"/>
          <w:szCs w:val="30"/>
          <w:highlight w:val="none"/>
        </w:rPr>
        <w:t>、</w:t>
      </w:r>
      <w:r>
        <w:rPr>
          <w:rFonts w:hint="eastAsia" w:ascii="方正黑体_GBK" w:hAnsi="方正黑体_GBK" w:eastAsia="方正黑体_GBK" w:cs="方正黑体_GBK"/>
          <w:b w:val="0"/>
          <w:bCs w:val="0"/>
          <w:sz w:val="30"/>
          <w:szCs w:val="30"/>
          <w:highlight w:val="none"/>
          <w:lang w:eastAsia="zh-CN"/>
        </w:rPr>
        <w:t>收取</w:t>
      </w:r>
      <w:r>
        <w:rPr>
          <w:rFonts w:hint="eastAsia" w:ascii="方正黑体_GBK" w:hAnsi="方正黑体_GBK" w:eastAsia="方正黑体_GBK" w:cs="方正黑体_GBK"/>
          <w:b w:val="0"/>
          <w:bCs w:val="0"/>
          <w:sz w:val="30"/>
          <w:szCs w:val="30"/>
          <w:highlight w:val="none"/>
        </w:rPr>
        <w:t>方式</w:t>
      </w:r>
    </w:p>
    <w:p>
      <w:pPr>
        <w:pStyle w:val="13"/>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eastAsia="zh-CN"/>
        </w:rPr>
        <w:t>（一）经营权收益收取方式。运营商按年向采购人或采购人委托的管理单位支付经营权收益。</w:t>
      </w:r>
    </w:p>
    <w:p>
      <w:pPr>
        <w:pStyle w:val="13"/>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eastAsia="zh-CN"/>
        </w:rPr>
        <w:t>其中：第1年，135个旧站点充电桩端口自合同签订之日起计算，3</w:t>
      </w:r>
      <w:r>
        <w:rPr>
          <w:rFonts w:hint="eastAsia" w:ascii="方正仿宋_GBK" w:hAnsi="方正仿宋_GBK" w:eastAsia="方正仿宋_GBK" w:cs="方正仿宋_GBK"/>
          <w:sz w:val="30"/>
          <w:szCs w:val="30"/>
          <w:highlight w:val="none"/>
          <w:lang w:val="en-US" w:eastAsia="zh-CN"/>
        </w:rPr>
        <w:t>22</w:t>
      </w:r>
      <w:r>
        <w:rPr>
          <w:rFonts w:hint="eastAsia" w:ascii="方正仿宋_GBK" w:hAnsi="方正仿宋_GBK" w:eastAsia="方正仿宋_GBK" w:cs="方正仿宋_GBK"/>
          <w:sz w:val="30"/>
          <w:szCs w:val="30"/>
          <w:highlight w:val="none"/>
          <w:lang w:eastAsia="zh-CN"/>
        </w:rPr>
        <w:t>个新建充电桩端口自合同签订之日起3个月后计算，即</w:t>
      </w:r>
      <w:r>
        <w:rPr>
          <w:rFonts w:hint="eastAsia" w:ascii="方正仿宋_GBK" w:hAnsi="方正仿宋_GBK" w:eastAsia="方正仿宋_GBK" w:cs="方正仿宋_GBK"/>
          <w:sz w:val="30"/>
          <w:szCs w:val="30"/>
          <w:highlight w:val="none"/>
          <w:lang w:val="en-US" w:eastAsia="zh-CN"/>
        </w:rPr>
        <w:t>2025年11月31日前运营商将首年度经营权收益支付给</w:t>
      </w:r>
      <w:r>
        <w:rPr>
          <w:rFonts w:hint="eastAsia" w:ascii="方正仿宋_GBK" w:hAnsi="方正仿宋_GBK" w:eastAsia="方正仿宋_GBK" w:cs="方正仿宋_GBK"/>
          <w:sz w:val="30"/>
          <w:szCs w:val="30"/>
          <w:highlight w:val="none"/>
          <w:lang w:eastAsia="zh-CN"/>
        </w:rPr>
        <w:t>采购人或采购人委托的管理单位。</w:t>
      </w:r>
    </w:p>
    <w:p>
      <w:pPr>
        <w:pStyle w:val="13"/>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eastAsia="zh-CN"/>
        </w:rPr>
        <w:t>第</w:t>
      </w:r>
      <w:r>
        <w:rPr>
          <w:rFonts w:hint="eastAsia" w:ascii="方正仿宋_GBK" w:hAnsi="方正仿宋_GBK" w:eastAsia="方正仿宋_GBK" w:cs="方正仿宋_GBK"/>
          <w:sz w:val="30"/>
          <w:szCs w:val="30"/>
          <w:highlight w:val="none"/>
          <w:lang w:val="en-US" w:eastAsia="zh-CN"/>
        </w:rPr>
        <w:t>2年</w:t>
      </w:r>
      <w:r>
        <w:rPr>
          <w:rFonts w:hint="eastAsia" w:ascii="方正仿宋_GBK" w:hAnsi="方正仿宋_GBK" w:eastAsia="方正仿宋_GBK" w:cs="方正仿宋_GBK"/>
          <w:sz w:val="30"/>
          <w:szCs w:val="30"/>
          <w:highlight w:val="none"/>
          <w:lang w:eastAsia="zh-CN"/>
        </w:rPr>
        <w:t>起，运营商应在每年3月1日前按年收益总额向采购人或采购人委托的管理单位支付经营权收益，经营权收益按4</w:t>
      </w:r>
      <w:r>
        <w:rPr>
          <w:rFonts w:hint="eastAsia" w:ascii="方正仿宋_GBK" w:hAnsi="方正仿宋_GBK" w:eastAsia="方正仿宋_GBK" w:cs="方正仿宋_GBK"/>
          <w:sz w:val="30"/>
          <w:szCs w:val="30"/>
          <w:highlight w:val="none"/>
          <w:lang w:val="en-US" w:eastAsia="zh-CN"/>
        </w:rPr>
        <w:t>57</w:t>
      </w:r>
      <w:r>
        <w:rPr>
          <w:rFonts w:hint="eastAsia" w:ascii="方正仿宋_GBK" w:hAnsi="方正仿宋_GBK" w:eastAsia="方正仿宋_GBK" w:cs="方正仿宋_GBK"/>
          <w:sz w:val="30"/>
          <w:szCs w:val="30"/>
          <w:highlight w:val="none"/>
          <w:lang w:eastAsia="zh-CN"/>
        </w:rPr>
        <w:t>个端口计算。合同约定期间，超出</w:t>
      </w:r>
      <w:r>
        <w:rPr>
          <w:rFonts w:hint="eastAsia" w:ascii="方正仿宋_GBK" w:hAnsi="方正仿宋_GBK" w:eastAsia="方正仿宋_GBK" w:cs="方正仿宋_GBK"/>
          <w:sz w:val="30"/>
          <w:szCs w:val="30"/>
          <w:highlight w:val="none"/>
          <w:lang w:val="en-US" w:eastAsia="zh-CN"/>
        </w:rPr>
        <w:t>457</w:t>
      </w:r>
      <w:r>
        <w:rPr>
          <w:rFonts w:hint="eastAsia" w:ascii="方正仿宋_GBK" w:hAnsi="方正仿宋_GBK" w:eastAsia="方正仿宋_GBK" w:cs="方正仿宋_GBK"/>
          <w:sz w:val="30"/>
          <w:szCs w:val="30"/>
          <w:highlight w:val="none"/>
          <w:lang w:eastAsia="zh-CN"/>
        </w:rPr>
        <w:t>个的新增端口（运营商应提前三个月报采购人或采购人委托的管理单位审核，审核同意后方可实施），自端口投入使用之月起计算经营权收益，并在当年</w:t>
      </w:r>
      <w:r>
        <w:rPr>
          <w:rFonts w:hint="eastAsia" w:ascii="方正仿宋_GBK" w:hAnsi="方正仿宋_GBK" w:eastAsia="方正仿宋_GBK" w:cs="方正仿宋_GBK"/>
          <w:sz w:val="30"/>
          <w:szCs w:val="30"/>
          <w:highlight w:val="none"/>
          <w:lang w:val="en-US" w:eastAsia="zh-CN"/>
        </w:rPr>
        <w:t>12月31日</w:t>
      </w:r>
      <w:r>
        <w:rPr>
          <w:rFonts w:hint="eastAsia" w:ascii="方正仿宋_GBK" w:hAnsi="方正仿宋_GBK" w:eastAsia="方正仿宋_GBK" w:cs="方正仿宋_GBK"/>
          <w:sz w:val="30"/>
          <w:szCs w:val="30"/>
          <w:highlight w:val="none"/>
          <w:lang w:eastAsia="zh-CN"/>
        </w:rPr>
        <w:t>前缴纳当年度新增端口经营权收益。次年按最新端口总数计算经营权收益。</w:t>
      </w:r>
    </w:p>
    <w:p>
      <w:pPr>
        <w:pStyle w:val="13"/>
        <w:spacing w:line="580" w:lineRule="exact"/>
        <w:ind w:firstLine="6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二）采购人或采购人委托的管理单位应向运营商提供合规票据，运营商在收到合规票据后20日内完成支付。</w:t>
      </w:r>
    </w:p>
    <w:p>
      <w:pPr>
        <w:pStyle w:val="13"/>
        <w:spacing w:line="580" w:lineRule="exact"/>
        <w:ind w:firstLine="600"/>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三）物业公司管理费用。由运营商向物业公司缴交，具体费用、缴交方式由运营商与物业公司协商确定，缴费期限不超过物业公司服务合同到期期限。后续更换物业的，运营商应及时与新物业公司签订相关合同。</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黑体_GBK" w:hAnsi="方正黑体_GBK" w:eastAsia="方正黑体_GBK" w:cs="方正黑体_GBK"/>
          <w:b w:val="0"/>
          <w:bCs w:val="0"/>
          <w:kern w:val="2"/>
          <w:sz w:val="30"/>
          <w:szCs w:val="30"/>
          <w:highlight w:val="none"/>
        </w:rPr>
      </w:pPr>
      <w:r>
        <w:rPr>
          <w:rFonts w:hint="eastAsia" w:ascii="方正黑体_GBK" w:hAnsi="方正黑体_GBK" w:eastAsia="方正黑体_GBK" w:cs="方正黑体_GBK"/>
          <w:b w:val="0"/>
          <w:bCs w:val="0"/>
          <w:kern w:val="2"/>
          <w:sz w:val="30"/>
          <w:szCs w:val="30"/>
          <w:highlight w:val="none"/>
        </w:rPr>
        <w:t>十</w:t>
      </w:r>
      <w:r>
        <w:rPr>
          <w:rFonts w:hint="eastAsia" w:ascii="方正黑体_GBK" w:hAnsi="方正黑体_GBK" w:eastAsia="方正黑体_GBK" w:cs="方正黑体_GBK"/>
          <w:b w:val="0"/>
          <w:bCs w:val="0"/>
          <w:kern w:val="2"/>
          <w:sz w:val="30"/>
          <w:szCs w:val="30"/>
          <w:highlight w:val="none"/>
          <w:lang w:eastAsia="zh-CN"/>
        </w:rPr>
        <w:t>、运营商</w:t>
      </w:r>
      <w:r>
        <w:rPr>
          <w:rFonts w:hint="eastAsia" w:ascii="方正黑体_GBK" w:hAnsi="方正黑体_GBK" w:eastAsia="方正黑体_GBK" w:cs="方正黑体_GBK"/>
          <w:b w:val="0"/>
          <w:bCs w:val="0"/>
          <w:kern w:val="2"/>
          <w:sz w:val="30"/>
          <w:szCs w:val="30"/>
          <w:highlight w:val="none"/>
        </w:rPr>
        <w:t>资质</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eastAsia="zh-CN"/>
        </w:rPr>
        <w:t>一</w:t>
      </w:r>
      <w:r>
        <w:rPr>
          <w:rFonts w:hint="eastAsia" w:ascii="方正仿宋_GBK" w:hAnsi="方正仿宋_GBK" w:eastAsia="方正仿宋_GBK" w:cs="方正仿宋_GBK"/>
          <w:sz w:val="30"/>
          <w:szCs w:val="30"/>
          <w:highlight w:val="none"/>
        </w:rPr>
        <w:t>）具有独立承担民事责任的能力。（投标时提供有效的营业执照，或事业法人登记证，或社会团体法人登记证书或自然人身份证明复印件。分公司投标的，须取得具有法人资格的总公司（总所）出具给分公司的授权书，并提供总公司（总所）和分公司的营业执照（执业许可证）复印件。已由总公司（总所）授权的，总公司（总所）取得的荣誉、业绩、资质证书及人员资质等对分公司有效，法律法规或者行业另有规定的除外）；</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eastAsia="zh-CN"/>
        </w:rPr>
        <w:t>二</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eastAsia="zh-CN"/>
        </w:rPr>
        <w:t>运营商</w:t>
      </w:r>
      <w:r>
        <w:rPr>
          <w:rFonts w:hint="eastAsia" w:ascii="方正仿宋_GBK" w:hAnsi="方正仿宋_GBK" w:eastAsia="方正仿宋_GBK" w:cs="方正仿宋_GBK"/>
          <w:sz w:val="30"/>
          <w:szCs w:val="30"/>
          <w:highlight w:val="none"/>
        </w:rPr>
        <w:t>应当具备《政府采购法》第二十二条规定的条件；</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运营商</w:t>
      </w:r>
      <w:r>
        <w:rPr>
          <w:rFonts w:hint="eastAsia" w:ascii="方正仿宋_GBK" w:hAnsi="方正仿宋_GBK" w:eastAsia="方正仿宋_GBK" w:cs="方正仿宋_GBK"/>
          <w:sz w:val="30"/>
          <w:szCs w:val="30"/>
          <w:highlight w:val="none"/>
        </w:rPr>
        <w:t>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附件1</w:t>
      </w:r>
    </w:p>
    <w:p>
      <w:pPr>
        <w:keepNext w:val="0"/>
        <w:keepLines w:val="0"/>
        <w:pageBreakBefore w:val="0"/>
        <w:kinsoku/>
        <w:wordWrap/>
        <w:overflowPunct/>
        <w:topLinePunct w:val="0"/>
        <w:autoSpaceDE/>
        <w:autoSpaceDN/>
        <w:bidi w:val="0"/>
        <w:snapToGrid/>
        <w:spacing w:line="580" w:lineRule="exact"/>
        <w:jc w:val="center"/>
        <w:textAlignment w:val="auto"/>
        <w:rPr>
          <w:rFonts w:hint="default" w:ascii="方正小标宋简体" w:hAnsi="方正小标宋简体" w:eastAsia="方正小标宋简体" w:cs="方正小标宋简体"/>
          <w:b w:val="0"/>
          <w:bCs w:val="0"/>
          <w:kern w:val="0"/>
          <w:sz w:val="42"/>
          <w:szCs w:val="42"/>
          <w:highlight w:val="none"/>
          <w:lang w:val="en-US" w:eastAsia="zh-CN"/>
        </w:rPr>
      </w:pPr>
      <w:r>
        <w:rPr>
          <w:rFonts w:hint="eastAsia" w:ascii="方正小标宋简体" w:hAnsi="方正小标宋简体" w:eastAsia="方正小标宋简体" w:cs="方正小标宋简体"/>
          <w:b w:val="0"/>
          <w:bCs w:val="0"/>
          <w:kern w:val="0"/>
          <w:sz w:val="42"/>
          <w:szCs w:val="42"/>
          <w:highlight w:val="none"/>
          <w:lang w:val="en-US" w:eastAsia="zh-CN"/>
        </w:rPr>
        <w:t>市本级保障房小区充电端口现有及需求数量</w:t>
      </w:r>
    </w:p>
    <w:tbl>
      <w:tblPr>
        <w:tblStyle w:val="7"/>
        <w:tblW w:w="5000" w:type="pct"/>
        <w:tblInd w:w="0" w:type="dxa"/>
        <w:tblLayout w:type="autofit"/>
        <w:tblCellMar>
          <w:top w:w="0" w:type="dxa"/>
          <w:left w:w="108" w:type="dxa"/>
          <w:bottom w:w="0" w:type="dxa"/>
          <w:right w:w="108" w:type="dxa"/>
        </w:tblCellMar>
      </w:tblPr>
      <w:tblGrid>
        <w:gridCol w:w="638"/>
        <w:gridCol w:w="1692"/>
        <w:gridCol w:w="1319"/>
        <w:gridCol w:w="1218"/>
        <w:gridCol w:w="1218"/>
        <w:gridCol w:w="1218"/>
        <w:gridCol w:w="1219"/>
      </w:tblGrid>
      <w:tr>
        <w:tblPrEx>
          <w:tblCellMar>
            <w:top w:w="0" w:type="dxa"/>
            <w:left w:w="108" w:type="dxa"/>
            <w:bottom w:w="0" w:type="dxa"/>
            <w:right w:w="108" w:type="dxa"/>
          </w:tblCellMar>
        </w:tblPrEx>
        <w:trPr>
          <w:trHeight w:val="660" w:hRule="atLeast"/>
        </w:trPr>
        <w:tc>
          <w:tcPr>
            <w:tcW w:w="37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ascii="宋体" w:hAnsi="宋体" w:cs="宋体"/>
                <w:b/>
                <w:bCs/>
                <w:color w:val="000000"/>
                <w:kern w:val="0"/>
                <w:szCs w:val="22"/>
                <w:highlight w:val="none"/>
              </w:rPr>
            </w:pPr>
            <w:r>
              <w:rPr>
                <w:rFonts w:hint="eastAsia" w:ascii="宋体" w:hAnsi="宋体" w:cs="宋体"/>
                <w:b/>
                <w:bCs/>
                <w:color w:val="000000"/>
                <w:kern w:val="0"/>
                <w:szCs w:val="22"/>
                <w:highlight w:val="none"/>
              </w:rPr>
              <w:t>序号</w:t>
            </w:r>
          </w:p>
        </w:tc>
        <w:tc>
          <w:tcPr>
            <w:tcW w:w="992"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2"/>
                <w:highlight w:val="none"/>
              </w:rPr>
            </w:pPr>
            <w:r>
              <w:rPr>
                <w:rFonts w:hint="eastAsia" w:ascii="宋体" w:hAnsi="宋体" w:cs="宋体"/>
                <w:b/>
                <w:bCs/>
                <w:color w:val="000000"/>
                <w:kern w:val="0"/>
                <w:szCs w:val="22"/>
                <w:highlight w:val="none"/>
              </w:rPr>
              <w:t>保障房小区名称</w:t>
            </w:r>
          </w:p>
        </w:tc>
        <w:tc>
          <w:tcPr>
            <w:tcW w:w="773"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2"/>
                <w:highlight w:val="none"/>
              </w:rPr>
            </w:pPr>
            <w:r>
              <w:rPr>
                <w:rFonts w:hint="eastAsia" w:ascii="宋体" w:hAnsi="宋体" w:cs="宋体"/>
                <w:b/>
                <w:bCs/>
                <w:color w:val="000000"/>
                <w:kern w:val="0"/>
                <w:szCs w:val="22"/>
                <w:highlight w:val="none"/>
              </w:rPr>
              <w:t>建站位置</w:t>
            </w:r>
          </w:p>
        </w:tc>
        <w:tc>
          <w:tcPr>
            <w:tcW w:w="71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2"/>
                <w:highlight w:val="none"/>
              </w:rPr>
            </w:pPr>
            <w:r>
              <w:rPr>
                <w:rFonts w:hint="eastAsia" w:ascii="宋体" w:hAnsi="宋体" w:cs="宋体"/>
                <w:b/>
                <w:bCs/>
                <w:color w:val="000000"/>
                <w:kern w:val="0"/>
                <w:szCs w:val="22"/>
                <w:highlight w:val="none"/>
              </w:rPr>
              <w:t>现有充电端口数</w:t>
            </w:r>
          </w:p>
        </w:tc>
        <w:tc>
          <w:tcPr>
            <w:tcW w:w="71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2"/>
                <w:highlight w:val="none"/>
              </w:rPr>
            </w:pPr>
            <w:r>
              <w:rPr>
                <w:rFonts w:hint="eastAsia" w:ascii="宋体" w:hAnsi="宋体" w:cs="宋体"/>
                <w:b/>
                <w:bCs/>
                <w:color w:val="000000"/>
                <w:kern w:val="0"/>
                <w:szCs w:val="22"/>
                <w:highlight w:val="none"/>
                <w:lang w:val="en-US" w:eastAsia="zh-CN"/>
              </w:rPr>
              <w:t>车辆</w:t>
            </w:r>
            <w:r>
              <w:rPr>
                <w:rFonts w:hint="eastAsia" w:ascii="宋体" w:hAnsi="宋体" w:cs="宋体"/>
                <w:b/>
                <w:bCs/>
                <w:color w:val="000000"/>
                <w:kern w:val="0"/>
                <w:szCs w:val="22"/>
                <w:highlight w:val="none"/>
              </w:rPr>
              <w:t>数</w:t>
            </w:r>
          </w:p>
        </w:tc>
        <w:tc>
          <w:tcPr>
            <w:tcW w:w="71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2"/>
                <w:highlight w:val="none"/>
              </w:rPr>
            </w:pPr>
            <w:r>
              <w:rPr>
                <w:rFonts w:hint="eastAsia" w:ascii="宋体" w:hAnsi="宋体" w:cs="宋体"/>
                <w:b/>
                <w:bCs/>
                <w:color w:val="000000"/>
                <w:kern w:val="0"/>
                <w:szCs w:val="22"/>
                <w:highlight w:val="none"/>
              </w:rPr>
              <w:t>预估充电端口需求数</w:t>
            </w:r>
          </w:p>
        </w:tc>
        <w:tc>
          <w:tcPr>
            <w:tcW w:w="71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2"/>
                <w:highlight w:val="none"/>
              </w:rPr>
            </w:pPr>
            <w:r>
              <w:rPr>
                <w:rFonts w:hint="eastAsia" w:ascii="宋体" w:hAnsi="宋体" w:cs="宋体"/>
                <w:b/>
                <w:bCs/>
                <w:color w:val="000000"/>
                <w:kern w:val="0"/>
                <w:szCs w:val="22"/>
                <w:highlight w:val="none"/>
              </w:rPr>
              <w:t>端口缺口</w:t>
            </w:r>
          </w:p>
        </w:tc>
      </w:tr>
      <w:tr>
        <w:tblPrEx>
          <w:tblCellMar>
            <w:top w:w="0" w:type="dxa"/>
            <w:left w:w="108" w:type="dxa"/>
            <w:bottom w:w="0" w:type="dxa"/>
            <w:right w:w="108" w:type="dxa"/>
          </w:tblCellMar>
        </w:tblPrEx>
        <w:trPr>
          <w:trHeight w:val="660" w:hRule="atLeast"/>
        </w:trPr>
        <w:tc>
          <w:tcPr>
            <w:tcW w:w="374" w:type="pct"/>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1</w:t>
            </w:r>
          </w:p>
        </w:tc>
        <w:tc>
          <w:tcPr>
            <w:tcW w:w="992" w:type="pct"/>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兴南小区</w:t>
            </w:r>
          </w:p>
        </w:tc>
        <w:tc>
          <w:tcPr>
            <w:tcW w:w="77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47幢之三旁</w:t>
            </w:r>
          </w:p>
        </w:tc>
        <w:tc>
          <w:tcPr>
            <w:tcW w:w="714"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0</w:t>
            </w:r>
          </w:p>
        </w:tc>
        <w:tc>
          <w:tcPr>
            <w:tcW w:w="714" w:type="pct"/>
            <w:vMerge w:val="restart"/>
            <w:tcBorders>
              <w:top w:val="nil"/>
              <w:left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000000"/>
                <w:kern w:val="0"/>
                <w:szCs w:val="22"/>
                <w:highlight w:val="none"/>
                <w:lang w:val="en-US" w:eastAsia="zh-CN"/>
              </w:rPr>
            </w:pPr>
            <w:r>
              <w:rPr>
                <w:rFonts w:hint="eastAsia" w:ascii="宋体" w:hAnsi="宋体" w:cs="宋体"/>
                <w:color w:val="000000"/>
                <w:kern w:val="0"/>
                <w:szCs w:val="22"/>
                <w:highlight w:val="none"/>
                <w:lang w:val="en-US" w:eastAsia="zh-CN"/>
              </w:rPr>
              <w:t>1700</w:t>
            </w:r>
          </w:p>
        </w:tc>
        <w:tc>
          <w:tcPr>
            <w:tcW w:w="714" w:type="pct"/>
            <w:vMerge w:val="restart"/>
            <w:tcBorders>
              <w:top w:val="nil"/>
              <w:left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000000"/>
                <w:kern w:val="0"/>
                <w:szCs w:val="22"/>
                <w:highlight w:val="none"/>
                <w:lang w:val="en-US" w:eastAsia="zh-CN"/>
              </w:rPr>
            </w:pPr>
            <w:r>
              <w:rPr>
                <w:rFonts w:hint="eastAsia" w:ascii="宋体" w:hAnsi="宋体" w:cs="宋体"/>
                <w:color w:val="000000"/>
                <w:kern w:val="0"/>
                <w:szCs w:val="22"/>
                <w:highlight w:val="none"/>
                <w:lang w:val="en-US" w:eastAsia="zh-CN"/>
              </w:rPr>
              <w:t>567</w:t>
            </w:r>
          </w:p>
        </w:tc>
        <w:tc>
          <w:tcPr>
            <w:tcW w:w="715" w:type="pct"/>
            <w:vMerge w:val="restart"/>
            <w:tcBorders>
              <w:top w:val="nil"/>
              <w:left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000000"/>
                <w:kern w:val="0"/>
                <w:szCs w:val="22"/>
                <w:highlight w:val="none"/>
                <w:lang w:val="en-US" w:eastAsia="zh-CN"/>
              </w:rPr>
            </w:pPr>
            <w:r>
              <w:rPr>
                <w:rFonts w:hint="eastAsia" w:ascii="宋体" w:hAnsi="宋体" w:cs="宋体"/>
                <w:color w:val="000000"/>
                <w:kern w:val="0"/>
                <w:szCs w:val="22"/>
                <w:highlight w:val="none"/>
                <w:lang w:val="en-US" w:eastAsia="zh-CN"/>
              </w:rPr>
              <w:t>378</w:t>
            </w:r>
          </w:p>
        </w:tc>
      </w:tr>
      <w:tr>
        <w:tblPrEx>
          <w:tblCellMar>
            <w:top w:w="0" w:type="dxa"/>
            <w:left w:w="108" w:type="dxa"/>
            <w:bottom w:w="0" w:type="dxa"/>
            <w:right w:w="108" w:type="dxa"/>
          </w:tblCellMar>
        </w:tblPrEx>
        <w:trPr>
          <w:trHeight w:val="660" w:hRule="atLeast"/>
        </w:trPr>
        <w:tc>
          <w:tcPr>
            <w:tcW w:w="374"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2"/>
                <w:highlight w:val="none"/>
              </w:rPr>
            </w:pPr>
          </w:p>
        </w:tc>
        <w:tc>
          <w:tcPr>
            <w:tcW w:w="992"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2"/>
                <w:highlight w:val="none"/>
              </w:rPr>
            </w:pPr>
          </w:p>
        </w:tc>
        <w:tc>
          <w:tcPr>
            <w:tcW w:w="77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41栋旁</w:t>
            </w:r>
          </w:p>
        </w:tc>
        <w:tc>
          <w:tcPr>
            <w:tcW w:w="714"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0</w:t>
            </w:r>
          </w:p>
        </w:tc>
        <w:tc>
          <w:tcPr>
            <w:tcW w:w="71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2"/>
                <w:highlight w:val="none"/>
              </w:rPr>
            </w:pPr>
          </w:p>
        </w:tc>
        <w:tc>
          <w:tcPr>
            <w:tcW w:w="71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2"/>
                <w:highlight w:val="none"/>
              </w:rPr>
            </w:pPr>
          </w:p>
        </w:tc>
        <w:tc>
          <w:tcPr>
            <w:tcW w:w="71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2"/>
                <w:highlight w:val="none"/>
              </w:rPr>
            </w:pPr>
          </w:p>
        </w:tc>
      </w:tr>
      <w:tr>
        <w:tblPrEx>
          <w:tblCellMar>
            <w:top w:w="0" w:type="dxa"/>
            <w:left w:w="108" w:type="dxa"/>
            <w:bottom w:w="0" w:type="dxa"/>
            <w:right w:w="108" w:type="dxa"/>
          </w:tblCellMar>
        </w:tblPrEx>
        <w:trPr>
          <w:trHeight w:val="660" w:hRule="atLeast"/>
        </w:trPr>
        <w:tc>
          <w:tcPr>
            <w:tcW w:w="374" w:type="pct"/>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2</w:t>
            </w:r>
          </w:p>
        </w:tc>
        <w:tc>
          <w:tcPr>
            <w:tcW w:w="992" w:type="pct"/>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福泽园</w:t>
            </w:r>
          </w:p>
        </w:tc>
        <w:tc>
          <w:tcPr>
            <w:tcW w:w="77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园区内</w:t>
            </w:r>
          </w:p>
        </w:tc>
        <w:tc>
          <w:tcPr>
            <w:tcW w:w="71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54</w:t>
            </w:r>
          </w:p>
        </w:tc>
        <w:tc>
          <w:tcPr>
            <w:tcW w:w="71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c>
          <w:tcPr>
            <w:tcW w:w="714"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c>
          <w:tcPr>
            <w:tcW w:w="715"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r>
      <w:tr>
        <w:tblPrEx>
          <w:tblCellMar>
            <w:top w:w="0" w:type="dxa"/>
            <w:left w:w="108" w:type="dxa"/>
            <w:bottom w:w="0" w:type="dxa"/>
            <w:right w:w="108" w:type="dxa"/>
          </w:tblCellMar>
        </w:tblPrEx>
        <w:trPr>
          <w:trHeight w:val="660" w:hRule="atLeast"/>
        </w:trPr>
        <w:tc>
          <w:tcPr>
            <w:tcW w:w="374"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2"/>
                <w:highlight w:val="none"/>
              </w:rPr>
            </w:pPr>
          </w:p>
        </w:tc>
        <w:tc>
          <w:tcPr>
            <w:tcW w:w="992"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2"/>
                <w:highlight w:val="none"/>
              </w:rPr>
            </w:pPr>
          </w:p>
        </w:tc>
        <w:tc>
          <w:tcPr>
            <w:tcW w:w="77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园区内</w:t>
            </w:r>
          </w:p>
        </w:tc>
        <w:tc>
          <w:tcPr>
            <w:tcW w:w="714"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10</w:t>
            </w:r>
          </w:p>
        </w:tc>
        <w:tc>
          <w:tcPr>
            <w:tcW w:w="71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2"/>
                <w:highlight w:val="none"/>
              </w:rPr>
            </w:pPr>
          </w:p>
        </w:tc>
        <w:tc>
          <w:tcPr>
            <w:tcW w:w="71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2"/>
                <w:highlight w:val="none"/>
              </w:rPr>
            </w:pPr>
          </w:p>
        </w:tc>
        <w:tc>
          <w:tcPr>
            <w:tcW w:w="71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2"/>
                <w:highlight w:val="none"/>
              </w:rPr>
            </w:pPr>
          </w:p>
        </w:tc>
      </w:tr>
      <w:tr>
        <w:tblPrEx>
          <w:tblCellMar>
            <w:top w:w="0" w:type="dxa"/>
            <w:left w:w="108" w:type="dxa"/>
            <w:bottom w:w="0" w:type="dxa"/>
            <w:right w:w="108" w:type="dxa"/>
          </w:tblCellMar>
        </w:tblPrEx>
        <w:trPr>
          <w:trHeight w:val="660" w:hRule="atLeast"/>
        </w:trPr>
        <w:tc>
          <w:tcPr>
            <w:tcW w:w="374"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2"/>
                <w:highlight w:val="none"/>
                <w:lang w:eastAsia="zh-CN"/>
              </w:rPr>
            </w:pPr>
            <w:r>
              <w:rPr>
                <w:rFonts w:hint="eastAsia" w:ascii="宋体" w:hAnsi="宋体" w:cs="宋体"/>
                <w:color w:val="000000"/>
                <w:kern w:val="0"/>
                <w:szCs w:val="22"/>
                <w:highlight w:val="none"/>
                <w:lang w:val="en-US" w:eastAsia="zh-CN"/>
              </w:rPr>
              <w:t>3</w:t>
            </w:r>
          </w:p>
        </w:tc>
        <w:tc>
          <w:tcPr>
            <w:tcW w:w="992"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盈泽园</w:t>
            </w:r>
          </w:p>
        </w:tc>
        <w:tc>
          <w:tcPr>
            <w:tcW w:w="773"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园区内</w:t>
            </w:r>
          </w:p>
        </w:tc>
        <w:tc>
          <w:tcPr>
            <w:tcW w:w="714"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11</w:t>
            </w:r>
          </w:p>
        </w:tc>
        <w:tc>
          <w:tcPr>
            <w:tcW w:w="714"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c>
          <w:tcPr>
            <w:tcW w:w="714"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c>
          <w:tcPr>
            <w:tcW w:w="715"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r>
      <w:tr>
        <w:tblPrEx>
          <w:tblCellMar>
            <w:top w:w="0" w:type="dxa"/>
            <w:left w:w="108" w:type="dxa"/>
            <w:bottom w:w="0" w:type="dxa"/>
            <w:right w:w="108" w:type="dxa"/>
          </w:tblCellMar>
        </w:tblPrEx>
        <w:trPr>
          <w:trHeight w:val="660" w:hRule="atLeast"/>
        </w:trPr>
        <w:tc>
          <w:tcPr>
            <w:tcW w:w="374" w:type="pc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2"/>
                <w:highlight w:val="none"/>
                <w:lang w:eastAsia="zh-CN"/>
              </w:rPr>
            </w:pPr>
            <w:r>
              <w:rPr>
                <w:rFonts w:hint="eastAsia" w:ascii="宋体" w:hAnsi="宋体" w:cs="宋体"/>
                <w:color w:val="000000"/>
                <w:kern w:val="0"/>
                <w:szCs w:val="22"/>
                <w:highlight w:val="none"/>
                <w:lang w:val="en-US" w:eastAsia="zh-CN"/>
              </w:rPr>
              <w:t>4</w:t>
            </w:r>
          </w:p>
        </w:tc>
        <w:tc>
          <w:tcPr>
            <w:tcW w:w="992" w:type="pc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惠泽园</w:t>
            </w:r>
          </w:p>
        </w:tc>
        <w:tc>
          <w:tcPr>
            <w:tcW w:w="77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3-4幢</w:t>
            </w:r>
          </w:p>
        </w:tc>
        <w:tc>
          <w:tcPr>
            <w:tcW w:w="714"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60</w:t>
            </w:r>
          </w:p>
        </w:tc>
        <w:tc>
          <w:tcPr>
            <w:tcW w:w="714"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c>
          <w:tcPr>
            <w:tcW w:w="714"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c>
          <w:tcPr>
            <w:tcW w:w="715"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r>
      <w:tr>
        <w:tblPrEx>
          <w:tblCellMar>
            <w:top w:w="0" w:type="dxa"/>
            <w:left w:w="108" w:type="dxa"/>
            <w:bottom w:w="0" w:type="dxa"/>
            <w:right w:w="108" w:type="dxa"/>
          </w:tblCellMar>
        </w:tblPrEx>
        <w:trPr>
          <w:trHeight w:val="660" w:hRule="atLeast"/>
        </w:trPr>
        <w:tc>
          <w:tcPr>
            <w:tcW w:w="374"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2"/>
                <w:highlight w:val="none"/>
                <w:lang w:eastAsia="zh-CN"/>
              </w:rPr>
            </w:pPr>
            <w:r>
              <w:rPr>
                <w:rFonts w:hint="eastAsia" w:ascii="宋体" w:hAnsi="宋体" w:cs="宋体"/>
                <w:color w:val="000000"/>
                <w:kern w:val="0"/>
                <w:szCs w:val="22"/>
                <w:highlight w:val="none"/>
                <w:lang w:val="en-US" w:eastAsia="zh-CN"/>
              </w:rPr>
              <w:t>5</w:t>
            </w:r>
          </w:p>
        </w:tc>
        <w:tc>
          <w:tcPr>
            <w:tcW w:w="992"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润泽园</w:t>
            </w:r>
          </w:p>
        </w:tc>
        <w:tc>
          <w:tcPr>
            <w:tcW w:w="77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正门户外</w:t>
            </w:r>
          </w:p>
        </w:tc>
        <w:tc>
          <w:tcPr>
            <w:tcW w:w="714"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54</w:t>
            </w:r>
          </w:p>
        </w:tc>
        <w:tc>
          <w:tcPr>
            <w:tcW w:w="714"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c>
          <w:tcPr>
            <w:tcW w:w="714"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c>
          <w:tcPr>
            <w:tcW w:w="715" w:type="pct"/>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p>
        </w:tc>
      </w:tr>
      <w:tr>
        <w:tblPrEx>
          <w:tblCellMar>
            <w:top w:w="0" w:type="dxa"/>
            <w:left w:w="108" w:type="dxa"/>
            <w:bottom w:w="0" w:type="dxa"/>
            <w:right w:w="108" w:type="dxa"/>
          </w:tblCellMar>
        </w:tblPrEx>
        <w:trPr>
          <w:trHeight w:val="660" w:hRule="atLeast"/>
        </w:trPr>
        <w:tc>
          <w:tcPr>
            <w:tcW w:w="2140"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合计</w:t>
            </w:r>
          </w:p>
        </w:tc>
        <w:tc>
          <w:tcPr>
            <w:tcW w:w="714"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2"/>
                <w:highlight w:val="none"/>
              </w:rPr>
            </w:pPr>
            <w:r>
              <w:rPr>
                <w:rFonts w:hint="eastAsia" w:ascii="宋体" w:hAnsi="宋体" w:cs="宋体"/>
                <w:color w:val="000000"/>
                <w:kern w:val="0"/>
                <w:szCs w:val="22"/>
                <w:highlight w:val="none"/>
              </w:rPr>
              <w:t>189</w:t>
            </w:r>
          </w:p>
        </w:tc>
        <w:tc>
          <w:tcPr>
            <w:tcW w:w="714" w:type="pct"/>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color w:val="000000"/>
                <w:kern w:val="0"/>
                <w:szCs w:val="22"/>
                <w:highlight w:val="none"/>
              </w:rPr>
            </w:pPr>
          </w:p>
        </w:tc>
        <w:tc>
          <w:tcPr>
            <w:tcW w:w="714" w:type="pct"/>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color w:val="000000"/>
                <w:kern w:val="0"/>
                <w:szCs w:val="22"/>
                <w:highlight w:val="none"/>
              </w:rPr>
            </w:pPr>
          </w:p>
        </w:tc>
        <w:tc>
          <w:tcPr>
            <w:tcW w:w="715" w:type="pct"/>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cs="宋体"/>
                <w:color w:val="000000"/>
                <w:kern w:val="0"/>
                <w:szCs w:val="22"/>
                <w:highlight w:val="none"/>
              </w:rPr>
            </w:pPr>
          </w:p>
        </w:tc>
      </w:tr>
    </w:tbl>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default"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textAlignment w:val="auto"/>
        <w:rPr>
          <w:rFonts w:hint="eastAsia" w:ascii="方正小标宋简体" w:hAnsi="方正小标宋简体" w:eastAsia="方正小标宋简体" w:cs="方正小标宋简体"/>
          <w:b w:val="0"/>
          <w:bCs w:val="0"/>
          <w:kern w:val="0"/>
          <w:sz w:val="42"/>
          <w:szCs w:val="42"/>
          <w:highlight w:val="none"/>
          <w:lang w:eastAsia="zh-CN"/>
        </w:rPr>
      </w:pPr>
      <w:r>
        <w:rPr>
          <w:rFonts w:hint="eastAsia" w:ascii="方正小标宋简体" w:hAnsi="方正小标宋简体" w:eastAsia="方正小标宋简体" w:cs="方正小标宋简体"/>
          <w:b w:val="0"/>
          <w:bCs w:val="0"/>
          <w:kern w:val="0"/>
          <w:sz w:val="42"/>
          <w:szCs w:val="42"/>
          <w:highlight w:val="none"/>
          <w:lang w:eastAsia="zh-CN"/>
        </w:rPr>
        <w:t>市本级保障房小区新建充电桩站点</w:t>
      </w:r>
    </w:p>
    <w:p>
      <w:pPr>
        <w:keepNext w:val="0"/>
        <w:keepLines w:val="0"/>
        <w:pageBreakBefore w:val="0"/>
        <w:kinsoku/>
        <w:wordWrap/>
        <w:overflowPunct/>
        <w:topLinePunct w:val="0"/>
        <w:autoSpaceDE/>
        <w:autoSpaceDN/>
        <w:bidi w:val="0"/>
        <w:snapToGrid/>
        <w:spacing w:line="580" w:lineRule="exact"/>
        <w:jc w:val="center"/>
        <w:textAlignment w:val="auto"/>
        <w:rPr>
          <w:rFonts w:hint="eastAsia" w:ascii="方正小标宋简体" w:hAnsi="方正小标宋简体" w:eastAsia="方正小标宋简体" w:cs="方正小标宋简体"/>
          <w:b w:val="0"/>
          <w:bCs w:val="0"/>
          <w:kern w:val="0"/>
          <w:sz w:val="42"/>
          <w:szCs w:val="42"/>
          <w:highlight w:val="none"/>
          <w:lang w:val="en-US" w:eastAsia="zh-CN"/>
        </w:rPr>
      </w:pPr>
      <w:r>
        <w:rPr>
          <w:rFonts w:hint="eastAsia" w:ascii="方正小标宋简体" w:hAnsi="方正小标宋简体" w:eastAsia="方正小标宋简体" w:cs="方正小标宋简体"/>
          <w:b w:val="0"/>
          <w:bCs w:val="0"/>
          <w:kern w:val="0"/>
          <w:sz w:val="42"/>
          <w:szCs w:val="42"/>
          <w:highlight w:val="none"/>
          <w:lang w:eastAsia="zh-CN"/>
        </w:rPr>
        <w:t>基本情况表</w:t>
      </w:r>
    </w:p>
    <w:tbl>
      <w:tblPr>
        <w:tblStyle w:val="7"/>
        <w:tblW w:w="5000" w:type="pct"/>
        <w:jc w:val="center"/>
        <w:tblLayout w:type="fixed"/>
        <w:tblCellMar>
          <w:top w:w="0" w:type="dxa"/>
          <w:left w:w="108" w:type="dxa"/>
          <w:bottom w:w="0" w:type="dxa"/>
          <w:right w:w="108" w:type="dxa"/>
        </w:tblCellMar>
      </w:tblPr>
      <w:tblGrid>
        <w:gridCol w:w="657"/>
        <w:gridCol w:w="1435"/>
        <w:gridCol w:w="1699"/>
        <w:gridCol w:w="712"/>
        <w:gridCol w:w="1133"/>
        <w:gridCol w:w="2886"/>
      </w:tblGrid>
      <w:tr>
        <w:tblPrEx>
          <w:tblCellMar>
            <w:top w:w="0" w:type="dxa"/>
            <w:left w:w="108" w:type="dxa"/>
            <w:bottom w:w="0" w:type="dxa"/>
            <w:right w:w="108" w:type="dxa"/>
          </w:tblCellMar>
        </w:tblPrEx>
        <w:trPr>
          <w:trHeight w:val="660" w:hRule="atLeast"/>
          <w:jc w:val="center"/>
        </w:trPr>
        <w:tc>
          <w:tcPr>
            <w:tcW w:w="38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序号</w:t>
            </w:r>
          </w:p>
        </w:tc>
        <w:tc>
          <w:tcPr>
            <w:tcW w:w="84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保障房小区名称</w:t>
            </w:r>
          </w:p>
        </w:tc>
        <w:tc>
          <w:tcPr>
            <w:tcW w:w="99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建站位置</w:t>
            </w:r>
          </w:p>
        </w:tc>
        <w:tc>
          <w:tcPr>
            <w:tcW w:w="41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计划新增充电站数</w:t>
            </w:r>
          </w:p>
        </w:tc>
        <w:tc>
          <w:tcPr>
            <w:tcW w:w="6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暂定新增充电端口数</w:t>
            </w:r>
          </w:p>
        </w:tc>
        <w:tc>
          <w:tcPr>
            <w:tcW w:w="1693"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备注</w:t>
            </w:r>
          </w:p>
        </w:tc>
      </w:tr>
      <w:tr>
        <w:tblPrEx>
          <w:tblCellMar>
            <w:top w:w="0" w:type="dxa"/>
            <w:left w:w="108" w:type="dxa"/>
            <w:bottom w:w="0" w:type="dxa"/>
            <w:right w:w="108" w:type="dxa"/>
          </w:tblCellMar>
        </w:tblPrEx>
        <w:trPr>
          <w:trHeight w:val="660" w:hRule="atLeast"/>
          <w:jc w:val="center"/>
        </w:trPr>
        <w:tc>
          <w:tcPr>
            <w:tcW w:w="385" w:type="pct"/>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1</w:t>
            </w:r>
          </w:p>
        </w:tc>
        <w:tc>
          <w:tcPr>
            <w:tcW w:w="841" w:type="pct"/>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兴南小区</w:t>
            </w:r>
          </w:p>
        </w:tc>
        <w:tc>
          <w:tcPr>
            <w:tcW w:w="99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47幢之三旁</w:t>
            </w:r>
          </w:p>
        </w:tc>
        <w:tc>
          <w:tcPr>
            <w:tcW w:w="41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66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48</w:t>
            </w:r>
          </w:p>
        </w:tc>
        <w:tc>
          <w:tcPr>
            <w:tcW w:w="169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新建双排/拉幕钢结构棚</w:t>
            </w:r>
          </w:p>
        </w:tc>
      </w:tr>
      <w:tr>
        <w:tblPrEx>
          <w:tblCellMar>
            <w:top w:w="0" w:type="dxa"/>
            <w:left w:w="108" w:type="dxa"/>
            <w:bottom w:w="0" w:type="dxa"/>
            <w:right w:w="108" w:type="dxa"/>
          </w:tblCellMar>
        </w:tblPrEx>
        <w:trPr>
          <w:trHeight w:val="660" w:hRule="atLeast"/>
          <w:jc w:val="center"/>
        </w:trPr>
        <w:tc>
          <w:tcPr>
            <w:tcW w:w="385"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等线" w:hAnsi="等线" w:eastAsia="等线" w:cs="宋体"/>
                <w:color w:val="000000"/>
                <w:kern w:val="0"/>
                <w:sz w:val="22"/>
                <w:szCs w:val="22"/>
                <w:highlight w:val="none"/>
              </w:rPr>
            </w:pPr>
          </w:p>
        </w:tc>
        <w:tc>
          <w:tcPr>
            <w:tcW w:w="841"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仿宋" w:hAnsi="仿宋" w:eastAsia="仿宋" w:cs="宋体"/>
                <w:color w:val="000000"/>
                <w:kern w:val="0"/>
                <w:sz w:val="22"/>
                <w:szCs w:val="22"/>
                <w:highlight w:val="none"/>
              </w:rPr>
            </w:pPr>
          </w:p>
        </w:tc>
        <w:tc>
          <w:tcPr>
            <w:tcW w:w="99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41栋旁</w:t>
            </w:r>
          </w:p>
        </w:tc>
        <w:tc>
          <w:tcPr>
            <w:tcW w:w="41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66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24</w:t>
            </w:r>
          </w:p>
        </w:tc>
        <w:tc>
          <w:tcPr>
            <w:tcW w:w="169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新建双排/拉幕钢结构棚</w:t>
            </w:r>
          </w:p>
        </w:tc>
      </w:tr>
      <w:tr>
        <w:tblPrEx>
          <w:tblCellMar>
            <w:top w:w="0" w:type="dxa"/>
            <w:left w:w="108" w:type="dxa"/>
            <w:bottom w:w="0" w:type="dxa"/>
            <w:right w:w="108" w:type="dxa"/>
          </w:tblCellMar>
        </w:tblPrEx>
        <w:trPr>
          <w:trHeight w:val="660" w:hRule="atLeast"/>
          <w:jc w:val="center"/>
        </w:trPr>
        <w:tc>
          <w:tcPr>
            <w:tcW w:w="385" w:type="pct"/>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2</w:t>
            </w:r>
          </w:p>
        </w:tc>
        <w:tc>
          <w:tcPr>
            <w:tcW w:w="841" w:type="pct"/>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福泽园</w:t>
            </w:r>
          </w:p>
        </w:tc>
        <w:tc>
          <w:tcPr>
            <w:tcW w:w="99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园区内</w:t>
            </w:r>
          </w:p>
        </w:tc>
        <w:tc>
          <w:tcPr>
            <w:tcW w:w="41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66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24</w:t>
            </w:r>
          </w:p>
        </w:tc>
        <w:tc>
          <w:tcPr>
            <w:tcW w:w="169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新建拉幕钢结构棚</w:t>
            </w:r>
          </w:p>
        </w:tc>
      </w:tr>
      <w:tr>
        <w:tblPrEx>
          <w:tblCellMar>
            <w:top w:w="0" w:type="dxa"/>
            <w:left w:w="108" w:type="dxa"/>
            <w:bottom w:w="0" w:type="dxa"/>
            <w:right w:w="108" w:type="dxa"/>
          </w:tblCellMar>
        </w:tblPrEx>
        <w:trPr>
          <w:trHeight w:val="660" w:hRule="atLeast"/>
          <w:jc w:val="center"/>
        </w:trPr>
        <w:tc>
          <w:tcPr>
            <w:tcW w:w="385"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等线" w:hAnsi="等线" w:eastAsia="等线" w:cs="宋体"/>
                <w:color w:val="000000"/>
                <w:kern w:val="0"/>
                <w:sz w:val="22"/>
                <w:szCs w:val="22"/>
                <w:highlight w:val="none"/>
              </w:rPr>
            </w:pPr>
          </w:p>
        </w:tc>
        <w:tc>
          <w:tcPr>
            <w:tcW w:w="841"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仿宋" w:hAnsi="仿宋" w:eastAsia="仿宋" w:cs="宋体"/>
                <w:color w:val="000000"/>
                <w:kern w:val="0"/>
                <w:sz w:val="22"/>
                <w:szCs w:val="22"/>
                <w:highlight w:val="none"/>
              </w:rPr>
            </w:pPr>
          </w:p>
        </w:tc>
        <w:tc>
          <w:tcPr>
            <w:tcW w:w="99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园区内</w:t>
            </w:r>
          </w:p>
        </w:tc>
        <w:tc>
          <w:tcPr>
            <w:tcW w:w="41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66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50</w:t>
            </w:r>
          </w:p>
        </w:tc>
        <w:tc>
          <w:tcPr>
            <w:tcW w:w="169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需硬化地面/新建拉幕钢结构棚</w:t>
            </w:r>
          </w:p>
        </w:tc>
      </w:tr>
      <w:tr>
        <w:tblPrEx>
          <w:tblCellMar>
            <w:top w:w="0" w:type="dxa"/>
            <w:left w:w="108" w:type="dxa"/>
            <w:bottom w:w="0" w:type="dxa"/>
            <w:right w:w="108" w:type="dxa"/>
          </w:tblCellMar>
        </w:tblPrEx>
        <w:trPr>
          <w:trHeight w:val="660" w:hRule="atLeast"/>
          <w:jc w:val="center"/>
        </w:trPr>
        <w:tc>
          <w:tcPr>
            <w:tcW w:w="38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等线" w:hAnsi="等线" w:eastAsia="等线" w:cs="宋体"/>
                <w:color w:val="000000"/>
                <w:kern w:val="0"/>
                <w:sz w:val="22"/>
                <w:szCs w:val="22"/>
                <w:highlight w:val="none"/>
                <w:lang w:eastAsia="zh-CN"/>
              </w:rPr>
            </w:pPr>
            <w:r>
              <w:rPr>
                <w:rFonts w:hint="eastAsia" w:ascii="等线" w:hAnsi="等线" w:eastAsia="等线" w:cs="宋体"/>
                <w:color w:val="000000"/>
                <w:kern w:val="0"/>
                <w:sz w:val="22"/>
                <w:szCs w:val="22"/>
                <w:highlight w:val="none"/>
                <w:lang w:val="en-US" w:eastAsia="zh-CN"/>
              </w:rPr>
              <w:t>3</w:t>
            </w:r>
          </w:p>
        </w:tc>
        <w:tc>
          <w:tcPr>
            <w:tcW w:w="841"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盈泽园</w:t>
            </w:r>
          </w:p>
        </w:tc>
        <w:tc>
          <w:tcPr>
            <w:tcW w:w="99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园区内</w:t>
            </w:r>
          </w:p>
        </w:tc>
        <w:tc>
          <w:tcPr>
            <w:tcW w:w="41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66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112</w:t>
            </w:r>
          </w:p>
        </w:tc>
        <w:tc>
          <w:tcPr>
            <w:tcW w:w="169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在墙身安装插座，已有喷淋</w:t>
            </w:r>
          </w:p>
        </w:tc>
      </w:tr>
      <w:tr>
        <w:tblPrEx>
          <w:tblCellMar>
            <w:top w:w="0" w:type="dxa"/>
            <w:left w:w="108" w:type="dxa"/>
            <w:bottom w:w="0" w:type="dxa"/>
            <w:right w:w="108" w:type="dxa"/>
          </w:tblCellMar>
        </w:tblPrEx>
        <w:trPr>
          <w:trHeight w:val="660" w:hRule="atLeast"/>
          <w:jc w:val="center"/>
        </w:trPr>
        <w:tc>
          <w:tcPr>
            <w:tcW w:w="385" w:type="pc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等线" w:hAnsi="等线" w:eastAsia="等线" w:cs="宋体"/>
                <w:color w:val="000000"/>
                <w:kern w:val="0"/>
                <w:sz w:val="22"/>
                <w:szCs w:val="22"/>
                <w:highlight w:val="none"/>
                <w:lang w:eastAsia="zh-CN"/>
              </w:rPr>
            </w:pPr>
            <w:r>
              <w:rPr>
                <w:rFonts w:hint="eastAsia" w:ascii="等线" w:hAnsi="等线" w:eastAsia="等线" w:cs="宋体"/>
                <w:color w:val="000000"/>
                <w:kern w:val="0"/>
                <w:sz w:val="22"/>
                <w:szCs w:val="22"/>
                <w:highlight w:val="none"/>
                <w:lang w:val="en-US" w:eastAsia="zh-CN"/>
              </w:rPr>
              <w:t>4</w:t>
            </w:r>
          </w:p>
        </w:tc>
        <w:tc>
          <w:tcPr>
            <w:tcW w:w="841" w:type="pc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惠泽园</w:t>
            </w:r>
          </w:p>
        </w:tc>
        <w:tc>
          <w:tcPr>
            <w:tcW w:w="996"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3-4幢</w:t>
            </w:r>
          </w:p>
        </w:tc>
        <w:tc>
          <w:tcPr>
            <w:tcW w:w="41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w:t>
            </w:r>
          </w:p>
        </w:tc>
        <w:tc>
          <w:tcPr>
            <w:tcW w:w="66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64</w:t>
            </w:r>
          </w:p>
        </w:tc>
        <w:tc>
          <w:tcPr>
            <w:tcW w:w="16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新建在同一个位置双向拉幕钢结构棚</w:t>
            </w:r>
          </w:p>
        </w:tc>
      </w:tr>
      <w:tr>
        <w:tblPrEx>
          <w:tblCellMar>
            <w:top w:w="0" w:type="dxa"/>
            <w:left w:w="108" w:type="dxa"/>
            <w:bottom w:w="0" w:type="dxa"/>
            <w:right w:w="108" w:type="dxa"/>
          </w:tblCellMar>
        </w:tblPrEx>
        <w:trPr>
          <w:trHeight w:val="660" w:hRule="atLeast"/>
          <w:jc w:val="center"/>
        </w:trPr>
        <w:tc>
          <w:tcPr>
            <w:tcW w:w="2224" w:type="pct"/>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合计</w:t>
            </w:r>
          </w:p>
        </w:tc>
        <w:tc>
          <w:tcPr>
            <w:tcW w:w="41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lang w:eastAsia="zh-CN"/>
              </w:rPr>
            </w:pPr>
            <w:r>
              <w:rPr>
                <w:rFonts w:hint="eastAsia" w:ascii="仿宋" w:hAnsi="仿宋" w:eastAsia="仿宋" w:cs="宋体"/>
                <w:color w:val="000000"/>
                <w:kern w:val="0"/>
                <w:sz w:val="22"/>
                <w:szCs w:val="22"/>
                <w:highlight w:val="none"/>
                <w:lang w:val="en-US" w:eastAsia="zh-CN"/>
              </w:rPr>
              <w:t>9</w:t>
            </w:r>
          </w:p>
        </w:tc>
        <w:tc>
          <w:tcPr>
            <w:tcW w:w="66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仿宋" w:hAnsi="仿宋" w:eastAsia="仿宋" w:cs="宋体"/>
                <w:color w:val="000000"/>
                <w:kern w:val="0"/>
                <w:sz w:val="22"/>
                <w:szCs w:val="22"/>
                <w:highlight w:val="none"/>
                <w:lang w:val="en-US" w:eastAsia="zh-CN"/>
              </w:rPr>
            </w:pPr>
            <w:r>
              <w:rPr>
                <w:rFonts w:hint="eastAsia" w:ascii="仿宋" w:hAnsi="仿宋" w:eastAsia="仿宋" w:cs="宋体"/>
                <w:color w:val="000000"/>
                <w:kern w:val="0"/>
                <w:sz w:val="22"/>
                <w:szCs w:val="22"/>
                <w:highlight w:val="none"/>
                <w:lang w:val="en-US" w:eastAsia="zh-CN"/>
              </w:rPr>
              <w:t>322</w:t>
            </w:r>
          </w:p>
        </w:tc>
        <w:tc>
          <w:tcPr>
            <w:tcW w:w="169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仿宋" w:hAnsi="仿宋" w:eastAsia="仿宋" w:cs="宋体"/>
                <w:color w:val="000000"/>
                <w:kern w:val="0"/>
                <w:sz w:val="22"/>
                <w:szCs w:val="22"/>
                <w:highlight w:val="none"/>
              </w:rPr>
            </w:pPr>
          </w:p>
        </w:tc>
      </w:tr>
    </w:tbl>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附件</w:t>
      </w:r>
      <w:r>
        <w:rPr>
          <w:rFonts w:hint="eastAsia" w:ascii="方正黑体_GBK" w:hAnsi="方正黑体_GBK" w:eastAsia="方正黑体_GBK" w:cs="方正黑体_GBK"/>
          <w:sz w:val="32"/>
          <w:szCs w:val="32"/>
          <w:highlight w:val="none"/>
          <w:lang w:val="en-US" w:eastAsia="zh-CN"/>
        </w:rPr>
        <w:t>3：</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简体" w:hAnsi="方正小标宋简体" w:eastAsia="方正小标宋简体" w:cs="方正小标宋简体"/>
          <w:sz w:val="42"/>
          <w:szCs w:val="42"/>
          <w:highlight w:val="none"/>
          <w:lang w:val="en-US" w:eastAsia="zh-CN"/>
        </w:rPr>
      </w:pPr>
      <w:r>
        <w:rPr>
          <w:rFonts w:hint="eastAsia" w:ascii="方正小标宋简体" w:hAnsi="方正小标宋简体" w:eastAsia="方正小标宋简体" w:cs="方正小标宋简体"/>
          <w:sz w:val="42"/>
          <w:szCs w:val="42"/>
          <w:highlight w:val="none"/>
          <w:lang w:val="en-US" w:eastAsia="zh-CN"/>
        </w:rPr>
        <w:t>市本级保障房小区现有充电桩情况表</w:t>
      </w:r>
    </w:p>
    <w:tbl>
      <w:tblPr>
        <w:tblStyle w:val="7"/>
        <w:tblW w:w="7900" w:type="dxa"/>
        <w:jc w:val="center"/>
        <w:tblLayout w:type="autofit"/>
        <w:tblCellMar>
          <w:top w:w="0" w:type="dxa"/>
          <w:left w:w="108" w:type="dxa"/>
          <w:bottom w:w="0" w:type="dxa"/>
          <w:right w:w="108" w:type="dxa"/>
        </w:tblCellMar>
      </w:tblPr>
      <w:tblGrid>
        <w:gridCol w:w="760"/>
        <w:gridCol w:w="1820"/>
        <w:gridCol w:w="1760"/>
        <w:gridCol w:w="1800"/>
        <w:gridCol w:w="1760"/>
      </w:tblGrid>
      <w:tr>
        <w:tblPrEx>
          <w:tblCellMar>
            <w:top w:w="0" w:type="dxa"/>
            <w:left w:w="108" w:type="dxa"/>
            <w:bottom w:w="0" w:type="dxa"/>
            <w:right w:w="108" w:type="dxa"/>
          </w:tblCellMar>
        </w:tblPrEx>
        <w:trPr>
          <w:trHeight w:val="660" w:hRule="atLeast"/>
          <w:jc w:val="center"/>
        </w:trPr>
        <w:tc>
          <w:tcPr>
            <w:tcW w:w="7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182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保障房小区名称</w:t>
            </w:r>
          </w:p>
        </w:tc>
        <w:tc>
          <w:tcPr>
            <w:tcW w:w="17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建站位置</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现有充电站点数</w:t>
            </w:r>
          </w:p>
        </w:tc>
        <w:tc>
          <w:tcPr>
            <w:tcW w:w="17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现有充电端口数</w:t>
            </w:r>
          </w:p>
        </w:tc>
      </w:tr>
      <w:tr>
        <w:tblPrEx>
          <w:tblCellMar>
            <w:top w:w="0" w:type="dxa"/>
            <w:left w:w="108" w:type="dxa"/>
            <w:bottom w:w="0" w:type="dxa"/>
            <w:right w:w="108" w:type="dxa"/>
          </w:tblCellMar>
        </w:tblPrEx>
        <w:trPr>
          <w:trHeight w:val="465" w:hRule="atLeast"/>
          <w:jc w:val="center"/>
        </w:trPr>
        <w:tc>
          <w:tcPr>
            <w:tcW w:w="760"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1</w:t>
            </w:r>
          </w:p>
        </w:tc>
        <w:tc>
          <w:tcPr>
            <w:tcW w:w="1820"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福泽园</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园区内</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7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54</w:t>
            </w:r>
          </w:p>
        </w:tc>
      </w:tr>
      <w:tr>
        <w:tblPrEx>
          <w:tblCellMar>
            <w:top w:w="0" w:type="dxa"/>
            <w:left w:w="108" w:type="dxa"/>
            <w:bottom w:w="0" w:type="dxa"/>
            <w:right w:w="108" w:type="dxa"/>
          </w:tblCellMar>
        </w:tblPrEx>
        <w:trPr>
          <w:trHeight w:val="510" w:hRule="atLeast"/>
          <w:jc w:val="center"/>
        </w:trPr>
        <w:tc>
          <w:tcPr>
            <w:tcW w:w="76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1"/>
                <w:highlight w:val="none"/>
              </w:rPr>
            </w:pPr>
          </w:p>
        </w:tc>
        <w:tc>
          <w:tcPr>
            <w:tcW w:w="182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宋体" w:hAnsi="宋体" w:cs="宋体"/>
                <w:color w:val="000000"/>
                <w:kern w:val="0"/>
                <w:szCs w:val="21"/>
                <w:highlight w:val="none"/>
              </w:rPr>
            </w:pP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园区内</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r>
      <w:tr>
        <w:tblPrEx>
          <w:tblCellMar>
            <w:top w:w="0" w:type="dxa"/>
            <w:left w:w="108" w:type="dxa"/>
            <w:bottom w:w="0" w:type="dxa"/>
            <w:right w:w="108" w:type="dxa"/>
          </w:tblCellMar>
        </w:tblPrEx>
        <w:trPr>
          <w:trHeight w:val="660" w:hRule="atLeast"/>
          <w:jc w:val="center"/>
        </w:trPr>
        <w:tc>
          <w:tcPr>
            <w:tcW w:w="76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2</w:t>
            </w:r>
          </w:p>
        </w:tc>
        <w:tc>
          <w:tcPr>
            <w:tcW w:w="182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盈泽园</w:t>
            </w:r>
          </w:p>
        </w:tc>
        <w:tc>
          <w:tcPr>
            <w:tcW w:w="17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园区内</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11</w:t>
            </w:r>
          </w:p>
        </w:tc>
      </w:tr>
      <w:tr>
        <w:tblPrEx>
          <w:tblCellMar>
            <w:top w:w="0" w:type="dxa"/>
            <w:left w:w="108" w:type="dxa"/>
            <w:bottom w:w="0" w:type="dxa"/>
            <w:right w:w="108" w:type="dxa"/>
          </w:tblCellMar>
        </w:tblPrEx>
        <w:trPr>
          <w:trHeight w:val="660" w:hRule="atLeast"/>
          <w:jc w:val="center"/>
        </w:trPr>
        <w:tc>
          <w:tcPr>
            <w:tcW w:w="760"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3</w:t>
            </w:r>
          </w:p>
        </w:tc>
        <w:tc>
          <w:tcPr>
            <w:tcW w:w="1820" w:type="dxa"/>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惠泽园</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仿宋" w:hAnsi="仿宋" w:eastAsia="仿宋" w:cs="宋体"/>
                <w:color w:val="000000"/>
                <w:kern w:val="0"/>
                <w:sz w:val="22"/>
                <w:szCs w:val="22"/>
                <w:highlight w:val="none"/>
              </w:rPr>
              <w:t>园区内</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60</w:t>
            </w:r>
          </w:p>
        </w:tc>
      </w:tr>
      <w:tr>
        <w:tblPrEx>
          <w:tblCellMar>
            <w:top w:w="0" w:type="dxa"/>
            <w:left w:w="108" w:type="dxa"/>
            <w:bottom w:w="0" w:type="dxa"/>
            <w:right w:w="108" w:type="dxa"/>
          </w:tblCellMar>
        </w:tblPrEx>
        <w:trPr>
          <w:trHeight w:val="660" w:hRule="atLeast"/>
          <w:jc w:val="center"/>
        </w:trPr>
        <w:tc>
          <w:tcPr>
            <w:tcW w:w="4340" w:type="dxa"/>
            <w:gridSpan w:val="3"/>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合计</w:t>
            </w:r>
          </w:p>
        </w:tc>
        <w:tc>
          <w:tcPr>
            <w:tcW w:w="180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6</w:t>
            </w:r>
          </w:p>
        </w:tc>
        <w:tc>
          <w:tcPr>
            <w:tcW w:w="176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135</w:t>
            </w:r>
          </w:p>
        </w:tc>
      </w:tr>
    </w:tbl>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both"/>
        <w:textAlignment w:val="auto"/>
        <w:rPr>
          <w:rFonts w:hint="eastAsia" w:ascii="方正黑体_GBK" w:hAnsi="方正黑体_GBK" w:eastAsia="方正黑体_GBK" w:cs="方正黑体_GBK"/>
          <w:sz w:val="32"/>
          <w:szCs w:val="32"/>
          <w:highlight w:val="none"/>
          <w:lang w:val="en-US" w:eastAsia="zh-CN"/>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left"/>
        <w:textAlignment w:val="auto"/>
        <w:rPr>
          <w:rFonts w:hint="eastAsia" w:ascii="方正黑体_GBK" w:hAnsi="方正黑体_GBK" w:eastAsia="方正黑体_GBK" w:cs="方正黑体_GBK"/>
          <w:sz w:val="30"/>
          <w:szCs w:val="30"/>
          <w:highlight w:val="none"/>
          <w:lang w:val="en-US" w:eastAsia="zh-CN"/>
        </w:rPr>
      </w:pPr>
      <w:r>
        <w:rPr>
          <w:rFonts w:hint="eastAsia" w:ascii="方正黑体_GBK" w:hAnsi="方正黑体_GBK" w:eastAsia="方正黑体_GBK" w:cs="方正黑体_GBK"/>
          <w:sz w:val="30"/>
          <w:szCs w:val="30"/>
          <w:highlight w:val="none"/>
          <w:lang w:eastAsia="zh-CN"/>
        </w:rPr>
        <w:t>附件</w:t>
      </w:r>
      <w:r>
        <w:rPr>
          <w:rFonts w:hint="eastAsia" w:ascii="方正黑体_GBK" w:hAnsi="方正黑体_GBK" w:eastAsia="方正黑体_GBK" w:cs="方正黑体_GBK"/>
          <w:sz w:val="30"/>
          <w:szCs w:val="30"/>
          <w:highlight w:val="none"/>
          <w:lang w:val="en-US" w:eastAsia="zh-CN"/>
        </w:rPr>
        <w:t>4：</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简体" w:hAnsi="方正小标宋简体" w:eastAsia="方正小标宋简体" w:cs="方正小标宋简体"/>
          <w:b w:val="0"/>
          <w:bCs w:val="0"/>
          <w:kern w:val="0"/>
          <w:sz w:val="42"/>
          <w:szCs w:val="42"/>
          <w:highlight w:val="none"/>
          <w:lang w:eastAsia="zh-CN"/>
        </w:rPr>
        <w:t>市本级保障房小区</w:t>
      </w:r>
      <w:r>
        <w:rPr>
          <w:rFonts w:hint="eastAsia" w:ascii="方正小标宋_GBK" w:hAnsi="方正小标宋_GBK" w:eastAsia="方正小标宋_GBK" w:cs="方正小标宋_GBK"/>
          <w:sz w:val="44"/>
          <w:szCs w:val="44"/>
          <w:highlight w:val="none"/>
          <w:lang w:eastAsia="zh-CN"/>
        </w:rPr>
        <w:t>新建充电站点建设要求</w:t>
      </w:r>
    </w:p>
    <w:tbl>
      <w:tblPr>
        <w:tblStyle w:val="7"/>
        <w:tblW w:w="8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2140"/>
        <w:gridCol w:w="102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序号</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项目名称</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计量单位</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580" w:type="dxa"/>
            <w:vMerge w:val="restart"/>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2140" w:type="dxa"/>
            <w:vMerge w:val="restart"/>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轻钢框架雨棚制作及安装（含篷布）</w:t>
            </w:r>
          </w:p>
        </w:tc>
        <w:tc>
          <w:tcPr>
            <w:tcW w:w="1020" w:type="dxa"/>
            <w:vMerge w:val="restart"/>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m</w:t>
            </w:r>
            <w:r>
              <w:rPr>
                <w:rFonts w:hint="eastAsia" w:ascii="仿宋" w:hAnsi="仿宋" w:eastAsia="仿宋" w:cs="宋体"/>
                <w:color w:val="000000"/>
                <w:kern w:val="0"/>
                <w:sz w:val="22"/>
                <w:szCs w:val="22"/>
                <w:highlight w:val="none"/>
                <w:vertAlign w:val="superscript"/>
              </w:rPr>
              <w:t>2</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采用工字钢作为雨棚的结构框架，钢结构表面刷防锈漆，顶棚为白色拉膜。雨棚包工包料，按占地面积</w:t>
            </w:r>
            <w:r>
              <w:rPr>
                <w:rFonts w:hint="eastAsia" w:ascii="仿宋" w:hAnsi="仿宋" w:eastAsia="仿宋" w:cs="宋体"/>
                <w:color w:val="000000"/>
                <w:kern w:val="0"/>
                <w:sz w:val="22"/>
                <w:szCs w:val="22"/>
                <w:highlight w:val="none"/>
                <w:lang w:eastAsia="zh-CN"/>
              </w:rPr>
              <w:t>（</w:t>
            </w:r>
            <w:r>
              <w:rPr>
                <w:rFonts w:hint="eastAsia" w:ascii="仿宋" w:hAnsi="仿宋" w:eastAsia="仿宋" w:cs="宋体"/>
                <w:color w:val="000000"/>
                <w:kern w:val="0"/>
                <w:sz w:val="22"/>
                <w:szCs w:val="22"/>
                <w:highlight w:val="none"/>
              </w:rPr>
              <w:t>每平米</w:t>
            </w:r>
            <w:r>
              <w:rPr>
                <w:rFonts w:hint="eastAsia" w:ascii="仿宋" w:hAnsi="仿宋" w:eastAsia="仿宋" w:cs="宋体"/>
                <w:color w:val="000000"/>
                <w:kern w:val="0"/>
                <w:sz w:val="22"/>
                <w:szCs w:val="22"/>
                <w:highlight w:val="none"/>
                <w:lang w:eastAsia="zh-CN"/>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80" w:type="dxa"/>
            <w:vMerge w:val="continue"/>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仿宋" w:hAnsi="仿宋" w:eastAsia="仿宋" w:cs="宋体"/>
                <w:color w:val="000000"/>
                <w:kern w:val="0"/>
                <w:sz w:val="22"/>
                <w:szCs w:val="22"/>
                <w:highlight w:val="none"/>
              </w:rPr>
            </w:pPr>
          </w:p>
        </w:tc>
        <w:tc>
          <w:tcPr>
            <w:tcW w:w="2140" w:type="dxa"/>
            <w:vMerge w:val="continue"/>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仿宋" w:hAnsi="仿宋" w:eastAsia="仿宋" w:cs="宋体"/>
                <w:color w:val="000000"/>
                <w:kern w:val="0"/>
                <w:sz w:val="22"/>
                <w:szCs w:val="22"/>
                <w:highlight w:val="none"/>
              </w:rPr>
            </w:pPr>
          </w:p>
        </w:tc>
        <w:tc>
          <w:tcPr>
            <w:tcW w:w="1020" w:type="dxa"/>
            <w:vMerge w:val="continue"/>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仿宋" w:hAnsi="仿宋" w:eastAsia="仿宋" w:cs="宋体"/>
                <w:color w:val="000000"/>
                <w:kern w:val="0"/>
                <w:sz w:val="22"/>
                <w:szCs w:val="22"/>
                <w:highlight w:val="none"/>
              </w:rPr>
            </w:pP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车棚要求能抵抗10级台风，至少保用5年。高度一般在2.2米左右，宽度2米，可根据现场情况调整。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手提式水基型灭火器 4kg/悬挂式干粉灭火器/被动式消防喷淋系统</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具</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按实际情况配置，消防喷淋喷头间隔 3 米一个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亚克力广告牌及灯安装</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套</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选配，一个棚一个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插座（10A）</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按端口配置（80CM~100cm 一台设备）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5</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方管柱（镀锌钢管 DN50 或不锈钢管）</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m</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附墙式、支架式、立柱式充电桩支撑材料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6</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防火隔板</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m2</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双面426彩板，中间夹防火棉（岩棉）；玻镁板材质，每10米一个隔板</w:t>
            </w:r>
            <w:r>
              <w:rPr>
                <w:rFonts w:hint="eastAsia" w:ascii="仿宋" w:hAnsi="仿宋" w:eastAsia="仿宋" w:cs="宋体"/>
                <w:color w:val="000000"/>
                <w:kern w:val="0"/>
                <w:sz w:val="22"/>
                <w:szCs w:val="22"/>
                <w:highlight w:val="none"/>
                <w:lang w:eastAsia="zh-CN"/>
              </w:rPr>
              <w:t>，</w:t>
            </w:r>
            <w:r>
              <w:rPr>
                <w:rFonts w:hint="eastAsia" w:ascii="仿宋" w:hAnsi="仿宋" w:eastAsia="仿宋" w:cs="宋体"/>
                <w:color w:val="000000"/>
                <w:kern w:val="0"/>
                <w:sz w:val="22"/>
                <w:szCs w:val="22"/>
                <w:highlight w:val="none"/>
              </w:rPr>
              <w:t>隔板不低于1.5米，规格：1600mm*1800mm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7</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立柱底座（含水泥包封）</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处</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按实际情况配置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8</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金属软管(DN20)</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m</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按实际情况配置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9</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阻燃 PVC 保护管(DN20)</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m</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按实际情况配置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10</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电表箱套件（电表/开关带漏电保护）</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套</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一个站一套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11</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单相电表</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一站一个（直供电不计取）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12</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监控设备</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台</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一个棚 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13</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插座线</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米</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按实际情况配置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14</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零线</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米</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按实际情况配置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15</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接地线</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米</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按实际情况配置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16</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电源总线</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米</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按实际情况配置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8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17</w:t>
            </w:r>
          </w:p>
        </w:tc>
        <w:tc>
          <w:tcPr>
            <w:tcW w:w="214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物联网卡</w:t>
            </w:r>
          </w:p>
        </w:tc>
        <w:tc>
          <w:tcPr>
            <w:tcW w:w="102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个</w:t>
            </w:r>
          </w:p>
        </w:tc>
        <w:tc>
          <w:tcPr>
            <w:tcW w:w="4500" w:type="dxa"/>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按实际情况配置</w:t>
            </w:r>
          </w:p>
        </w:tc>
      </w:tr>
    </w:tbl>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ind w:firstLine="600" w:firstLineChars="200"/>
        <w:jc w:val="both"/>
        <w:textAlignment w:val="auto"/>
        <w:rPr>
          <w:rFonts w:hint="eastAsia" w:ascii="方正仿宋_GBK" w:hAnsi="方正仿宋_GBK" w:eastAsia="方正仿宋_GBK" w:cs="方正仿宋_GBK"/>
          <w:sz w:val="30"/>
          <w:szCs w:val="30"/>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left"/>
        <w:textAlignment w:val="auto"/>
        <w:rPr>
          <w:rFonts w:hint="eastAsia" w:ascii="方正黑体_GBK" w:hAnsi="方正黑体_GBK" w:eastAsia="方正黑体_GBK" w:cs="方正黑体_GBK"/>
          <w:sz w:val="30"/>
          <w:szCs w:val="30"/>
          <w:highlight w:val="none"/>
          <w:lang w:val="en-US" w:eastAsia="zh-CN"/>
        </w:rPr>
      </w:pPr>
      <w:r>
        <w:rPr>
          <w:rFonts w:hint="eastAsia" w:ascii="方正黑体_GBK" w:hAnsi="方正黑体_GBK" w:eastAsia="方正黑体_GBK" w:cs="方正黑体_GBK"/>
          <w:sz w:val="30"/>
          <w:szCs w:val="30"/>
          <w:highlight w:val="none"/>
          <w:lang w:eastAsia="zh-CN"/>
        </w:rPr>
        <w:t>附件</w:t>
      </w:r>
      <w:r>
        <w:rPr>
          <w:rFonts w:hint="eastAsia" w:ascii="方正黑体_GBK" w:hAnsi="方正黑体_GBK" w:eastAsia="方正黑体_GBK" w:cs="方正黑体_GBK"/>
          <w:sz w:val="30"/>
          <w:szCs w:val="30"/>
          <w:highlight w:val="none"/>
          <w:lang w:val="en-US" w:eastAsia="zh-CN"/>
        </w:rPr>
        <w:t>5：</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center"/>
        <w:textAlignment w:val="auto"/>
        <w:rPr>
          <w:rFonts w:hint="eastAsia" w:ascii="方正小标宋简体" w:hAnsi="方正小标宋简体" w:eastAsia="方正小标宋简体" w:cs="方正小标宋简体"/>
          <w:sz w:val="42"/>
          <w:szCs w:val="42"/>
          <w:highlight w:val="none"/>
          <w:lang w:val="en-US" w:eastAsia="zh-CN"/>
        </w:rPr>
      </w:pPr>
      <w:r>
        <w:rPr>
          <w:rFonts w:hint="eastAsia" w:ascii="方正小标宋简体" w:hAnsi="方正小标宋简体" w:eastAsia="方正小标宋简体" w:cs="方正小标宋简体"/>
          <w:b w:val="0"/>
          <w:bCs w:val="0"/>
          <w:kern w:val="0"/>
          <w:sz w:val="42"/>
          <w:szCs w:val="42"/>
          <w:highlight w:val="none"/>
          <w:lang w:eastAsia="zh-CN"/>
        </w:rPr>
        <w:t>市本级保障房小区</w:t>
      </w:r>
      <w:r>
        <w:rPr>
          <w:rFonts w:hint="eastAsia" w:ascii="方正小标宋简体" w:hAnsi="方正小标宋简体" w:eastAsia="方正小标宋简体" w:cs="方正小标宋简体"/>
          <w:sz w:val="42"/>
          <w:szCs w:val="42"/>
          <w:highlight w:val="none"/>
          <w:lang w:val="en-US" w:eastAsia="zh-CN"/>
        </w:rPr>
        <w:t>新建充电站站点</w:t>
      </w: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center"/>
        <w:textAlignment w:val="auto"/>
        <w:rPr>
          <w:rFonts w:hint="eastAsia" w:ascii="方正小标宋简体" w:hAnsi="方正小标宋简体" w:eastAsia="方正小标宋简体" w:cs="方正小标宋简体"/>
          <w:sz w:val="42"/>
          <w:szCs w:val="42"/>
          <w:highlight w:val="none"/>
          <w:lang w:val="en-US" w:eastAsia="zh-CN"/>
        </w:rPr>
      </w:pPr>
      <w:r>
        <w:rPr>
          <w:rFonts w:hint="eastAsia" w:ascii="方正小标宋简体" w:hAnsi="方正小标宋简体" w:eastAsia="方正小标宋简体" w:cs="方正小标宋简体"/>
          <w:sz w:val="42"/>
          <w:szCs w:val="42"/>
          <w:highlight w:val="none"/>
          <w:lang w:val="en-US" w:eastAsia="zh-CN"/>
        </w:rPr>
        <w:t>车棚建设要求</w:t>
      </w:r>
    </w:p>
    <w:tbl>
      <w:tblPr>
        <w:tblStyle w:val="7"/>
        <w:tblW w:w="5000" w:type="pct"/>
        <w:tblInd w:w="0" w:type="dxa"/>
        <w:tblLayout w:type="fixed"/>
        <w:tblCellMar>
          <w:top w:w="0" w:type="dxa"/>
          <w:left w:w="108" w:type="dxa"/>
          <w:bottom w:w="0" w:type="dxa"/>
          <w:right w:w="108" w:type="dxa"/>
        </w:tblCellMar>
      </w:tblPr>
      <w:tblGrid>
        <w:gridCol w:w="526"/>
        <w:gridCol w:w="959"/>
        <w:gridCol w:w="1216"/>
        <w:gridCol w:w="525"/>
        <w:gridCol w:w="525"/>
        <w:gridCol w:w="660"/>
        <w:gridCol w:w="1980"/>
        <w:gridCol w:w="2131"/>
      </w:tblGrid>
      <w:tr>
        <w:tblPrEx>
          <w:tblCellMar>
            <w:top w:w="0" w:type="dxa"/>
            <w:left w:w="108" w:type="dxa"/>
            <w:bottom w:w="0" w:type="dxa"/>
            <w:right w:w="108" w:type="dxa"/>
          </w:tblCellMar>
        </w:tblPrEx>
        <w:trPr>
          <w:trHeight w:val="660" w:hRule="atLeast"/>
        </w:trPr>
        <w:tc>
          <w:tcPr>
            <w:tcW w:w="30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序号</w:t>
            </w:r>
          </w:p>
        </w:tc>
        <w:tc>
          <w:tcPr>
            <w:tcW w:w="5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保障房小区名称</w:t>
            </w:r>
          </w:p>
        </w:tc>
        <w:tc>
          <w:tcPr>
            <w:tcW w:w="713"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建站位置</w:t>
            </w:r>
          </w:p>
        </w:tc>
        <w:tc>
          <w:tcPr>
            <w:tcW w:w="3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计划充电站数</w:t>
            </w:r>
          </w:p>
        </w:tc>
        <w:tc>
          <w:tcPr>
            <w:tcW w:w="3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暂定端口数</w:t>
            </w:r>
          </w:p>
        </w:tc>
        <w:tc>
          <w:tcPr>
            <w:tcW w:w="38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类型</w:t>
            </w:r>
          </w:p>
        </w:tc>
        <w:tc>
          <w:tcPr>
            <w:tcW w:w="116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预计停车面积</w:t>
            </w:r>
          </w:p>
        </w:tc>
        <w:tc>
          <w:tcPr>
            <w:tcW w:w="1250"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宋体"/>
                <w:b/>
                <w:bCs/>
                <w:color w:val="000000"/>
                <w:kern w:val="0"/>
                <w:sz w:val="22"/>
                <w:szCs w:val="22"/>
                <w:highlight w:val="none"/>
              </w:rPr>
            </w:pPr>
            <w:r>
              <w:rPr>
                <w:rFonts w:hint="eastAsia" w:ascii="仿宋" w:hAnsi="仿宋" w:eastAsia="仿宋" w:cs="宋体"/>
                <w:b/>
                <w:bCs/>
                <w:color w:val="000000"/>
                <w:kern w:val="0"/>
                <w:sz w:val="22"/>
                <w:szCs w:val="22"/>
                <w:highlight w:val="none"/>
              </w:rPr>
              <w:t>备注</w:t>
            </w:r>
          </w:p>
        </w:tc>
      </w:tr>
      <w:tr>
        <w:tblPrEx>
          <w:tblCellMar>
            <w:top w:w="0" w:type="dxa"/>
            <w:left w:w="108" w:type="dxa"/>
            <w:bottom w:w="0" w:type="dxa"/>
            <w:right w:w="108" w:type="dxa"/>
          </w:tblCellMar>
        </w:tblPrEx>
        <w:trPr>
          <w:trHeight w:val="1270" w:hRule="atLeast"/>
        </w:trPr>
        <w:tc>
          <w:tcPr>
            <w:tcW w:w="308" w:type="pct"/>
            <w:vMerge w:val="restart"/>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1</w:t>
            </w:r>
          </w:p>
        </w:tc>
        <w:tc>
          <w:tcPr>
            <w:tcW w:w="562" w:type="pct"/>
            <w:vMerge w:val="restart"/>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兴南小区</w:t>
            </w:r>
          </w:p>
        </w:tc>
        <w:tc>
          <w:tcPr>
            <w:tcW w:w="713"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47幢之三旁</w:t>
            </w:r>
          </w:p>
        </w:tc>
        <w:tc>
          <w:tcPr>
            <w:tcW w:w="3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3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48</w:t>
            </w:r>
          </w:p>
        </w:tc>
        <w:tc>
          <w:tcPr>
            <w:tcW w:w="38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雨棚式</w:t>
            </w:r>
          </w:p>
        </w:tc>
        <w:tc>
          <w:tcPr>
            <w:tcW w:w="116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长10米，宽4米</w:t>
            </w:r>
          </w:p>
        </w:tc>
        <w:tc>
          <w:tcPr>
            <w:tcW w:w="1250"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新建双排/白色拉幕钢结构棚</w:t>
            </w:r>
          </w:p>
        </w:tc>
      </w:tr>
      <w:tr>
        <w:tblPrEx>
          <w:tblCellMar>
            <w:top w:w="0" w:type="dxa"/>
            <w:left w:w="108" w:type="dxa"/>
            <w:bottom w:w="0" w:type="dxa"/>
            <w:right w:w="108" w:type="dxa"/>
          </w:tblCellMar>
        </w:tblPrEx>
        <w:trPr>
          <w:trHeight w:val="660" w:hRule="atLeast"/>
        </w:trPr>
        <w:tc>
          <w:tcPr>
            <w:tcW w:w="308"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等线" w:hAnsi="等线" w:eastAsia="等线" w:cs="宋体"/>
                <w:color w:val="000000"/>
                <w:kern w:val="0"/>
                <w:sz w:val="22"/>
                <w:szCs w:val="22"/>
                <w:highlight w:val="none"/>
              </w:rPr>
            </w:pPr>
          </w:p>
        </w:tc>
        <w:tc>
          <w:tcPr>
            <w:tcW w:w="562"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仿宋" w:hAnsi="仿宋" w:eastAsia="仿宋" w:cs="宋体"/>
                <w:color w:val="000000"/>
                <w:kern w:val="0"/>
                <w:sz w:val="22"/>
                <w:szCs w:val="22"/>
                <w:highlight w:val="none"/>
              </w:rPr>
            </w:pPr>
          </w:p>
        </w:tc>
        <w:tc>
          <w:tcPr>
            <w:tcW w:w="71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41栋旁</w:t>
            </w:r>
          </w:p>
        </w:tc>
        <w:tc>
          <w:tcPr>
            <w:tcW w:w="30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30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24</w:t>
            </w:r>
          </w:p>
        </w:tc>
        <w:tc>
          <w:tcPr>
            <w:tcW w:w="38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雨棚式</w:t>
            </w:r>
          </w:p>
        </w:tc>
        <w:tc>
          <w:tcPr>
            <w:tcW w:w="1161"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长5米，宽4米</w:t>
            </w:r>
          </w:p>
        </w:tc>
        <w:tc>
          <w:tcPr>
            <w:tcW w:w="1250"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新建双排/白色拉幕钢结构棚</w:t>
            </w:r>
          </w:p>
        </w:tc>
      </w:tr>
      <w:tr>
        <w:tblPrEx>
          <w:tblCellMar>
            <w:top w:w="0" w:type="dxa"/>
            <w:left w:w="108" w:type="dxa"/>
            <w:bottom w:w="0" w:type="dxa"/>
            <w:right w:w="108" w:type="dxa"/>
          </w:tblCellMar>
        </w:tblPrEx>
        <w:trPr>
          <w:trHeight w:val="660" w:hRule="atLeast"/>
        </w:trPr>
        <w:tc>
          <w:tcPr>
            <w:tcW w:w="308" w:type="pct"/>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2</w:t>
            </w:r>
          </w:p>
        </w:tc>
        <w:tc>
          <w:tcPr>
            <w:tcW w:w="562" w:type="pct"/>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福泽园</w:t>
            </w:r>
          </w:p>
        </w:tc>
        <w:tc>
          <w:tcPr>
            <w:tcW w:w="71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园区内</w:t>
            </w:r>
          </w:p>
        </w:tc>
        <w:tc>
          <w:tcPr>
            <w:tcW w:w="30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30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24</w:t>
            </w:r>
          </w:p>
        </w:tc>
        <w:tc>
          <w:tcPr>
            <w:tcW w:w="38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雨棚式</w:t>
            </w:r>
          </w:p>
        </w:tc>
        <w:tc>
          <w:tcPr>
            <w:tcW w:w="1161"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长10.4米，宽2米</w:t>
            </w:r>
          </w:p>
        </w:tc>
        <w:tc>
          <w:tcPr>
            <w:tcW w:w="1250"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新建白色拉幕钢结构棚</w:t>
            </w:r>
          </w:p>
        </w:tc>
      </w:tr>
      <w:tr>
        <w:tblPrEx>
          <w:tblCellMar>
            <w:top w:w="0" w:type="dxa"/>
            <w:left w:w="108" w:type="dxa"/>
            <w:bottom w:w="0" w:type="dxa"/>
            <w:right w:w="108" w:type="dxa"/>
          </w:tblCellMar>
        </w:tblPrEx>
        <w:trPr>
          <w:trHeight w:val="660" w:hRule="atLeast"/>
        </w:trPr>
        <w:tc>
          <w:tcPr>
            <w:tcW w:w="308"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等线" w:hAnsi="等线" w:eastAsia="等线" w:cs="宋体"/>
                <w:color w:val="000000"/>
                <w:kern w:val="0"/>
                <w:sz w:val="22"/>
                <w:szCs w:val="22"/>
                <w:highlight w:val="none"/>
              </w:rPr>
            </w:pPr>
          </w:p>
        </w:tc>
        <w:tc>
          <w:tcPr>
            <w:tcW w:w="562" w:type="pct"/>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ascii="仿宋" w:hAnsi="仿宋" w:eastAsia="仿宋" w:cs="宋体"/>
                <w:color w:val="000000"/>
                <w:kern w:val="0"/>
                <w:sz w:val="22"/>
                <w:szCs w:val="22"/>
                <w:highlight w:val="none"/>
              </w:rPr>
            </w:pPr>
          </w:p>
        </w:tc>
        <w:tc>
          <w:tcPr>
            <w:tcW w:w="713"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园区内</w:t>
            </w:r>
          </w:p>
        </w:tc>
        <w:tc>
          <w:tcPr>
            <w:tcW w:w="30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30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50</w:t>
            </w:r>
          </w:p>
        </w:tc>
        <w:tc>
          <w:tcPr>
            <w:tcW w:w="38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雨棚式</w:t>
            </w:r>
          </w:p>
        </w:tc>
        <w:tc>
          <w:tcPr>
            <w:tcW w:w="1161"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长20米，宽2米</w:t>
            </w:r>
          </w:p>
        </w:tc>
        <w:tc>
          <w:tcPr>
            <w:tcW w:w="1250" w:type="pct"/>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需硬化地面</w:t>
            </w:r>
            <w:r>
              <w:rPr>
                <w:rFonts w:hint="eastAsia" w:ascii="仿宋" w:hAnsi="仿宋" w:eastAsia="仿宋" w:cs="宋体"/>
                <w:color w:val="000000"/>
                <w:kern w:val="0"/>
                <w:sz w:val="22"/>
                <w:szCs w:val="22"/>
                <w:highlight w:val="none"/>
                <w:lang w:eastAsia="zh-CN"/>
              </w:rPr>
              <w:t>、</w:t>
            </w:r>
            <w:r>
              <w:rPr>
                <w:rFonts w:hint="eastAsia" w:ascii="仿宋" w:hAnsi="仿宋" w:eastAsia="仿宋" w:cs="宋体"/>
                <w:color w:val="000000"/>
                <w:kern w:val="0"/>
                <w:sz w:val="22"/>
                <w:szCs w:val="22"/>
                <w:highlight w:val="none"/>
              </w:rPr>
              <w:t>新建白色拉幕钢结构棚</w:t>
            </w:r>
          </w:p>
        </w:tc>
      </w:tr>
      <w:tr>
        <w:tblPrEx>
          <w:tblCellMar>
            <w:top w:w="0" w:type="dxa"/>
            <w:left w:w="108" w:type="dxa"/>
            <w:bottom w:w="0" w:type="dxa"/>
            <w:right w:w="108" w:type="dxa"/>
          </w:tblCellMar>
        </w:tblPrEx>
        <w:trPr>
          <w:trHeight w:val="660" w:hRule="atLeast"/>
        </w:trPr>
        <w:tc>
          <w:tcPr>
            <w:tcW w:w="308"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等线" w:hAnsi="等线" w:eastAsia="等线" w:cs="宋体"/>
                <w:color w:val="000000"/>
                <w:kern w:val="0"/>
                <w:sz w:val="22"/>
                <w:szCs w:val="22"/>
                <w:highlight w:val="none"/>
                <w:lang w:eastAsia="zh-CN"/>
              </w:rPr>
            </w:pPr>
            <w:r>
              <w:rPr>
                <w:rFonts w:hint="eastAsia" w:ascii="等线" w:hAnsi="等线" w:eastAsia="等线" w:cs="宋体"/>
                <w:color w:val="000000"/>
                <w:kern w:val="0"/>
                <w:sz w:val="22"/>
                <w:szCs w:val="22"/>
                <w:highlight w:val="none"/>
                <w:lang w:val="en-US" w:eastAsia="zh-CN"/>
              </w:rPr>
              <w:t>3</w:t>
            </w:r>
          </w:p>
        </w:tc>
        <w:tc>
          <w:tcPr>
            <w:tcW w:w="562"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盈泽园</w:t>
            </w:r>
          </w:p>
        </w:tc>
        <w:tc>
          <w:tcPr>
            <w:tcW w:w="713"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园区内</w:t>
            </w:r>
          </w:p>
        </w:tc>
        <w:tc>
          <w:tcPr>
            <w:tcW w:w="3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w:t>
            </w:r>
          </w:p>
        </w:tc>
        <w:tc>
          <w:tcPr>
            <w:tcW w:w="3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112</w:t>
            </w:r>
          </w:p>
        </w:tc>
        <w:tc>
          <w:tcPr>
            <w:tcW w:w="38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挂墙式</w:t>
            </w:r>
          </w:p>
        </w:tc>
        <w:tc>
          <w:tcPr>
            <w:tcW w:w="116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长45米，宽2米</w:t>
            </w:r>
          </w:p>
        </w:tc>
        <w:tc>
          <w:tcPr>
            <w:tcW w:w="1250"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在墙身安装插座，甲方已做喷淋</w:t>
            </w:r>
          </w:p>
        </w:tc>
      </w:tr>
      <w:tr>
        <w:tblPrEx>
          <w:tblCellMar>
            <w:top w:w="0" w:type="dxa"/>
            <w:left w:w="108" w:type="dxa"/>
            <w:bottom w:w="0" w:type="dxa"/>
            <w:right w:w="108" w:type="dxa"/>
          </w:tblCellMar>
        </w:tblPrEx>
        <w:trPr>
          <w:trHeight w:val="1425" w:hRule="atLeast"/>
        </w:trPr>
        <w:tc>
          <w:tcPr>
            <w:tcW w:w="308" w:type="pct"/>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等线" w:hAnsi="等线" w:eastAsia="等线" w:cs="宋体"/>
                <w:color w:val="000000"/>
                <w:kern w:val="0"/>
                <w:sz w:val="22"/>
                <w:szCs w:val="22"/>
                <w:highlight w:val="none"/>
                <w:lang w:eastAsia="zh-CN"/>
              </w:rPr>
            </w:pPr>
            <w:r>
              <w:rPr>
                <w:rFonts w:hint="eastAsia" w:ascii="等线" w:hAnsi="等线" w:eastAsia="等线" w:cs="宋体"/>
                <w:color w:val="000000"/>
                <w:kern w:val="0"/>
                <w:sz w:val="22"/>
                <w:szCs w:val="22"/>
                <w:highlight w:val="none"/>
                <w:lang w:val="en-US" w:eastAsia="zh-CN"/>
              </w:rPr>
              <w:t>4</w:t>
            </w:r>
          </w:p>
        </w:tc>
        <w:tc>
          <w:tcPr>
            <w:tcW w:w="562" w:type="pct"/>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惠泽园</w:t>
            </w:r>
          </w:p>
        </w:tc>
        <w:tc>
          <w:tcPr>
            <w:tcW w:w="713"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3-4幢</w:t>
            </w:r>
          </w:p>
        </w:tc>
        <w:tc>
          <w:tcPr>
            <w:tcW w:w="3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4</w:t>
            </w:r>
          </w:p>
        </w:tc>
        <w:tc>
          <w:tcPr>
            <w:tcW w:w="30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64</w:t>
            </w:r>
          </w:p>
        </w:tc>
        <w:tc>
          <w:tcPr>
            <w:tcW w:w="387"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spacing w:line="580" w:lineRule="exact"/>
              <w:jc w:val="center"/>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雨棚式</w:t>
            </w:r>
          </w:p>
        </w:tc>
        <w:tc>
          <w:tcPr>
            <w:tcW w:w="116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snapToGrid/>
              <w:spacing w:line="580" w:lineRule="exact"/>
              <w:jc w:val="left"/>
              <w:textAlignment w:val="auto"/>
              <w:rPr>
                <w:rFonts w:hint="eastAsia" w:ascii="等线" w:hAnsi="等线" w:eastAsia="等线" w:cs="宋体"/>
                <w:color w:val="000000"/>
                <w:kern w:val="0"/>
                <w:sz w:val="22"/>
                <w:szCs w:val="22"/>
                <w:highlight w:val="none"/>
              </w:rPr>
            </w:pPr>
            <w:r>
              <w:rPr>
                <w:rFonts w:hint="eastAsia" w:ascii="等线" w:hAnsi="等线" w:eastAsia="等线" w:cs="宋体"/>
                <w:color w:val="000000"/>
                <w:kern w:val="0"/>
                <w:sz w:val="22"/>
                <w:szCs w:val="22"/>
                <w:highlight w:val="none"/>
              </w:rPr>
              <w:t>长6米，宽2米</w:t>
            </w:r>
          </w:p>
        </w:tc>
        <w:tc>
          <w:tcPr>
            <w:tcW w:w="125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宋体"/>
                <w:color w:val="000000"/>
                <w:kern w:val="0"/>
                <w:sz w:val="22"/>
                <w:szCs w:val="22"/>
                <w:highlight w:val="none"/>
              </w:rPr>
            </w:pPr>
            <w:r>
              <w:rPr>
                <w:rFonts w:hint="eastAsia" w:ascii="仿宋" w:hAnsi="仿宋" w:eastAsia="仿宋" w:cs="宋体"/>
                <w:color w:val="000000"/>
                <w:kern w:val="0"/>
                <w:sz w:val="22"/>
                <w:szCs w:val="22"/>
                <w:highlight w:val="none"/>
              </w:rPr>
              <w:t>新建在同一个位置双向白色拉幕钢结构棚</w:t>
            </w:r>
          </w:p>
        </w:tc>
      </w:tr>
    </w:tbl>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0" w:lineRule="exact"/>
        <w:ind w:firstLine="600" w:firstLineChars="200"/>
        <w:jc w:val="both"/>
        <w:textAlignment w:val="auto"/>
        <w:rPr>
          <w:rFonts w:hint="eastAsia" w:ascii="方正仿宋_GBK" w:hAnsi="方正仿宋_GBK" w:eastAsia="方正仿宋_GBK" w:cs="方正仿宋_GBK"/>
          <w:sz w:val="30"/>
          <w:szCs w:val="30"/>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6"/>
        <w:keepNext w:val="0"/>
        <w:keepLines w:val="0"/>
        <w:pageBreakBefore w:val="0"/>
        <w:widowControl/>
        <w:kinsoku/>
        <w:wordWrap/>
        <w:overflowPunct/>
        <w:topLinePunct w:val="0"/>
        <w:autoSpaceDE/>
        <w:autoSpaceDN/>
        <w:bidi w:val="0"/>
        <w:snapToGrid/>
        <w:spacing w:before="0" w:beforeAutospacing="0" w:after="0" w:afterAutospacing="0" w:line="580" w:lineRule="exact"/>
        <w:jc w:val="left"/>
        <w:textAlignment w:val="auto"/>
        <w:rPr>
          <w:rFonts w:hint="default" w:ascii="方正黑体_GBK" w:hAnsi="方正黑体_GBK" w:eastAsia="方正黑体_GBK" w:cs="方正黑体_GBK"/>
          <w:sz w:val="30"/>
          <w:szCs w:val="30"/>
          <w:highlight w:val="none"/>
          <w:lang w:val="en-US" w:eastAsia="zh-CN"/>
        </w:rPr>
      </w:pPr>
      <w:r>
        <w:rPr>
          <w:rFonts w:hint="eastAsia" w:ascii="方正黑体_GBK" w:hAnsi="方正黑体_GBK" w:eastAsia="方正黑体_GBK" w:cs="方正黑体_GBK"/>
          <w:sz w:val="30"/>
          <w:szCs w:val="30"/>
          <w:highlight w:val="none"/>
          <w:lang w:eastAsia="zh-CN"/>
        </w:rPr>
        <w:t>附件</w:t>
      </w:r>
      <w:r>
        <w:rPr>
          <w:rFonts w:hint="eastAsia" w:ascii="方正黑体_GBK" w:hAnsi="方正黑体_GBK" w:eastAsia="方正黑体_GBK" w:cs="方正黑体_GBK"/>
          <w:sz w:val="30"/>
          <w:szCs w:val="30"/>
          <w:highlight w:val="none"/>
          <w:lang w:val="en-US" w:eastAsia="zh-CN"/>
        </w:rPr>
        <w:t>6：</w:t>
      </w:r>
    </w:p>
    <w:p>
      <w:pPr>
        <w:jc w:val="center"/>
        <w:rPr>
          <w:rFonts w:ascii="方正大标宋_GBK" w:hAnsi="方正大标宋_GBK" w:eastAsia="方正大标宋_GBK" w:cs="方正大标宋_GBK"/>
          <w:bCs/>
          <w:sz w:val="42"/>
          <w:szCs w:val="42"/>
          <w:highlight w:val="none"/>
        </w:rPr>
      </w:pPr>
      <w:r>
        <w:rPr>
          <w:rFonts w:hint="eastAsia" w:ascii="方正大标宋_GBK" w:hAnsi="方正大标宋_GBK" w:eastAsia="方正大标宋_GBK" w:cs="方正大标宋_GBK"/>
          <w:bCs/>
          <w:sz w:val="42"/>
          <w:szCs w:val="42"/>
          <w:highlight w:val="none"/>
        </w:rPr>
        <w:t>江门市</w:t>
      </w:r>
      <w:r>
        <w:rPr>
          <w:rFonts w:hint="eastAsia" w:ascii="方正大标宋_GBK" w:hAnsi="方正大标宋_GBK" w:eastAsia="方正大标宋_GBK" w:cs="方正大标宋_GBK"/>
          <w:bCs/>
          <w:sz w:val="42"/>
          <w:szCs w:val="42"/>
          <w:highlight w:val="none"/>
          <w:lang w:eastAsia="zh-CN"/>
        </w:rPr>
        <w:t>市本级</w:t>
      </w:r>
      <w:r>
        <w:rPr>
          <w:rFonts w:hint="eastAsia" w:ascii="方正大标宋_GBK" w:hAnsi="方正大标宋_GBK" w:eastAsia="方正大标宋_GBK" w:cs="方正大标宋_GBK"/>
          <w:bCs/>
          <w:sz w:val="42"/>
          <w:szCs w:val="42"/>
          <w:highlight w:val="none"/>
        </w:rPr>
        <w:t>保障性住房</w:t>
      </w:r>
      <w:r>
        <w:rPr>
          <w:rFonts w:hint="eastAsia" w:ascii="方正大标宋_GBK" w:hAnsi="方正大标宋_GBK" w:eastAsia="方正大标宋_GBK" w:cs="方正大标宋_GBK"/>
          <w:bCs/>
          <w:sz w:val="42"/>
          <w:szCs w:val="42"/>
          <w:highlight w:val="none"/>
          <w:lang w:eastAsia="zh-CN"/>
        </w:rPr>
        <w:t>项目</w:t>
      </w:r>
      <w:r>
        <w:rPr>
          <w:rFonts w:hint="eastAsia" w:ascii="方正大标宋_GBK" w:hAnsi="方正大标宋_GBK" w:eastAsia="方正大标宋_GBK" w:cs="方正大标宋_GBK"/>
          <w:bCs/>
          <w:sz w:val="42"/>
          <w:szCs w:val="42"/>
          <w:highlight w:val="none"/>
        </w:rPr>
        <w:t>电动自行车</w:t>
      </w:r>
      <w:r>
        <w:rPr>
          <w:rFonts w:hint="eastAsia" w:ascii="方正大标宋_GBK" w:hAnsi="方正大标宋_GBK" w:eastAsia="方正大标宋_GBK" w:cs="方正大标宋_GBK"/>
          <w:bCs/>
          <w:sz w:val="42"/>
          <w:szCs w:val="42"/>
          <w:highlight w:val="none"/>
          <w:lang w:eastAsia="zh-CN"/>
        </w:rPr>
        <w:t>充电站项目运营商</w:t>
      </w:r>
      <w:r>
        <w:rPr>
          <w:rFonts w:hint="eastAsia" w:ascii="方正大标宋_GBK" w:hAnsi="方正大标宋_GBK" w:eastAsia="方正大标宋_GBK" w:cs="方正大标宋_GBK"/>
          <w:bCs/>
          <w:sz w:val="42"/>
          <w:szCs w:val="42"/>
          <w:highlight w:val="none"/>
        </w:rPr>
        <w:t>采购评分标准</w:t>
      </w:r>
    </w:p>
    <w:tbl>
      <w:tblPr>
        <w:tblStyle w:val="7"/>
        <w:tblW w:w="9380" w:type="dxa"/>
        <w:tblInd w:w="98" w:type="dxa"/>
        <w:tblLayout w:type="fixed"/>
        <w:tblCellMar>
          <w:top w:w="0" w:type="dxa"/>
          <w:left w:w="108" w:type="dxa"/>
          <w:bottom w:w="0" w:type="dxa"/>
          <w:right w:w="108" w:type="dxa"/>
        </w:tblCellMar>
      </w:tblPr>
      <w:tblGrid>
        <w:gridCol w:w="1695"/>
        <w:gridCol w:w="1080"/>
        <w:gridCol w:w="5740"/>
        <w:gridCol w:w="865"/>
      </w:tblGrid>
      <w:tr>
        <w:tblPrEx>
          <w:tblCellMar>
            <w:top w:w="0" w:type="dxa"/>
            <w:left w:w="108" w:type="dxa"/>
            <w:bottom w:w="0" w:type="dxa"/>
            <w:right w:w="108" w:type="dxa"/>
          </w:tblCellMar>
        </w:tblPrEx>
        <w:trPr>
          <w:trHeight w:val="1000" w:hRule="atLeast"/>
          <w:tblHeader/>
        </w:trPr>
        <w:tc>
          <w:tcPr>
            <w:tcW w:w="1695" w:type="dxa"/>
            <w:tcBorders>
              <w:top w:val="single" w:color="000000" w:sz="4" w:space="0"/>
              <w:left w:val="single" w:color="000000" w:sz="4" w:space="0"/>
              <w:bottom w:val="single" w:color="000000" w:sz="4" w:space="0"/>
              <w:right w:val="single" w:color="000000" w:sz="4" w:space="0"/>
            </w:tcBorders>
            <w:noWrap/>
            <w:vAlign w:val="center"/>
          </w:tcPr>
          <w:p>
            <w:pPr>
              <w:spacing w:line="276" w:lineRule="auto"/>
              <w:jc w:val="center"/>
              <w:rPr>
                <w:rFonts w:ascii="仿宋" w:hAnsi="仿宋" w:eastAsia="仿宋" w:cs="仿宋"/>
                <w:b/>
                <w:bCs/>
                <w:sz w:val="22"/>
                <w:highlight w:val="none"/>
              </w:rPr>
            </w:pPr>
            <w:r>
              <w:rPr>
                <w:rFonts w:hint="eastAsia" w:ascii="仿宋" w:hAnsi="仿宋" w:eastAsia="仿宋" w:cs="仿宋"/>
                <w:b/>
                <w:bCs/>
                <w:sz w:val="22"/>
                <w:highlight w:val="none"/>
              </w:rPr>
              <w:t>评分项目/权重</w:t>
            </w:r>
          </w:p>
        </w:tc>
        <w:tc>
          <w:tcPr>
            <w:tcW w:w="6820" w:type="dxa"/>
            <w:gridSpan w:val="2"/>
            <w:tcBorders>
              <w:top w:val="single" w:color="000000" w:sz="4" w:space="0"/>
              <w:left w:val="single" w:color="000000" w:sz="4" w:space="0"/>
              <w:bottom w:val="single" w:color="000000" w:sz="4" w:space="0"/>
              <w:right w:val="single" w:color="000000" w:sz="4" w:space="0"/>
            </w:tcBorders>
            <w:noWrap/>
            <w:vAlign w:val="center"/>
          </w:tcPr>
          <w:p>
            <w:pPr>
              <w:spacing w:line="276" w:lineRule="auto"/>
              <w:jc w:val="center"/>
              <w:rPr>
                <w:rFonts w:ascii="仿宋" w:hAnsi="仿宋" w:eastAsia="仿宋" w:cs="仿宋"/>
                <w:b/>
                <w:bCs/>
                <w:sz w:val="22"/>
                <w:highlight w:val="none"/>
              </w:rPr>
            </w:pPr>
            <w:r>
              <w:rPr>
                <w:rFonts w:hint="eastAsia" w:ascii="仿宋" w:hAnsi="仿宋" w:eastAsia="仿宋" w:cs="仿宋"/>
                <w:b/>
                <w:bCs/>
                <w:sz w:val="22"/>
                <w:highlight w:val="none"/>
              </w:rPr>
              <w:t>评标因素</w:t>
            </w:r>
          </w:p>
        </w:tc>
        <w:tc>
          <w:tcPr>
            <w:tcW w:w="865" w:type="dxa"/>
            <w:tcBorders>
              <w:top w:val="single" w:color="000000" w:sz="4" w:space="0"/>
              <w:left w:val="single" w:color="000000" w:sz="4" w:space="0"/>
              <w:bottom w:val="single" w:color="000000" w:sz="4" w:space="0"/>
              <w:right w:val="single" w:color="000000" w:sz="4" w:space="0"/>
            </w:tcBorders>
            <w:noWrap/>
            <w:vAlign w:val="center"/>
          </w:tcPr>
          <w:p>
            <w:pPr>
              <w:spacing w:line="276" w:lineRule="auto"/>
              <w:jc w:val="center"/>
              <w:rPr>
                <w:rFonts w:ascii="仿宋" w:hAnsi="仿宋" w:eastAsia="仿宋" w:cs="仿宋"/>
                <w:b/>
                <w:bCs/>
                <w:sz w:val="22"/>
                <w:highlight w:val="none"/>
              </w:rPr>
            </w:pPr>
            <w:r>
              <w:rPr>
                <w:rFonts w:hint="eastAsia" w:ascii="仿宋" w:hAnsi="仿宋" w:eastAsia="仿宋" w:cs="仿宋"/>
                <w:b/>
                <w:bCs/>
                <w:sz w:val="22"/>
                <w:highlight w:val="none"/>
              </w:rPr>
              <w:t>分值</w:t>
            </w:r>
          </w:p>
        </w:tc>
      </w:tr>
      <w:tr>
        <w:tblPrEx>
          <w:tblCellMar>
            <w:top w:w="0" w:type="dxa"/>
            <w:left w:w="108" w:type="dxa"/>
            <w:bottom w:w="0" w:type="dxa"/>
            <w:right w:w="108" w:type="dxa"/>
          </w:tblCellMar>
        </w:tblPrEx>
        <w:trPr>
          <w:trHeight w:val="2904" w:hRule="atLeast"/>
        </w:trPr>
        <w:tc>
          <w:tcPr>
            <w:tcW w:w="1695" w:type="dxa"/>
            <w:vMerge w:val="restart"/>
            <w:tcBorders>
              <w:top w:val="single" w:color="000000" w:sz="4" w:space="0"/>
              <w:left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商务评分</w:t>
            </w:r>
          </w:p>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（5</w:t>
            </w:r>
            <w:r>
              <w:rPr>
                <w:rFonts w:hint="eastAsia" w:ascii="仿宋" w:hAnsi="仿宋" w:eastAsia="仿宋" w:cs="仿宋"/>
                <w:sz w:val="22"/>
                <w:highlight w:val="none"/>
                <w:lang w:val="en-US" w:eastAsia="zh-CN"/>
              </w:rPr>
              <w:t>0</w:t>
            </w:r>
            <w:r>
              <w:rPr>
                <w:rFonts w:hint="eastAsia" w:ascii="仿宋" w:hAnsi="仿宋" w:eastAsia="仿宋" w:cs="仿宋"/>
                <w:sz w:val="22"/>
                <w:highlight w:val="none"/>
              </w:rPr>
              <w:t>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服务团队实力</w:t>
            </w:r>
          </w:p>
        </w:tc>
        <w:tc>
          <w:tcPr>
            <w:tcW w:w="574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ascii="仿宋" w:hAnsi="仿宋" w:eastAsia="仿宋" w:cs="仿宋"/>
                <w:sz w:val="22"/>
                <w:highlight w:val="none"/>
              </w:rPr>
            </w:pPr>
            <w:r>
              <w:rPr>
                <w:rFonts w:hint="eastAsia" w:ascii="仿宋" w:hAnsi="仿宋" w:eastAsia="仿宋" w:cs="仿宋"/>
                <w:sz w:val="22"/>
                <w:highlight w:val="none"/>
              </w:rPr>
              <w:t>1、</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拟派项目负责人具备信息化类/通信类高级工程师证书，得5分；具有信息化类/通信类工程师证书的，得3分，其他不得分。</w:t>
            </w:r>
          </w:p>
          <w:p>
            <w:pPr>
              <w:spacing w:line="276" w:lineRule="auto"/>
              <w:rPr>
                <w:rFonts w:ascii="仿宋" w:hAnsi="仿宋" w:eastAsia="仿宋" w:cs="仿宋"/>
                <w:sz w:val="22"/>
                <w:highlight w:val="none"/>
              </w:rPr>
            </w:pPr>
            <w:r>
              <w:rPr>
                <w:rFonts w:hint="eastAsia" w:ascii="仿宋" w:hAnsi="仿宋" w:eastAsia="仿宋" w:cs="仿宋"/>
                <w:sz w:val="22"/>
                <w:highlight w:val="none"/>
              </w:rPr>
              <w:t>2、</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拟派的服务人员配置表，人数达到12人及以上的为优，得10分；9-11人为较好，得8分；8人及以下的为一般，得6分；本小项最高得7分。</w:t>
            </w:r>
          </w:p>
          <w:p>
            <w:pPr>
              <w:spacing w:line="276" w:lineRule="auto"/>
              <w:rPr>
                <w:rFonts w:ascii="仿宋" w:hAnsi="仿宋" w:eastAsia="仿宋" w:cs="仿宋"/>
                <w:sz w:val="22"/>
                <w:highlight w:val="none"/>
              </w:rPr>
            </w:pPr>
            <w:r>
              <w:rPr>
                <w:rFonts w:hint="eastAsia" w:ascii="仿宋" w:hAnsi="仿宋" w:eastAsia="仿宋" w:cs="仿宋"/>
                <w:sz w:val="22"/>
                <w:highlight w:val="none"/>
              </w:rPr>
              <w:t>注：</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须提供上述拟派人员近1年参保证明复印件；不提供或不按要求提供不得分。</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15</w:t>
            </w:r>
          </w:p>
        </w:tc>
      </w:tr>
      <w:tr>
        <w:tblPrEx>
          <w:tblCellMar>
            <w:top w:w="0" w:type="dxa"/>
            <w:left w:w="108" w:type="dxa"/>
            <w:bottom w:w="0" w:type="dxa"/>
            <w:right w:w="108" w:type="dxa"/>
          </w:tblCellMar>
        </w:tblPrEx>
        <w:trPr>
          <w:trHeight w:val="560" w:hRule="atLeast"/>
        </w:trPr>
        <w:tc>
          <w:tcPr>
            <w:tcW w:w="1695" w:type="dxa"/>
            <w:vMerge w:val="continue"/>
            <w:tcBorders>
              <w:left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充换电站点建设及运营管理实力</w:t>
            </w:r>
          </w:p>
        </w:tc>
        <w:tc>
          <w:tcPr>
            <w:tcW w:w="5740" w:type="dxa"/>
            <w:tcBorders>
              <w:top w:val="single" w:color="000000" w:sz="4" w:space="0"/>
              <w:left w:val="single" w:color="000000" w:sz="4" w:space="0"/>
              <w:bottom w:val="single" w:color="000000" w:sz="4" w:space="0"/>
              <w:right w:val="single" w:color="000000" w:sz="4" w:space="0"/>
            </w:tcBorders>
            <w:noWrap w:val="0"/>
            <w:vAlign w:val="center"/>
          </w:tcPr>
          <w:p>
            <w:pPr>
              <w:wordWrap w:val="0"/>
              <w:spacing w:line="276" w:lineRule="auto"/>
              <w:rPr>
                <w:rFonts w:ascii="仿宋" w:hAnsi="仿宋" w:eastAsia="仿宋" w:cs="仿宋"/>
                <w:sz w:val="22"/>
                <w:highlight w:val="none"/>
              </w:rPr>
            </w:pPr>
            <w:r>
              <w:rPr>
                <w:rFonts w:hint="eastAsia" w:ascii="仿宋" w:hAnsi="仿宋" w:eastAsia="仿宋" w:cs="仿宋"/>
                <w:sz w:val="22"/>
                <w:highlight w:val="none"/>
              </w:rPr>
              <w:t>评审内容：充换电站点建设及运营管理实力</w:t>
            </w:r>
          </w:p>
          <w:p>
            <w:pPr>
              <w:wordWrap w:val="0"/>
              <w:spacing w:line="276" w:lineRule="auto"/>
              <w:rPr>
                <w:rFonts w:ascii="仿宋" w:hAnsi="仿宋" w:eastAsia="仿宋" w:cs="仿宋"/>
                <w:sz w:val="22"/>
                <w:highlight w:val="none"/>
              </w:rPr>
            </w:pPr>
            <w:r>
              <w:rPr>
                <w:rFonts w:hint="eastAsia" w:ascii="仿宋" w:hAnsi="仿宋" w:eastAsia="仿宋" w:cs="仿宋"/>
                <w:sz w:val="22"/>
                <w:highlight w:val="none"/>
              </w:rPr>
              <w:t>评审标准：</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须提供近两年内（2023年</w:t>
            </w:r>
            <w:r>
              <w:rPr>
                <w:rFonts w:hint="eastAsia" w:ascii="仿宋" w:hAnsi="仿宋" w:eastAsia="仿宋" w:cs="仿宋"/>
                <w:sz w:val="22"/>
                <w:highlight w:val="none"/>
                <w:lang w:val="en-US" w:eastAsia="zh-CN"/>
              </w:rPr>
              <w:t>6</w:t>
            </w:r>
            <w:r>
              <w:rPr>
                <w:rFonts w:hint="eastAsia" w:ascii="仿宋" w:hAnsi="仿宋" w:eastAsia="仿宋" w:cs="仿宋"/>
                <w:sz w:val="22"/>
                <w:highlight w:val="none"/>
              </w:rPr>
              <w:t>月至投标截止时间止）的充换电设备投建/运营/铺设合同，每提供1个得</w:t>
            </w:r>
            <w:r>
              <w:rPr>
                <w:rFonts w:hint="eastAsia" w:ascii="仿宋" w:hAnsi="仿宋" w:eastAsia="仿宋" w:cs="仿宋"/>
                <w:sz w:val="22"/>
                <w:highlight w:val="none"/>
                <w:lang w:val="en-US" w:eastAsia="zh-CN"/>
              </w:rPr>
              <w:t>5</w:t>
            </w:r>
            <w:r>
              <w:rPr>
                <w:rFonts w:hint="eastAsia" w:ascii="仿宋" w:hAnsi="仿宋" w:eastAsia="仿宋" w:cs="仿宋"/>
                <w:sz w:val="22"/>
                <w:highlight w:val="none"/>
              </w:rPr>
              <w:t>分,本项最高得10分。</w:t>
            </w:r>
          </w:p>
          <w:p>
            <w:pPr>
              <w:wordWrap w:val="0"/>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须提供合同关键页复印件（包含但不限于合同封面页、服务内容页、签署页）并加盖</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公章；不提供或不按要求提供不得分。</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10</w:t>
            </w:r>
          </w:p>
        </w:tc>
      </w:tr>
      <w:tr>
        <w:tblPrEx>
          <w:tblCellMar>
            <w:top w:w="0" w:type="dxa"/>
            <w:left w:w="108" w:type="dxa"/>
            <w:bottom w:w="0" w:type="dxa"/>
            <w:right w:w="108" w:type="dxa"/>
          </w:tblCellMar>
        </w:tblPrEx>
        <w:trPr>
          <w:trHeight w:val="560" w:hRule="atLeast"/>
        </w:trPr>
        <w:tc>
          <w:tcPr>
            <w:tcW w:w="1695" w:type="dxa"/>
            <w:vMerge w:val="continue"/>
            <w:tcBorders>
              <w:left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统一监管平台服务</w:t>
            </w:r>
          </w:p>
        </w:tc>
        <w:tc>
          <w:tcPr>
            <w:tcW w:w="5740" w:type="dxa"/>
            <w:tcBorders>
              <w:top w:val="single" w:color="000000" w:sz="4" w:space="0"/>
              <w:left w:val="single" w:color="000000" w:sz="4" w:space="0"/>
              <w:bottom w:val="single" w:color="000000" w:sz="4" w:space="0"/>
              <w:right w:val="single" w:color="000000" w:sz="4" w:space="0"/>
            </w:tcBorders>
            <w:noWrap w:val="0"/>
            <w:vAlign w:val="center"/>
          </w:tcPr>
          <w:p>
            <w:pPr>
              <w:pStyle w:val="14"/>
              <w:tabs>
                <w:tab w:val="left" w:pos="1701"/>
              </w:tabs>
              <w:spacing w:line="320" w:lineRule="exact"/>
              <w:ind w:left="0" w:leftChars="0" w:firstLine="0" w:firstLineChars="0"/>
              <w:jc w:val="left"/>
              <w:rPr>
                <w:rFonts w:hint="eastAsia" w:ascii="宋体" w:hAnsi="宋体" w:eastAsia="Noto Sans Mono CJK HK"/>
                <w:bCs/>
                <w:sz w:val="22"/>
                <w:szCs w:val="22"/>
                <w:highlight w:val="none"/>
                <w:lang w:eastAsia="zh-CN"/>
              </w:rPr>
            </w:pPr>
            <w:r>
              <w:rPr>
                <w:rFonts w:hint="eastAsia" w:ascii="宋体" w:hAnsi="宋体"/>
                <w:bCs/>
                <w:sz w:val="22"/>
                <w:szCs w:val="22"/>
                <w:highlight w:val="none"/>
              </w:rPr>
              <w:t>评审内容：提供统一监管平台服务</w:t>
            </w:r>
            <w:r>
              <w:rPr>
                <w:rFonts w:hint="eastAsia" w:ascii="宋体" w:hAnsi="宋体"/>
                <w:bCs/>
                <w:sz w:val="22"/>
                <w:szCs w:val="22"/>
                <w:highlight w:val="none"/>
                <w:lang w:eastAsia="zh-CN"/>
              </w:rPr>
              <w:t>。</w:t>
            </w:r>
          </w:p>
          <w:p>
            <w:pPr>
              <w:pStyle w:val="14"/>
              <w:tabs>
                <w:tab w:val="left" w:pos="1701"/>
              </w:tabs>
              <w:spacing w:line="320" w:lineRule="exact"/>
              <w:ind w:left="0" w:leftChars="0" w:firstLine="0" w:firstLineChars="0"/>
              <w:jc w:val="left"/>
              <w:rPr>
                <w:rFonts w:ascii="宋体" w:hAnsi="宋体"/>
                <w:bCs/>
                <w:sz w:val="22"/>
                <w:szCs w:val="22"/>
                <w:highlight w:val="none"/>
              </w:rPr>
            </w:pPr>
            <w:r>
              <w:rPr>
                <w:rFonts w:hint="eastAsia" w:ascii="宋体" w:hAnsi="宋体"/>
                <w:bCs/>
                <w:sz w:val="22"/>
                <w:szCs w:val="22"/>
                <w:highlight w:val="none"/>
              </w:rPr>
              <w:t>评审标准：提供统一</w:t>
            </w:r>
            <w:r>
              <w:rPr>
                <w:rFonts w:ascii="宋体" w:hAnsi="宋体"/>
                <w:bCs/>
                <w:sz w:val="22"/>
                <w:szCs w:val="22"/>
                <w:highlight w:val="none"/>
              </w:rPr>
              <w:t>监管平台服务，并</w:t>
            </w:r>
            <w:r>
              <w:rPr>
                <w:rFonts w:hint="eastAsia" w:ascii="宋体" w:hAnsi="宋体"/>
                <w:bCs/>
                <w:sz w:val="22"/>
                <w:szCs w:val="22"/>
                <w:highlight w:val="none"/>
              </w:rPr>
              <w:t>可以</w:t>
            </w:r>
            <w:r>
              <w:rPr>
                <w:rFonts w:ascii="宋体" w:hAnsi="宋体"/>
                <w:bCs/>
                <w:sz w:val="22"/>
                <w:szCs w:val="22"/>
                <w:highlight w:val="none"/>
              </w:rPr>
              <w:t>纳管第三方设备，强化管理</w:t>
            </w:r>
            <w:r>
              <w:rPr>
                <w:rFonts w:hint="eastAsia" w:ascii="宋体" w:hAnsi="宋体"/>
                <w:bCs/>
                <w:sz w:val="22"/>
                <w:szCs w:val="22"/>
                <w:highlight w:val="none"/>
              </w:rPr>
              <w:t>,提供得</w:t>
            </w:r>
            <w:r>
              <w:rPr>
                <w:rFonts w:hint="eastAsia" w:ascii="宋体" w:hAnsi="宋体"/>
                <w:bCs/>
                <w:sz w:val="22"/>
                <w:szCs w:val="22"/>
                <w:highlight w:val="none"/>
                <w:lang w:val="en-US" w:eastAsia="zh-CN"/>
              </w:rPr>
              <w:t>10</w:t>
            </w:r>
            <w:r>
              <w:rPr>
                <w:rFonts w:hint="eastAsia" w:ascii="宋体" w:hAnsi="宋体"/>
                <w:bCs/>
                <w:sz w:val="22"/>
                <w:szCs w:val="22"/>
                <w:highlight w:val="none"/>
              </w:rPr>
              <w:t>分，不提供不得分。</w:t>
            </w:r>
          </w:p>
          <w:p>
            <w:pPr>
              <w:wordWrap w:val="0"/>
              <w:spacing w:line="276" w:lineRule="auto"/>
              <w:rPr>
                <w:rFonts w:ascii="仿宋" w:hAnsi="仿宋" w:eastAsia="仿宋" w:cs="仿宋"/>
                <w:sz w:val="22"/>
                <w:highlight w:val="none"/>
              </w:rPr>
            </w:pPr>
            <w:r>
              <w:rPr>
                <w:rFonts w:hint="eastAsia" w:ascii="宋体" w:hAnsi="宋体" w:eastAsia="宋体"/>
                <w:bCs/>
                <w:sz w:val="22"/>
                <w:highlight w:val="none"/>
              </w:rPr>
              <w:t>需提供统一监管平台页面信息。</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default" w:ascii="仿宋" w:hAnsi="仿宋" w:eastAsia="仿宋" w:cs="仿宋"/>
                <w:sz w:val="22"/>
                <w:highlight w:val="none"/>
                <w:lang w:val="en-US" w:eastAsia="zh-CN"/>
              </w:rPr>
            </w:pPr>
            <w:r>
              <w:rPr>
                <w:rFonts w:hint="eastAsia" w:ascii="仿宋" w:hAnsi="仿宋" w:eastAsia="仿宋" w:cs="仿宋"/>
                <w:sz w:val="22"/>
                <w:highlight w:val="none"/>
                <w:lang w:val="en-US" w:eastAsia="zh-CN"/>
              </w:rPr>
              <w:t>10</w:t>
            </w:r>
          </w:p>
        </w:tc>
      </w:tr>
      <w:tr>
        <w:tblPrEx>
          <w:tblCellMar>
            <w:top w:w="0" w:type="dxa"/>
            <w:left w:w="108" w:type="dxa"/>
            <w:bottom w:w="0" w:type="dxa"/>
            <w:right w:w="108" w:type="dxa"/>
          </w:tblCellMar>
        </w:tblPrEx>
        <w:trPr>
          <w:trHeight w:val="560" w:hRule="atLeast"/>
        </w:trPr>
        <w:tc>
          <w:tcPr>
            <w:tcW w:w="1695" w:type="dxa"/>
            <w:vMerge w:val="continue"/>
            <w:tcBorders>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保险综合服务能力</w:t>
            </w:r>
          </w:p>
        </w:tc>
        <w:tc>
          <w:tcPr>
            <w:tcW w:w="574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ascii="仿宋" w:hAnsi="仿宋" w:eastAsia="仿宋" w:cs="仿宋"/>
                <w:sz w:val="22"/>
                <w:highlight w:val="none"/>
              </w:rPr>
            </w:pPr>
            <w:r>
              <w:rPr>
                <w:rFonts w:hint="eastAsia" w:ascii="仿宋" w:hAnsi="仿宋" w:eastAsia="仿宋" w:cs="仿宋"/>
                <w:sz w:val="22"/>
                <w:highlight w:val="none"/>
              </w:rPr>
              <w:t>评审内容：保险综合服务能力</w:t>
            </w:r>
          </w:p>
          <w:p>
            <w:pPr>
              <w:spacing w:line="276" w:lineRule="auto"/>
              <w:rPr>
                <w:rFonts w:ascii="仿宋" w:hAnsi="仿宋" w:eastAsia="仿宋" w:cs="仿宋"/>
                <w:sz w:val="22"/>
                <w:highlight w:val="none"/>
              </w:rPr>
            </w:pPr>
            <w:r>
              <w:rPr>
                <w:rFonts w:hint="eastAsia" w:ascii="仿宋" w:hAnsi="仿宋" w:eastAsia="仿宋" w:cs="仿宋"/>
                <w:sz w:val="22"/>
                <w:highlight w:val="none"/>
              </w:rPr>
              <w:t>评审标准：</w:t>
            </w:r>
          </w:p>
          <w:p>
            <w:pPr>
              <w:spacing w:line="276" w:lineRule="auto"/>
              <w:rPr>
                <w:rFonts w:ascii="仿宋" w:hAnsi="仿宋" w:eastAsia="仿宋" w:cs="仿宋"/>
                <w:sz w:val="22"/>
                <w:highlight w:val="none"/>
              </w:rPr>
            </w:pPr>
            <w:r>
              <w:rPr>
                <w:rFonts w:hint="eastAsia" w:ascii="仿宋" w:hAnsi="仿宋" w:eastAsia="仿宋" w:cs="仿宋"/>
                <w:sz w:val="22"/>
                <w:highlight w:val="none"/>
              </w:rPr>
              <w:t>1.</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购买产品责任险≥1000万，得5分；</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购买产品责任险≥500万，得3分；</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购买产品责任险＜500万，不得分；本小项最高得5分。</w:t>
            </w:r>
          </w:p>
          <w:p>
            <w:pPr>
              <w:spacing w:line="276" w:lineRule="auto"/>
              <w:rPr>
                <w:rFonts w:ascii="仿宋" w:hAnsi="仿宋" w:eastAsia="仿宋" w:cs="仿宋"/>
                <w:sz w:val="22"/>
                <w:highlight w:val="none"/>
              </w:rPr>
            </w:pPr>
            <w:r>
              <w:rPr>
                <w:rFonts w:hint="eastAsia" w:ascii="仿宋" w:hAnsi="仿宋" w:eastAsia="仿宋" w:cs="仿宋"/>
                <w:sz w:val="22"/>
                <w:highlight w:val="none"/>
              </w:rPr>
              <w:t>2.</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购买公众责任险累计赔偿限额≥1000万，得10分；</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购买公众责任险≥300万，得5分；</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购买公众责任险＜300万，不得分；本小项最高得10分。</w:t>
            </w:r>
          </w:p>
          <w:p>
            <w:pPr>
              <w:spacing w:line="276" w:lineRule="auto"/>
              <w:rPr>
                <w:rFonts w:ascii="仿宋" w:hAnsi="仿宋" w:eastAsia="仿宋" w:cs="仿宋"/>
                <w:sz w:val="22"/>
                <w:highlight w:val="none"/>
              </w:rPr>
            </w:pPr>
            <w:r>
              <w:rPr>
                <w:rFonts w:hint="eastAsia" w:ascii="仿宋" w:hAnsi="仿宋" w:eastAsia="仿宋" w:cs="仿宋"/>
                <w:sz w:val="22"/>
                <w:highlight w:val="none"/>
              </w:rPr>
              <w:t>注：</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须提供有效期内的参保证明文件并加盖</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公章，不提供或不满足要求不得分。</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15</w:t>
            </w:r>
          </w:p>
        </w:tc>
      </w:tr>
      <w:tr>
        <w:tblPrEx>
          <w:tblCellMar>
            <w:top w:w="0" w:type="dxa"/>
            <w:left w:w="108" w:type="dxa"/>
            <w:bottom w:w="0" w:type="dxa"/>
            <w:right w:w="108" w:type="dxa"/>
          </w:tblCellMar>
        </w:tblPrEx>
        <w:trPr>
          <w:trHeight w:val="560" w:hRule="atLeast"/>
        </w:trPr>
        <w:tc>
          <w:tcPr>
            <w:tcW w:w="1695" w:type="dxa"/>
            <w:vMerge w:val="restart"/>
            <w:tcBorders>
              <w:left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技术评分</w:t>
            </w:r>
          </w:p>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w:t>
            </w:r>
            <w:r>
              <w:rPr>
                <w:rFonts w:hint="eastAsia" w:ascii="仿宋" w:hAnsi="仿宋" w:eastAsia="仿宋" w:cs="仿宋"/>
                <w:sz w:val="22"/>
                <w:highlight w:val="none"/>
                <w:lang w:val="en-US" w:eastAsia="zh-CN"/>
              </w:rPr>
              <w:t>40</w:t>
            </w:r>
            <w:bookmarkStart w:id="0" w:name="_GoBack"/>
            <w:bookmarkEnd w:id="0"/>
            <w:r>
              <w:rPr>
                <w:rFonts w:hint="eastAsia" w:ascii="仿宋" w:hAnsi="仿宋" w:eastAsia="仿宋" w:cs="仿宋"/>
                <w:sz w:val="22"/>
                <w:highlight w:val="none"/>
              </w:rPr>
              <w:t>分）</w:t>
            </w:r>
          </w:p>
          <w:p>
            <w:pPr>
              <w:spacing w:line="276" w:lineRule="auto"/>
              <w:jc w:val="center"/>
              <w:rPr>
                <w:rFonts w:ascii="仿宋" w:hAnsi="仿宋" w:eastAsia="仿宋" w:cs="仿宋"/>
                <w:sz w:val="22"/>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充换电设备安全保障能力</w:t>
            </w:r>
          </w:p>
        </w:tc>
        <w:tc>
          <w:tcPr>
            <w:tcW w:w="574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ascii="仿宋" w:hAnsi="仿宋" w:eastAsia="仿宋" w:cs="仿宋"/>
                <w:sz w:val="22"/>
                <w:highlight w:val="none"/>
              </w:rPr>
            </w:pPr>
            <w:r>
              <w:rPr>
                <w:rFonts w:hint="eastAsia" w:ascii="仿宋" w:hAnsi="仿宋" w:eastAsia="仿宋" w:cs="仿宋"/>
                <w:sz w:val="22"/>
                <w:highlight w:val="none"/>
              </w:rPr>
              <w:t>评审内容：充换电设备安全保障能力</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技术方案中提供充换电设备都具有过载保护功能，得2分；</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技术方案中提供充电站都具有灭火装置，得2</w:t>
            </w:r>
            <w:r>
              <w:rPr>
                <w:rFonts w:ascii="仿宋" w:hAnsi="仿宋" w:eastAsia="仿宋" w:cs="仿宋"/>
                <w:sz w:val="22"/>
                <w:highlight w:val="none"/>
              </w:rPr>
              <w:t>分</w:t>
            </w:r>
            <w:r>
              <w:rPr>
                <w:rFonts w:hint="eastAsia" w:ascii="仿宋" w:hAnsi="仿宋" w:eastAsia="仿宋" w:cs="仿宋"/>
                <w:sz w:val="22"/>
                <w:highlight w:val="none"/>
              </w:rPr>
              <w:t>；</w:t>
            </w:r>
          </w:p>
          <w:p>
            <w:pPr>
              <w:spacing w:line="276" w:lineRule="auto"/>
              <w:rPr>
                <w:rFonts w:hint="eastAsia"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技术方案中提供充电设备每台都具有防浪涌保护器（须附产品内部图），得2分；</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技术方案中提供充换电设备每台都具有漏电保护器（须附产品内部图），得2分；</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技术方案中提供充电设备防尘防水等级≥IP54，得2分；</w:t>
            </w:r>
          </w:p>
          <w:p>
            <w:pPr>
              <w:spacing w:line="276" w:lineRule="auto"/>
              <w:rPr>
                <w:rFonts w:ascii="仿宋" w:hAnsi="仿宋" w:eastAsia="仿宋" w:cs="仿宋"/>
                <w:sz w:val="22"/>
                <w:highlight w:val="none"/>
              </w:rPr>
            </w:pPr>
            <w:r>
              <w:rPr>
                <w:rFonts w:hint="eastAsia" w:ascii="仿宋" w:hAnsi="仿宋" w:eastAsia="仿宋" w:cs="仿宋"/>
                <w:sz w:val="22"/>
                <w:highlight w:val="none"/>
              </w:rPr>
              <w:t>本项最高得10分，不提供或不按要求提供不得分。</w:t>
            </w:r>
          </w:p>
          <w:p>
            <w:pPr>
              <w:spacing w:line="276" w:lineRule="auto"/>
              <w:rPr>
                <w:rFonts w:ascii="仿宋" w:hAnsi="仿宋" w:eastAsia="仿宋" w:cs="仿宋"/>
                <w:sz w:val="22"/>
                <w:highlight w:val="none"/>
              </w:rPr>
            </w:pPr>
            <w:r>
              <w:rPr>
                <w:rFonts w:hint="eastAsia" w:ascii="仿宋" w:hAnsi="仿宋" w:eastAsia="仿宋" w:cs="仿宋"/>
                <w:sz w:val="22"/>
                <w:highlight w:val="none"/>
              </w:rPr>
              <w:t>注：</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须提供各项证书或检验报告复印件并加盖</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公章。</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10</w:t>
            </w:r>
          </w:p>
        </w:tc>
      </w:tr>
      <w:tr>
        <w:tblPrEx>
          <w:tblCellMar>
            <w:top w:w="0" w:type="dxa"/>
            <w:left w:w="108" w:type="dxa"/>
            <w:bottom w:w="0" w:type="dxa"/>
            <w:right w:w="108" w:type="dxa"/>
          </w:tblCellMar>
        </w:tblPrEx>
        <w:trPr>
          <w:trHeight w:val="922" w:hRule="atLeast"/>
        </w:trPr>
        <w:tc>
          <w:tcPr>
            <w:tcW w:w="1695" w:type="dxa"/>
            <w:vMerge w:val="continue"/>
            <w:tcBorders>
              <w:left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项目实施方案</w:t>
            </w:r>
          </w:p>
        </w:tc>
        <w:tc>
          <w:tcPr>
            <w:tcW w:w="574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hint="eastAsia" w:ascii="仿宋" w:hAnsi="仿宋" w:eastAsia="仿宋" w:cs="仿宋"/>
                <w:sz w:val="22"/>
                <w:highlight w:val="none"/>
              </w:rPr>
            </w:pPr>
            <w:r>
              <w:rPr>
                <w:rFonts w:hint="eastAsia" w:ascii="仿宋" w:hAnsi="仿宋" w:eastAsia="仿宋" w:cs="仿宋"/>
                <w:sz w:val="22"/>
                <w:highlight w:val="none"/>
              </w:rPr>
              <w:t>评审内容：</w:t>
            </w:r>
          </w:p>
          <w:p>
            <w:pPr>
              <w:spacing w:line="276" w:lineRule="auto"/>
              <w:rPr>
                <w:rFonts w:hint="eastAsia" w:ascii="仿宋" w:hAnsi="仿宋" w:eastAsia="仿宋" w:cs="仿宋"/>
                <w:sz w:val="22"/>
                <w:highlight w:val="none"/>
                <w:lang w:eastAsia="zh-CN"/>
              </w:rPr>
            </w:pPr>
            <w:r>
              <w:rPr>
                <w:rFonts w:hint="eastAsia" w:ascii="仿宋" w:hAnsi="仿宋" w:eastAsia="仿宋" w:cs="仿宋"/>
                <w:sz w:val="22"/>
                <w:highlight w:val="none"/>
                <w:lang w:eastAsia="zh-CN"/>
              </w:rPr>
              <w:t>横向比较各运营商制定的</w:t>
            </w:r>
            <w:r>
              <w:rPr>
                <w:rFonts w:hint="eastAsia" w:ascii="仿宋" w:hAnsi="仿宋" w:eastAsia="仿宋" w:cs="仿宋"/>
                <w:sz w:val="22"/>
                <w:highlight w:val="none"/>
              </w:rPr>
              <w:t>项目实施的重点、难点和解决方案</w:t>
            </w:r>
            <w:r>
              <w:rPr>
                <w:rFonts w:hint="eastAsia" w:ascii="仿宋" w:hAnsi="仿宋" w:eastAsia="仿宋" w:cs="仿宋"/>
                <w:sz w:val="22"/>
                <w:highlight w:val="none"/>
                <w:lang w:eastAsia="zh-CN"/>
              </w:rPr>
              <w:t>，其中：</w:t>
            </w:r>
          </w:p>
          <w:p>
            <w:pPr>
              <w:spacing w:line="276" w:lineRule="auto"/>
              <w:rPr>
                <w:rFonts w:ascii="仿宋" w:hAnsi="仿宋" w:eastAsia="仿宋" w:cs="仿宋"/>
                <w:sz w:val="22"/>
                <w:highlight w:val="none"/>
              </w:rPr>
            </w:pPr>
            <w:r>
              <w:rPr>
                <w:rFonts w:hint="eastAsia" w:ascii="仿宋" w:hAnsi="仿宋" w:eastAsia="仿宋" w:cs="仿宋"/>
                <w:sz w:val="22"/>
                <w:highlight w:val="none"/>
              </w:rPr>
              <w:t>根据</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提供的项目实施的重点、难点和解决方案的制定内容打分：</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能够</w:t>
            </w:r>
            <w:r>
              <w:rPr>
                <w:rFonts w:hint="eastAsia" w:ascii="仿宋" w:hAnsi="仿宋" w:eastAsia="仿宋" w:cs="仿宋"/>
                <w:sz w:val="22"/>
                <w:highlight w:val="none"/>
              </w:rPr>
              <w:t>详细描述项目实施的重点、难点和解决方案且非常全面，得1</w:t>
            </w:r>
            <w:r>
              <w:rPr>
                <w:rFonts w:hint="eastAsia" w:ascii="仿宋" w:hAnsi="仿宋" w:eastAsia="仿宋" w:cs="仿宋"/>
                <w:sz w:val="22"/>
                <w:highlight w:val="none"/>
                <w:lang w:val="en-US" w:eastAsia="zh-CN"/>
              </w:rPr>
              <w:t>5</w:t>
            </w:r>
            <w:r>
              <w:rPr>
                <w:rFonts w:hint="eastAsia" w:ascii="仿宋" w:hAnsi="仿宋" w:eastAsia="仿宋" w:cs="仿宋"/>
                <w:sz w:val="22"/>
                <w:highlight w:val="none"/>
              </w:rPr>
              <w:t>分；</w:t>
            </w:r>
          </w:p>
          <w:p>
            <w:pPr>
              <w:spacing w:line="276" w:lineRule="auto"/>
              <w:rPr>
                <w:rFonts w:ascii="仿宋" w:hAnsi="仿宋" w:eastAsia="仿宋" w:cs="仿宋"/>
                <w:sz w:val="22"/>
                <w:highlight w:val="none"/>
              </w:rPr>
            </w:pPr>
            <w:r>
              <w:rPr>
                <w:rFonts w:hint="eastAsia" w:ascii="仿宋" w:hAnsi="仿宋" w:eastAsia="仿宋" w:cs="仿宋"/>
                <w:sz w:val="22"/>
                <w:highlight w:val="none"/>
              </w:rPr>
              <w:t>描述项目实施的重点、难点和解决方案</w:t>
            </w:r>
            <w:r>
              <w:rPr>
                <w:rFonts w:hint="eastAsia" w:ascii="仿宋" w:hAnsi="仿宋" w:eastAsia="仿宋" w:cs="仿宋"/>
                <w:sz w:val="22"/>
                <w:highlight w:val="none"/>
                <w:lang w:eastAsia="zh-CN"/>
              </w:rPr>
              <w:t>比较</w:t>
            </w:r>
            <w:r>
              <w:rPr>
                <w:rFonts w:hint="eastAsia" w:ascii="仿宋" w:hAnsi="仿宋" w:eastAsia="仿宋" w:cs="仿宋"/>
                <w:sz w:val="22"/>
                <w:highlight w:val="none"/>
              </w:rPr>
              <w:t>全面的，</w:t>
            </w:r>
            <w:r>
              <w:rPr>
                <w:rFonts w:hint="eastAsia" w:ascii="仿宋" w:hAnsi="仿宋" w:eastAsia="仿宋" w:cs="仿宋"/>
                <w:sz w:val="22"/>
                <w:highlight w:val="none"/>
                <w:lang w:eastAsia="zh-CN"/>
              </w:rPr>
              <w:t>部分需补充的，</w:t>
            </w:r>
            <w:r>
              <w:rPr>
                <w:rFonts w:hint="eastAsia" w:ascii="仿宋" w:hAnsi="仿宋" w:eastAsia="仿宋" w:cs="仿宋"/>
                <w:sz w:val="22"/>
                <w:highlight w:val="none"/>
              </w:rPr>
              <w:t>得</w:t>
            </w:r>
            <w:r>
              <w:rPr>
                <w:rFonts w:hint="eastAsia" w:ascii="仿宋" w:hAnsi="仿宋" w:eastAsia="仿宋" w:cs="仿宋"/>
                <w:sz w:val="22"/>
                <w:highlight w:val="none"/>
                <w:lang w:val="en-US" w:eastAsia="zh-CN"/>
              </w:rPr>
              <w:t>10</w:t>
            </w:r>
            <w:r>
              <w:rPr>
                <w:rFonts w:hint="eastAsia" w:ascii="仿宋" w:hAnsi="仿宋" w:eastAsia="仿宋" w:cs="仿宋"/>
                <w:sz w:val="22"/>
                <w:highlight w:val="none"/>
              </w:rPr>
              <w:t>分；</w:t>
            </w:r>
          </w:p>
          <w:p>
            <w:pPr>
              <w:spacing w:line="276" w:lineRule="auto"/>
              <w:rPr>
                <w:rFonts w:ascii="仿宋" w:hAnsi="仿宋" w:eastAsia="仿宋" w:cs="仿宋"/>
                <w:sz w:val="22"/>
                <w:highlight w:val="none"/>
              </w:rPr>
            </w:pPr>
            <w:r>
              <w:rPr>
                <w:rFonts w:hint="eastAsia" w:ascii="仿宋" w:hAnsi="仿宋" w:eastAsia="仿宋" w:cs="仿宋"/>
                <w:sz w:val="22"/>
                <w:highlight w:val="none"/>
              </w:rPr>
              <w:t>描述项目实施的重点、难点和解决方案较简单，</w:t>
            </w:r>
            <w:r>
              <w:rPr>
                <w:rFonts w:hint="eastAsia" w:ascii="仿宋" w:hAnsi="仿宋" w:eastAsia="仿宋" w:cs="仿宋"/>
                <w:sz w:val="22"/>
                <w:highlight w:val="none"/>
                <w:lang w:eastAsia="zh-CN"/>
              </w:rPr>
              <w:t>需补充内容较多的</w:t>
            </w:r>
            <w:r>
              <w:rPr>
                <w:rFonts w:hint="eastAsia" w:ascii="仿宋" w:hAnsi="仿宋" w:eastAsia="仿宋" w:cs="仿宋"/>
                <w:sz w:val="22"/>
                <w:highlight w:val="none"/>
              </w:rPr>
              <w:t>，得</w:t>
            </w:r>
            <w:r>
              <w:rPr>
                <w:rFonts w:hint="eastAsia" w:ascii="仿宋" w:hAnsi="仿宋" w:eastAsia="仿宋" w:cs="仿宋"/>
                <w:sz w:val="22"/>
                <w:highlight w:val="none"/>
                <w:lang w:val="en-US" w:eastAsia="zh-CN"/>
              </w:rPr>
              <w:t>5</w:t>
            </w:r>
            <w:r>
              <w:rPr>
                <w:rFonts w:hint="eastAsia" w:ascii="仿宋" w:hAnsi="仿宋" w:eastAsia="仿宋" w:cs="仿宋"/>
                <w:sz w:val="22"/>
                <w:highlight w:val="none"/>
              </w:rPr>
              <w:t>分；</w:t>
            </w:r>
          </w:p>
          <w:p>
            <w:pPr>
              <w:spacing w:line="276" w:lineRule="auto"/>
              <w:rPr>
                <w:rFonts w:ascii="仿宋" w:hAnsi="仿宋" w:eastAsia="仿宋" w:cs="仿宋"/>
                <w:sz w:val="22"/>
                <w:highlight w:val="none"/>
              </w:rPr>
            </w:pPr>
            <w:r>
              <w:rPr>
                <w:rFonts w:hint="eastAsia" w:ascii="仿宋" w:hAnsi="仿宋" w:eastAsia="仿宋" w:cs="仿宋"/>
                <w:sz w:val="22"/>
                <w:highlight w:val="none"/>
              </w:rPr>
              <w:t>不提供不得分。</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仿宋" w:hAnsi="仿宋" w:eastAsia="仿宋" w:cs="仿宋"/>
                <w:sz w:val="22"/>
                <w:highlight w:val="none"/>
                <w:lang w:eastAsia="zh-CN"/>
              </w:rPr>
            </w:pPr>
            <w:r>
              <w:rPr>
                <w:rFonts w:hint="eastAsia" w:ascii="仿宋" w:hAnsi="仿宋" w:eastAsia="仿宋" w:cs="仿宋"/>
                <w:sz w:val="22"/>
                <w:highlight w:val="none"/>
              </w:rPr>
              <w:t>1</w:t>
            </w:r>
            <w:r>
              <w:rPr>
                <w:rFonts w:hint="eastAsia" w:ascii="仿宋" w:hAnsi="仿宋" w:eastAsia="仿宋" w:cs="仿宋"/>
                <w:sz w:val="22"/>
                <w:highlight w:val="none"/>
                <w:lang w:val="en-US" w:eastAsia="zh-CN"/>
              </w:rPr>
              <w:t>5</w:t>
            </w:r>
          </w:p>
        </w:tc>
      </w:tr>
      <w:tr>
        <w:tblPrEx>
          <w:tblCellMar>
            <w:top w:w="0" w:type="dxa"/>
            <w:left w:w="108" w:type="dxa"/>
            <w:bottom w:w="0" w:type="dxa"/>
            <w:right w:w="108" w:type="dxa"/>
          </w:tblCellMar>
        </w:tblPrEx>
        <w:trPr>
          <w:trHeight w:val="922" w:hRule="atLeast"/>
        </w:trPr>
        <w:tc>
          <w:tcPr>
            <w:tcW w:w="1695" w:type="dxa"/>
            <w:vMerge w:val="continue"/>
            <w:tcBorders>
              <w:left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项目进度方案</w:t>
            </w:r>
          </w:p>
        </w:tc>
        <w:tc>
          <w:tcPr>
            <w:tcW w:w="5740" w:type="dxa"/>
            <w:tcBorders>
              <w:top w:val="single" w:color="000000" w:sz="4" w:space="0"/>
              <w:left w:val="single" w:color="000000" w:sz="4" w:space="0"/>
              <w:bottom w:val="single" w:color="000000" w:sz="4" w:space="0"/>
              <w:right w:val="single" w:color="000000" w:sz="4" w:space="0"/>
            </w:tcBorders>
            <w:noWrap w:val="0"/>
            <w:vAlign w:val="center"/>
          </w:tcPr>
          <w:p>
            <w:pPr>
              <w:rPr>
                <w:rFonts w:ascii="仿宋" w:hAnsi="仿宋" w:eastAsia="仿宋" w:cs="仿宋"/>
                <w:sz w:val="22"/>
                <w:highlight w:val="none"/>
              </w:rPr>
            </w:pPr>
            <w:r>
              <w:rPr>
                <w:rFonts w:hint="eastAsia" w:ascii="仿宋" w:hAnsi="仿宋" w:eastAsia="仿宋" w:cs="仿宋"/>
                <w:sz w:val="22"/>
                <w:highlight w:val="none"/>
              </w:rPr>
              <w:t>评审内容：项目进度方案</w:t>
            </w:r>
          </w:p>
          <w:p>
            <w:pPr>
              <w:rPr>
                <w:rFonts w:ascii="仿宋" w:hAnsi="仿宋" w:eastAsia="仿宋" w:cs="仿宋"/>
                <w:sz w:val="22"/>
                <w:highlight w:val="none"/>
              </w:rPr>
            </w:pPr>
            <w:r>
              <w:rPr>
                <w:rFonts w:hint="eastAsia" w:ascii="仿宋" w:hAnsi="仿宋" w:eastAsia="仿宋" w:cs="仿宋"/>
                <w:sz w:val="22"/>
                <w:highlight w:val="none"/>
              </w:rPr>
              <w:t>根据</w:t>
            </w:r>
            <w:r>
              <w:rPr>
                <w:rFonts w:hint="eastAsia" w:ascii="仿宋" w:hAnsi="仿宋" w:eastAsia="仿宋" w:cs="仿宋"/>
                <w:sz w:val="22"/>
                <w:highlight w:val="none"/>
                <w:lang w:eastAsia="zh-CN"/>
              </w:rPr>
              <w:t>运营商</w:t>
            </w:r>
            <w:r>
              <w:rPr>
                <w:rFonts w:hint="eastAsia" w:ascii="仿宋" w:hAnsi="仿宋" w:eastAsia="仿宋" w:cs="仿宋"/>
                <w:sz w:val="22"/>
                <w:highlight w:val="none"/>
              </w:rPr>
              <w:t>提供的项目进度方案的制定内容打分：</w:t>
            </w:r>
          </w:p>
          <w:p>
            <w:pPr>
              <w:rPr>
                <w:rFonts w:ascii="仿宋" w:hAnsi="仿宋" w:eastAsia="仿宋" w:cs="仿宋"/>
                <w:sz w:val="22"/>
                <w:highlight w:val="none"/>
              </w:rPr>
            </w:pPr>
            <w:r>
              <w:rPr>
                <w:rFonts w:hint="eastAsia" w:ascii="仿宋" w:hAnsi="仿宋" w:eastAsia="仿宋" w:cs="仿宋"/>
                <w:sz w:val="22"/>
                <w:highlight w:val="none"/>
              </w:rPr>
              <w:t>包括项目进度</w:t>
            </w:r>
            <w:r>
              <w:rPr>
                <w:rFonts w:hint="eastAsia" w:ascii="仿宋" w:hAnsi="仿宋" w:eastAsia="仿宋" w:cs="仿宋"/>
                <w:sz w:val="22"/>
                <w:highlight w:val="none"/>
                <w:lang w:eastAsia="zh-CN"/>
              </w:rPr>
              <w:t>各</w:t>
            </w:r>
            <w:r>
              <w:rPr>
                <w:rFonts w:hint="eastAsia" w:ascii="仿宋" w:hAnsi="仿宋" w:eastAsia="仿宋" w:cs="仿宋"/>
                <w:sz w:val="22"/>
                <w:highlight w:val="none"/>
              </w:rPr>
              <w:t>个环节的时间周期，主要任务的工期及施工进度计划的，并且可操作性、科学性、针对性</w:t>
            </w:r>
            <w:r>
              <w:rPr>
                <w:rFonts w:hint="eastAsia" w:ascii="仿宋" w:hAnsi="仿宋" w:eastAsia="仿宋" w:cs="仿宋"/>
                <w:sz w:val="22"/>
                <w:highlight w:val="none"/>
                <w:lang w:eastAsia="zh-CN"/>
              </w:rPr>
              <w:t>强</w:t>
            </w:r>
            <w:r>
              <w:rPr>
                <w:rFonts w:hint="eastAsia" w:ascii="仿宋" w:hAnsi="仿宋" w:eastAsia="仿宋" w:cs="仿宋"/>
                <w:sz w:val="22"/>
                <w:highlight w:val="none"/>
              </w:rPr>
              <w:t>，得5分；</w:t>
            </w:r>
          </w:p>
          <w:p>
            <w:pPr>
              <w:rPr>
                <w:rFonts w:ascii="仿宋" w:hAnsi="仿宋" w:eastAsia="仿宋" w:cs="仿宋"/>
                <w:sz w:val="22"/>
                <w:highlight w:val="none"/>
              </w:rPr>
            </w:pPr>
            <w:r>
              <w:rPr>
                <w:rFonts w:hint="eastAsia" w:ascii="仿宋" w:hAnsi="仿宋" w:eastAsia="仿宋" w:cs="仿宋"/>
                <w:sz w:val="22"/>
                <w:highlight w:val="none"/>
              </w:rPr>
              <w:t>包括项目进度不同环节的时间周期，但不够完整，主要任务的工期及施工进度计划，可操作性、科学性、针对性一般，得3分；</w:t>
            </w:r>
          </w:p>
          <w:p>
            <w:pPr>
              <w:rPr>
                <w:rFonts w:ascii="仿宋" w:hAnsi="仿宋" w:eastAsia="仿宋" w:cs="仿宋"/>
                <w:sz w:val="22"/>
                <w:highlight w:val="none"/>
              </w:rPr>
            </w:pPr>
            <w:r>
              <w:rPr>
                <w:rFonts w:hint="eastAsia" w:ascii="仿宋" w:hAnsi="仿宋" w:eastAsia="仿宋" w:cs="仿宋"/>
                <w:sz w:val="22"/>
                <w:highlight w:val="none"/>
              </w:rPr>
              <w:t>项目进度环节不完够整，工期及施工进度计划的可操作性、科学性、针对性较差，得1分；</w:t>
            </w:r>
          </w:p>
          <w:p>
            <w:pPr>
              <w:rPr>
                <w:rFonts w:ascii="仿宋" w:hAnsi="仿宋" w:eastAsia="仿宋" w:cs="仿宋"/>
                <w:sz w:val="22"/>
                <w:highlight w:val="none"/>
              </w:rPr>
            </w:pPr>
            <w:r>
              <w:rPr>
                <w:rFonts w:hint="eastAsia" w:ascii="仿宋" w:hAnsi="仿宋" w:eastAsia="仿宋" w:cs="仿宋"/>
                <w:sz w:val="22"/>
                <w:highlight w:val="none"/>
              </w:rPr>
              <w:t>不提供不得分。</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5</w:t>
            </w:r>
          </w:p>
        </w:tc>
      </w:tr>
      <w:tr>
        <w:tblPrEx>
          <w:tblCellMar>
            <w:top w:w="0" w:type="dxa"/>
            <w:left w:w="108" w:type="dxa"/>
            <w:bottom w:w="0" w:type="dxa"/>
            <w:right w:w="108" w:type="dxa"/>
          </w:tblCellMar>
        </w:tblPrEx>
        <w:trPr>
          <w:trHeight w:val="3250" w:hRule="atLeast"/>
        </w:trPr>
        <w:tc>
          <w:tcPr>
            <w:tcW w:w="1695" w:type="dxa"/>
            <w:vMerge w:val="continue"/>
            <w:tcBorders>
              <w:left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运营方案制定</w:t>
            </w:r>
          </w:p>
        </w:tc>
        <w:tc>
          <w:tcPr>
            <w:tcW w:w="5740" w:type="dxa"/>
            <w:tcBorders>
              <w:top w:val="single" w:color="000000" w:sz="4" w:space="0"/>
              <w:left w:val="single" w:color="000000" w:sz="4" w:space="0"/>
              <w:right w:val="single" w:color="000000" w:sz="4" w:space="0"/>
            </w:tcBorders>
            <w:noWrap w:val="0"/>
            <w:vAlign w:val="center"/>
          </w:tcPr>
          <w:p>
            <w:pPr>
              <w:spacing w:line="276" w:lineRule="auto"/>
              <w:rPr>
                <w:rFonts w:ascii="仿宋" w:hAnsi="仿宋" w:eastAsia="仿宋" w:cs="仿宋"/>
                <w:sz w:val="22"/>
                <w:highlight w:val="none"/>
              </w:rPr>
            </w:pPr>
            <w:r>
              <w:rPr>
                <w:rFonts w:hint="eastAsia" w:ascii="仿宋" w:hAnsi="仿宋" w:eastAsia="仿宋" w:cs="仿宋"/>
                <w:sz w:val="22"/>
                <w:highlight w:val="none"/>
              </w:rPr>
              <w:t>评审内容：运营方案的制定</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横向比较各运营商制定的</w:t>
            </w:r>
            <w:r>
              <w:rPr>
                <w:rFonts w:hint="eastAsia" w:ascii="仿宋" w:hAnsi="仿宋" w:eastAsia="仿宋" w:cs="仿宋"/>
                <w:sz w:val="22"/>
                <w:highlight w:val="none"/>
              </w:rPr>
              <w:t>方案</w:t>
            </w:r>
            <w:r>
              <w:rPr>
                <w:rFonts w:hint="eastAsia" w:ascii="仿宋" w:hAnsi="仿宋" w:eastAsia="仿宋" w:cs="仿宋"/>
                <w:sz w:val="22"/>
                <w:highlight w:val="none"/>
                <w:lang w:eastAsia="zh-CN"/>
              </w:rPr>
              <w:t>，其中</w:t>
            </w:r>
            <w:r>
              <w:rPr>
                <w:rFonts w:hint="eastAsia" w:ascii="仿宋" w:hAnsi="仿宋" w:eastAsia="仿宋" w:cs="仿宋"/>
                <w:sz w:val="22"/>
                <w:highlight w:val="none"/>
              </w:rPr>
              <w:t>：</w:t>
            </w:r>
          </w:p>
          <w:p>
            <w:pPr>
              <w:spacing w:line="276" w:lineRule="auto"/>
              <w:rPr>
                <w:rFonts w:ascii="仿宋" w:hAnsi="仿宋" w:eastAsia="仿宋" w:cs="仿宋"/>
                <w:sz w:val="22"/>
                <w:highlight w:val="none"/>
              </w:rPr>
            </w:pPr>
            <w:r>
              <w:rPr>
                <w:rFonts w:hint="eastAsia" w:ascii="仿宋" w:hAnsi="仿宋" w:eastAsia="仿宋" w:cs="仿宋"/>
                <w:sz w:val="22"/>
                <w:highlight w:val="none"/>
              </w:rPr>
              <w:t>详细描述运营方案，充分了解本次项目内容，设计规范合理、可操作性强的，得5分；</w:t>
            </w:r>
          </w:p>
          <w:p>
            <w:pPr>
              <w:spacing w:line="276" w:lineRule="auto"/>
              <w:rPr>
                <w:rFonts w:ascii="仿宋" w:hAnsi="仿宋" w:eastAsia="仿宋" w:cs="仿宋"/>
                <w:sz w:val="22"/>
                <w:highlight w:val="none"/>
              </w:rPr>
            </w:pPr>
            <w:r>
              <w:rPr>
                <w:rFonts w:hint="eastAsia" w:ascii="仿宋" w:hAnsi="仿宋" w:eastAsia="仿宋" w:cs="仿宋"/>
                <w:sz w:val="22"/>
                <w:highlight w:val="none"/>
              </w:rPr>
              <w:t>对项目内容有一定了解，规范性、设计合理、设计完整性</w:t>
            </w:r>
            <w:r>
              <w:rPr>
                <w:rFonts w:hint="eastAsia" w:ascii="仿宋" w:hAnsi="仿宋" w:eastAsia="仿宋" w:cs="仿宋"/>
                <w:sz w:val="22"/>
                <w:highlight w:val="none"/>
                <w:lang w:eastAsia="zh-CN"/>
              </w:rPr>
              <w:t>较全面</w:t>
            </w:r>
            <w:r>
              <w:rPr>
                <w:rFonts w:hint="eastAsia" w:ascii="仿宋" w:hAnsi="仿宋" w:eastAsia="仿宋" w:cs="仿宋"/>
                <w:sz w:val="22"/>
                <w:highlight w:val="none"/>
              </w:rPr>
              <w:t>，可操作性</w:t>
            </w:r>
            <w:r>
              <w:rPr>
                <w:rFonts w:hint="eastAsia" w:ascii="仿宋" w:hAnsi="仿宋" w:eastAsia="仿宋" w:cs="仿宋"/>
                <w:sz w:val="22"/>
                <w:highlight w:val="none"/>
                <w:lang w:eastAsia="zh-CN"/>
              </w:rPr>
              <w:t>较强</w:t>
            </w:r>
            <w:r>
              <w:rPr>
                <w:rFonts w:hint="eastAsia" w:ascii="仿宋" w:hAnsi="仿宋" w:eastAsia="仿宋" w:cs="仿宋"/>
                <w:sz w:val="22"/>
                <w:highlight w:val="none"/>
              </w:rPr>
              <w:t>的，得3分；</w:t>
            </w:r>
          </w:p>
          <w:p>
            <w:pPr>
              <w:spacing w:line="276" w:lineRule="auto"/>
              <w:rPr>
                <w:rFonts w:ascii="仿宋" w:hAnsi="仿宋" w:eastAsia="仿宋" w:cs="仿宋"/>
                <w:sz w:val="22"/>
                <w:highlight w:val="none"/>
              </w:rPr>
            </w:pPr>
            <w:r>
              <w:rPr>
                <w:rFonts w:hint="eastAsia" w:ascii="仿宋" w:hAnsi="仿宋" w:eastAsia="仿宋" w:cs="仿宋"/>
                <w:sz w:val="22"/>
                <w:highlight w:val="none"/>
              </w:rPr>
              <w:t>未能充分了解本次项目内容，规范性、设计合理、设计完整性较差，可操作</w:t>
            </w:r>
            <w:r>
              <w:rPr>
                <w:rFonts w:hint="eastAsia" w:ascii="仿宋" w:hAnsi="仿宋" w:eastAsia="仿宋" w:cs="仿宋"/>
                <w:sz w:val="22"/>
                <w:highlight w:val="none"/>
                <w:lang w:eastAsia="zh-CN"/>
              </w:rPr>
              <w:t>较</w:t>
            </w:r>
            <w:r>
              <w:rPr>
                <w:rFonts w:hint="eastAsia" w:ascii="仿宋" w:hAnsi="仿宋" w:eastAsia="仿宋" w:cs="仿宋"/>
                <w:sz w:val="22"/>
                <w:highlight w:val="none"/>
              </w:rPr>
              <w:t>差的，得1分；</w:t>
            </w:r>
          </w:p>
          <w:p>
            <w:pPr>
              <w:spacing w:line="276" w:lineRule="auto"/>
              <w:rPr>
                <w:rFonts w:ascii="仿宋" w:hAnsi="仿宋" w:eastAsia="仿宋" w:cs="仿宋"/>
                <w:sz w:val="22"/>
                <w:highlight w:val="none"/>
              </w:rPr>
            </w:pPr>
            <w:r>
              <w:rPr>
                <w:rFonts w:hint="eastAsia" w:ascii="仿宋" w:hAnsi="仿宋" w:eastAsia="仿宋" w:cs="仿宋"/>
                <w:sz w:val="22"/>
                <w:highlight w:val="none"/>
              </w:rPr>
              <w:t>不提供不得分。</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5</w:t>
            </w:r>
          </w:p>
        </w:tc>
      </w:tr>
      <w:tr>
        <w:tblPrEx>
          <w:tblCellMar>
            <w:top w:w="0" w:type="dxa"/>
            <w:left w:w="108" w:type="dxa"/>
            <w:bottom w:w="0" w:type="dxa"/>
            <w:right w:w="108" w:type="dxa"/>
          </w:tblCellMar>
        </w:tblPrEx>
        <w:trPr>
          <w:trHeight w:val="1864" w:hRule="atLeast"/>
        </w:trPr>
        <w:tc>
          <w:tcPr>
            <w:tcW w:w="1695" w:type="dxa"/>
            <w:vMerge w:val="continue"/>
            <w:tcBorders>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sz w:val="24"/>
                <w:szCs w:val="24"/>
                <w:highlight w:val="none"/>
              </w:rPr>
              <w:t>售后支持与保障</w:t>
            </w:r>
          </w:p>
        </w:tc>
        <w:tc>
          <w:tcPr>
            <w:tcW w:w="5740" w:type="dxa"/>
            <w:tcBorders>
              <w:top w:val="single" w:color="000000" w:sz="4" w:space="0"/>
              <w:left w:val="single" w:color="000000" w:sz="4" w:space="0"/>
              <w:right w:val="single" w:color="000000" w:sz="4" w:space="0"/>
            </w:tcBorders>
            <w:noWrap w:val="0"/>
            <w:vAlign w:val="center"/>
          </w:tcPr>
          <w:p>
            <w:pPr>
              <w:spacing w:line="276" w:lineRule="auto"/>
              <w:rPr>
                <w:rFonts w:ascii="仿宋" w:hAnsi="仿宋" w:eastAsia="仿宋" w:cs="仿宋"/>
                <w:sz w:val="22"/>
                <w:highlight w:val="none"/>
              </w:rPr>
            </w:pPr>
            <w:r>
              <w:rPr>
                <w:rFonts w:hint="eastAsia" w:ascii="仿宋" w:hAnsi="仿宋" w:eastAsia="仿宋" w:cs="仿宋"/>
                <w:sz w:val="22"/>
                <w:highlight w:val="none"/>
              </w:rPr>
              <w:t>评审内容：售后支持与保障</w:t>
            </w:r>
          </w:p>
          <w:p>
            <w:pPr>
              <w:spacing w:line="276" w:lineRule="auto"/>
              <w:rPr>
                <w:rFonts w:hint="eastAsia" w:ascii="仿宋" w:hAnsi="仿宋" w:eastAsia="仿宋" w:cs="仿宋"/>
                <w:sz w:val="22"/>
                <w:highlight w:val="none"/>
              </w:rPr>
            </w:pPr>
            <w:r>
              <w:rPr>
                <w:rFonts w:hint="eastAsia" w:ascii="仿宋" w:hAnsi="仿宋" w:eastAsia="仿宋" w:cs="仿宋"/>
                <w:sz w:val="22"/>
                <w:highlight w:val="none"/>
                <w:lang w:eastAsia="zh-CN"/>
              </w:rPr>
              <w:t>横向比较各运营商制定</w:t>
            </w:r>
            <w:r>
              <w:rPr>
                <w:rFonts w:hint="eastAsia" w:ascii="仿宋" w:hAnsi="仿宋" w:eastAsia="仿宋" w:cs="仿宋"/>
                <w:sz w:val="22"/>
                <w:highlight w:val="none"/>
              </w:rPr>
              <w:t>售后支持与保障措施的制定内容：</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提供的售后支持与保障措施全面、具体的，得5分；</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提供的售后支持与保障措施较全面的，</w:t>
            </w:r>
            <w:r>
              <w:rPr>
                <w:rFonts w:hint="eastAsia" w:ascii="仿宋" w:hAnsi="仿宋" w:eastAsia="仿宋" w:cs="仿宋"/>
                <w:sz w:val="22"/>
                <w:highlight w:val="none"/>
                <w:lang w:eastAsia="zh-CN"/>
              </w:rPr>
              <w:t>需补充内容不多的，</w:t>
            </w:r>
            <w:r>
              <w:rPr>
                <w:rFonts w:hint="eastAsia" w:ascii="仿宋" w:hAnsi="仿宋" w:eastAsia="仿宋" w:cs="仿宋"/>
                <w:sz w:val="22"/>
                <w:highlight w:val="none"/>
              </w:rPr>
              <w:t>得3分；</w:t>
            </w:r>
          </w:p>
          <w:p>
            <w:pPr>
              <w:spacing w:line="276" w:lineRule="auto"/>
              <w:rPr>
                <w:rFonts w:ascii="仿宋" w:hAnsi="仿宋" w:eastAsia="仿宋" w:cs="仿宋"/>
                <w:sz w:val="22"/>
                <w:highlight w:val="none"/>
              </w:rPr>
            </w:pPr>
            <w:r>
              <w:rPr>
                <w:rFonts w:hint="eastAsia" w:ascii="仿宋" w:hAnsi="仿宋" w:eastAsia="仿宋" w:cs="仿宋"/>
                <w:sz w:val="22"/>
                <w:highlight w:val="none"/>
                <w:lang w:eastAsia="zh-CN"/>
              </w:rPr>
              <w:t>运营商</w:t>
            </w:r>
            <w:r>
              <w:rPr>
                <w:rFonts w:hint="eastAsia" w:ascii="仿宋" w:hAnsi="仿宋" w:eastAsia="仿宋" w:cs="仿宋"/>
                <w:sz w:val="22"/>
                <w:highlight w:val="none"/>
              </w:rPr>
              <w:t>提供的售后支持与保障措施不全的，</w:t>
            </w:r>
            <w:r>
              <w:rPr>
                <w:rFonts w:hint="eastAsia" w:ascii="仿宋" w:hAnsi="仿宋" w:eastAsia="仿宋" w:cs="仿宋"/>
                <w:sz w:val="22"/>
                <w:highlight w:val="none"/>
                <w:lang w:eastAsia="zh-CN"/>
              </w:rPr>
              <w:t>需补充内容较多的，</w:t>
            </w:r>
            <w:r>
              <w:rPr>
                <w:rFonts w:hint="eastAsia" w:ascii="仿宋" w:hAnsi="仿宋" w:eastAsia="仿宋" w:cs="仿宋"/>
                <w:sz w:val="22"/>
                <w:highlight w:val="none"/>
              </w:rPr>
              <w:t>得1分；</w:t>
            </w:r>
          </w:p>
          <w:p>
            <w:pPr>
              <w:spacing w:line="276" w:lineRule="auto"/>
              <w:rPr>
                <w:rFonts w:ascii="仿宋" w:hAnsi="仿宋" w:eastAsia="仿宋" w:cs="仿宋"/>
                <w:sz w:val="22"/>
                <w:highlight w:val="none"/>
              </w:rPr>
            </w:pPr>
            <w:r>
              <w:rPr>
                <w:rFonts w:hint="eastAsia" w:ascii="仿宋" w:hAnsi="仿宋" w:eastAsia="仿宋" w:cs="仿宋"/>
                <w:sz w:val="22"/>
                <w:highlight w:val="none"/>
              </w:rPr>
              <w:t>不提供不得分。</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5</w:t>
            </w:r>
          </w:p>
        </w:tc>
      </w:tr>
      <w:tr>
        <w:tblPrEx>
          <w:tblCellMar>
            <w:top w:w="0" w:type="dxa"/>
            <w:left w:w="108" w:type="dxa"/>
            <w:bottom w:w="0" w:type="dxa"/>
            <w:right w:w="108" w:type="dxa"/>
          </w:tblCellMar>
        </w:tblPrEx>
        <w:trPr>
          <w:trHeight w:val="506" w:hRule="atLeast"/>
        </w:trPr>
        <w:tc>
          <w:tcPr>
            <w:tcW w:w="169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用户充电服务费价格评分</w:t>
            </w:r>
          </w:p>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（5分）</w:t>
            </w:r>
          </w:p>
        </w:tc>
        <w:tc>
          <w:tcPr>
            <w:tcW w:w="68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hint="eastAsia" w:ascii="仿宋" w:hAnsi="仿宋" w:eastAsia="仿宋" w:cs="仿宋"/>
                <w:sz w:val="22"/>
                <w:highlight w:val="none"/>
              </w:rPr>
            </w:pPr>
            <w:r>
              <w:rPr>
                <w:rFonts w:hint="eastAsia" w:ascii="仿宋" w:hAnsi="仿宋" w:eastAsia="仿宋" w:cs="仿宋"/>
                <w:sz w:val="22"/>
                <w:highlight w:val="none"/>
              </w:rPr>
              <w:t>由于目前多数运营商按充电不同功率区间收费的，本次报价采用目前车辆数占比区间最多的功率区间</w:t>
            </w:r>
            <w:r>
              <w:rPr>
                <w:rFonts w:hint="eastAsia" w:ascii="仿宋" w:hAnsi="仿宋" w:eastAsia="仿宋" w:cs="仿宋"/>
                <w:sz w:val="22"/>
                <w:highlight w:val="none"/>
                <w:lang w:eastAsia="zh-CN"/>
              </w:rPr>
              <w:t>（</w:t>
            </w:r>
            <w:r>
              <w:rPr>
                <w:rFonts w:hint="eastAsia" w:cs="宋体"/>
                <w:color w:val="000000"/>
                <w:kern w:val="0"/>
                <w:sz w:val="22"/>
                <w:highlight w:val="none"/>
              </w:rPr>
              <w:t>150W＜车辆功率≤200W</w:t>
            </w:r>
            <w:r>
              <w:rPr>
                <w:rFonts w:hint="eastAsia" w:ascii="仿宋" w:hAnsi="仿宋" w:eastAsia="仿宋" w:cs="仿宋"/>
                <w:sz w:val="22"/>
                <w:highlight w:val="none"/>
                <w:lang w:eastAsia="zh-CN"/>
              </w:rPr>
              <w:t>）</w:t>
            </w:r>
            <w:r>
              <w:rPr>
                <w:rFonts w:hint="eastAsia" w:ascii="仿宋" w:hAnsi="仿宋" w:eastAsia="仿宋" w:cs="仿宋"/>
                <w:sz w:val="22"/>
                <w:highlight w:val="none"/>
              </w:rPr>
              <w:t>服务费价格计算；各有效投标人的评标价中，取最低价为评标基准价，其价格分为满分，本项最高得分5分；其他投标人的价格分统一按照下列公式计算：价格评分=（评标基准价/有效投标价）×分值</w:t>
            </w:r>
            <w:r>
              <w:rPr>
                <w:rFonts w:hint="eastAsia" w:ascii="仿宋" w:hAnsi="仿宋" w:eastAsia="仿宋" w:cs="仿宋"/>
                <w:sz w:val="22"/>
                <w:highlight w:val="none"/>
                <w:lang w:eastAsia="zh-CN"/>
              </w:rPr>
              <w:t>。</w:t>
            </w:r>
            <w:r>
              <w:rPr>
                <w:rFonts w:hint="eastAsia" w:ascii="仿宋" w:hAnsi="仿宋" w:eastAsia="仿宋" w:cs="仿宋"/>
                <w:sz w:val="22"/>
                <w:highlight w:val="none"/>
              </w:rPr>
              <w:t>最高不超过0.5元/小时</w:t>
            </w:r>
            <w:r>
              <w:rPr>
                <w:rFonts w:ascii="仿宋" w:hAnsi="仿宋" w:eastAsia="仿宋" w:cs="仿宋"/>
                <w:sz w:val="22"/>
                <w:highlight w:val="none"/>
              </w:rPr>
              <w:t>。</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rPr>
              <w:t>5</w:t>
            </w:r>
          </w:p>
        </w:tc>
      </w:tr>
      <w:tr>
        <w:tblPrEx>
          <w:tblCellMar>
            <w:top w:w="0" w:type="dxa"/>
            <w:left w:w="108" w:type="dxa"/>
            <w:bottom w:w="0" w:type="dxa"/>
            <w:right w:w="108" w:type="dxa"/>
          </w:tblCellMar>
        </w:tblPrEx>
        <w:trPr>
          <w:trHeight w:val="1440" w:hRule="atLeast"/>
        </w:trPr>
        <w:tc>
          <w:tcPr>
            <w:tcW w:w="169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ascii="仿宋" w:hAnsi="仿宋" w:eastAsia="仿宋" w:cs="仿宋"/>
                <w:sz w:val="22"/>
                <w:highlight w:val="none"/>
              </w:rPr>
            </w:pPr>
            <w:r>
              <w:rPr>
                <w:rFonts w:hint="eastAsia" w:ascii="仿宋" w:hAnsi="仿宋" w:eastAsia="仿宋" w:cs="仿宋"/>
                <w:sz w:val="22"/>
                <w:highlight w:val="none"/>
                <w:lang w:eastAsia="zh-CN"/>
              </w:rPr>
              <w:t>经营权收益</w:t>
            </w:r>
            <w:r>
              <w:rPr>
                <w:rFonts w:hint="eastAsia" w:ascii="仿宋" w:hAnsi="仿宋" w:eastAsia="仿宋" w:cs="仿宋"/>
                <w:sz w:val="22"/>
                <w:highlight w:val="none"/>
              </w:rPr>
              <w:t>评分</w:t>
            </w:r>
          </w:p>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（5分）</w:t>
            </w:r>
          </w:p>
        </w:tc>
        <w:tc>
          <w:tcPr>
            <w:tcW w:w="68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76" w:lineRule="auto"/>
              <w:rPr>
                <w:rFonts w:ascii="仿宋" w:hAnsi="仿宋" w:eastAsia="仿宋" w:cs="仿宋"/>
                <w:sz w:val="22"/>
                <w:highlight w:val="none"/>
              </w:rPr>
            </w:pPr>
            <w:r>
              <w:rPr>
                <w:rFonts w:hint="eastAsia" w:ascii="仿宋" w:hAnsi="仿宋" w:eastAsia="仿宋" w:cs="仿宋"/>
                <w:sz w:val="22"/>
                <w:highlight w:val="none"/>
              </w:rPr>
              <w:t>各有效供应商的评标价中，取最高价为评标基准价，其价格分为满分，本项最高得分5分；其他供应商的价格分统一按照下列公式计算：价格评分=（有效投标价/评标基准价）×分值；（得分取小数点后两位）</w:t>
            </w:r>
          </w:p>
          <w:p>
            <w:pPr>
              <w:spacing w:line="276" w:lineRule="auto"/>
              <w:rPr>
                <w:rFonts w:hint="eastAsia" w:ascii="仿宋" w:hAnsi="仿宋" w:eastAsia="仿宋" w:cs="仿宋"/>
                <w:sz w:val="22"/>
                <w:highlight w:val="none"/>
              </w:rPr>
            </w:pPr>
            <w:r>
              <w:rPr>
                <w:rFonts w:hint="eastAsia" w:ascii="仿宋" w:hAnsi="仿宋" w:eastAsia="仿宋" w:cs="仿宋"/>
                <w:sz w:val="22"/>
                <w:highlight w:val="none"/>
                <w:lang w:eastAsia="zh-CN"/>
              </w:rPr>
              <w:t>经营权收益</w:t>
            </w:r>
            <w:r>
              <w:rPr>
                <w:rFonts w:hint="eastAsia" w:ascii="仿宋" w:hAnsi="仿宋" w:eastAsia="仿宋" w:cs="仿宋"/>
                <w:sz w:val="22"/>
                <w:highlight w:val="none"/>
              </w:rPr>
              <w:t>每月每充电端口不低于1.5元，最高每月每充电端口不超过3元。</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auto"/>
              <w:jc w:val="center"/>
              <w:rPr>
                <w:rFonts w:hint="eastAsia" w:ascii="仿宋" w:hAnsi="仿宋" w:eastAsia="仿宋" w:cs="仿宋"/>
                <w:sz w:val="22"/>
                <w:highlight w:val="none"/>
              </w:rPr>
            </w:pPr>
            <w:r>
              <w:rPr>
                <w:rFonts w:hint="eastAsia" w:ascii="仿宋" w:hAnsi="仿宋" w:eastAsia="仿宋" w:cs="仿宋"/>
                <w:sz w:val="22"/>
                <w:highlight w:val="none"/>
              </w:rPr>
              <w:t>5</w:t>
            </w:r>
          </w:p>
        </w:tc>
      </w:tr>
    </w:tbl>
    <w:p>
      <w:pPr>
        <w:rPr>
          <w:rFonts w:hint="eastAsia"/>
          <w:highlight w:val="none"/>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ordia New">
    <w:altName w:val="Noto Sans Thai"/>
    <w:panose1 w:val="020B0304020202020204"/>
    <w:charset w:val="00"/>
    <w:family w:val="roman"/>
    <w:pitch w:val="default"/>
    <w:sig w:usb0="00000000" w:usb1="00000000" w:usb2="00000000" w:usb3="00000000" w:csb0="00010000" w:csb1="00000000"/>
  </w:font>
  <w:font w:name="Noto Sans Thai">
    <w:panose1 w:val="020B0502040504020204"/>
    <w:charset w:val="00"/>
    <w:family w:val="auto"/>
    <w:pitch w:val="default"/>
    <w:sig w:usb0="81000063" w:usb1="00002000" w:usb2="00000000" w:usb3="00000000" w:csb0="00010000" w:csb1="00000000"/>
  </w:font>
  <w:font w:name="Noto Sans Mono CJK HK">
    <w:altName w:val="宋体"/>
    <w:panose1 w:val="00000000000000000000"/>
    <w:charset w:val="00"/>
    <w:family w:val="swiss"/>
    <w:pitch w:val="default"/>
    <w:sig w:usb0="00000000" w:usb1="00000000" w:usb2="00000000" w:usb3="00000000" w:csb0="00040001" w:csb1="00000000"/>
  </w:font>
  <w:font w:name="仿宋_GB2312">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仿宋">
    <w:altName w:val="宋体"/>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宋体"/>
    <w:panose1 w:val="02010600030101010101"/>
    <w:charset w:val="00"/>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7EC22"/>
    <w:rsid w:val="0000191B"/>
    <w:rsid w:val="00005099"/>
    <w:rsid w:val="000316D6"/>
    <w:rsid w:val="00032646"/>
    <w:rsid w:val="0004091D"/>
    <w:rsid w:val="00042207"/>
    <w:rsid w:val="00045B81"/>
    <w:rsid w:val="00045FA7"/>
    <w:rsid w:val="0005154C"/>
    <w:rsid w:val="000544B1"/>
    <w:rsid w:val="00063E8E"/>
    <w:rsid w:val="00071EE9"/>
    <w:rsid w:val="00072AAF"/>
    <w:rsid w:val="000C10D3"/>
    <w:rsid w:val="000C32A4"/>
    <w:rsid w:val="000D1E1D"/>
    <w:rsid w:val="000D2495"/>
    <w:rsid w:val="00102749"/>
    <w:rsid w:val="00104E2F"/>
    <w:rsid w:val="00105E9B"/>
    <w:rsid w:val="00107D87"/>
    <w:rsid w:val="00125C16"/>
    <w:rsid w:val="00155B6E"/>
    <w:rsid w:val="001F4F3A"/>
    <w:rsid w:val="002308DB"/>
    <w:rsid w:val="00244036"/>
    <w:rsid w:val="00245752"/>
    <w:rsid w:val="0024718B"/>
    <w:rsid w:val="002477F5"/>
    <w:rsid w:val="00263274"/>
    <w:rsid w:val="00271852"/>
    <w:rsid w:val="00282D4A"/>
    <w:rsid w:val="00285CC9"/>
    <w:rsid w:val="00286FFF"/>
    <w:rsid w:val="002B2B0B"/>
    <w:rsid w:val="002C604B"/>
    <w:rsid w:val="002F7A8A"/>
    <w:rsid w:val="00306542"/>
    <w:rsid w:val="00311466"/>
    <w:rsid w:val="00323607"/>
    <w:rsid w:val="00342F46"/>
    <w:rsid w:val="003517E1"/>
    <w:rsid w:val="003538F5"/>
    <w:rsid w:val="00364CC0"/>
    <w:rsid w:val="00371150"/>
    <w:rsid w:val="003729F2"/>
    <w:rsid w:val="0039396C"/>
    <w:rsid w:val="003B5AAD"/>
    <w:rsid w:val="003E524E"/>
    <w:rsid w:val="003F1ADB"/>
    <w:rsid w:val="003F5DEC"/>
    <w:rsid w:val="00430041"/>
    <w:rsid w:val="00463CAE"/>
    <w:rsid w:val="00473942"/>
    <w:rsid w:val="004954BC"/>
    <w:rsid w:val="004B12FD"/>
    <w:rsid w:val="004C07C5"/>
    <w:rsid w:val="004E64D5"/>
    <w:rsid w:val="004F3EF3"/>
    <w:rsid w:val="005007B1"/>
    <w:rsid w:val="00500DC1"/>
    <w:rsid w:val="00503CB9"/>
    <w:rsid w:val="00522A55"/>
    <w:rsid w:val="00557238"/>
    <w:rsid w:val="00566CCA"/>
    <w:rsid w:val="005725E4"/>
    <w:rsid w:val="00587C32"/>
    <w:rsid w:val="005B61E3"/>
    <w:rsid w:val="005C4762"/>
    <w:rsid w:val="005D0FD0"/>
    <w:rsid w:val="005E73DE"/>
    <w:rsid w:val="00604C82"/>
    <w:rsid w:val="00615874"/>
    <w:rsid w:val="00644A81"/>
    <w:rsid w:val="006563B8"/>
    <w:rsid w:val="00656F12"/>
    <w:rsid w:val="00681222"/>
    <w:rsid w:val="00684755"/>
    <w:rsid w:val="00691A84"/>
    <w:rsid w:val="00693A49"/>
    <w:rsid w:val="00694A91"/>
    <w:rsid w:val="006C666F"/>
    <w:rsid w:val="006D03CF"/>
    <w:rsid w:val="006F227C"/>
    <w:rsid w:val="00702525"/>
    <w:rsid w:val="00703C5B"/>
    <w:rsid w:val="00706E8C"/>
    <w:rsid w:val="00724D2C"/>
    <w:rsid w:val="007320F5"/>
    <w:rsid w:val="007361D2"/>
    <w:rsid w:val="00765E55"/>
    <w:rsid w:val="0079572B"/>
    <w:rsid w:val="007A240F"/>
    <w:rsid w:val="007A55C0"/>
    <w:rsid w:val="007D214C"/>
    <w:rsid w:val="007D447E"/>
    <w:rsid w:val="007E0C85"/>
    <w:rsid w:val="00805AD3"/>
    <w:rsid w:val="00806683"/>
    <w:rsid w:val="00812B98"/>
    <w:rsid w:val="0083526B"/>
    <w:rsid w:val="00846496"/>
    <w:rsid w:val="008474F1"/>
    <w:rsid w:val="0089667D"/>
    <w:rsid w:val="0089686B"/>
    <w:rsid w:val="008A17C1"/>
    <w:rsid w:val="008A4311"/>
    <w:rsid w:val="008B1A95"/>
    <w:rsid w:val="008E4CFE"/>
    <w:rsid w:val="00935E96"/>
    <w:rsid w:val="00951495"/>
    <w:rsid w:val="009527B7"/>
    <w:rsid w:val="009601DA"/>
    <w:rsid w:val="009651EF"/>
    <w:rsid w:val="009C3E33"/>
    <w:rsid w:val="009E40DB"/>
    <w:rsid w:val="009E4E10"/>
    <w:rsid w:val="009F0BC7"/>
    <w:rsid w:val="00A079A8"/>
    <w:rsid w:val="00A64A8F"/>
    <w:rsid w:val="00A67546"/>
    <w:rsid w:val="00A858C7"/>
    <w:rsid w:val="00AA3CCF"/>
    <w:rsid w:val="00AA3DAB"/>
    <w:rsid w:val="00AA59D0"/>
    <w:rsid w:val="00AC3DF8"/>
    <w:rsid w:val="00AE6806"/>
    <w:rsid w:val="00AF539E"/>
    <w:rsid w:val="00AF7F8D"/>
    <w:rsid w:val="00B160B3"/>
    <w:rsid w:val="00B32950"/>
    <w:rsid w:val="00B659DA"/>
    <w:rsid w:val="00B717BB"/>
    <w:rsid w:val="00B75CFD"/>
    <w:rsid w:val="00B806D2"/>
    <w:rsid w:val="00BB36B0"/>
    <w:rsid w:val="00BB3C6C"/>
    <w:rsid w:val="00C41C72"/>
    <w:rsid w:val="00CB77F1"/>
    <w:rsid w:val="00CC6B63"/>
    <w:rsid w:val="00CD2D3A"/>
    <w:rsid w:val="00CE123D"/>
    <w:rsid w:val="00D03E2E"/>
    <w:rsid w:val="00D1483A"/>
    <w:rsid w:val="00D30C03"/>
    <w:rsid w:val="00D76C51"/>
    <w:rsid w:val="00D8423A"/>
    <w:rsid w:val="00D8659B"/>
    <w:rsid w:val="00DA128F"/>
    <w:rsid w:val="00DA28C7"/>
    <w:rsid w:val="00DA2C95"/>
    <w:rsid w:val="00DD11F0"/>
    <w:rsid w:val="00DD5FB6"/>
    <w:rsid w:val="00E047A5"/>
    <w:rsid w:val="00E15A86"/>
    <w:rsid w:val="00E45564"/>
    <w:rsid w:val="00E50C42"/>
    <w:rsid w:val="00E56BB5"/>
    <w:rsid w:val="00E62CB2"/>
    <w:rsid w:val="00E72219"/>
    <w:rsid w:val="00E84BDB"/>
    <w:rsid w:val="00E958D2"/>
    <w:rsid w:val="00EC002F"/>
    <w:rsid w:val="00EE41DF"/>
    <w:rsid w:val="00F22DBD"/>
    <w:rsid w:val="00F44BD3"/>
    <w:rsid w:val="00F45469"/>
    <w:rsid w:val="00F52277"/>
    <w:rsid w:val="00F706D3"/>
    <w:rsid w:val="00F84824"/>
    <w:rsid w:val="00F872DA"/>
    <w:rsid w:val="00FA573F"/>
    <w:rsid w:val="00FC409C"/>
    <w:rsid w:val="00FC7B4D"/>
    <w:rsid w:val="00FF0403"/>
    <w:rsid w:val="00FF5944"/>
    <w:rsid w:val="09277590"/>
    <w:rsid w:val="0BCFC648"/>
    <w:rsid w:val="0C7C4074"/>
    <w:rsid w:val="11701B7F"/>
    <w:rsid w:val="12B51BDE"/>
    <w:rsid w:val="1EE610E8"/>
    <w:rsid w:val="22BC6C12"/>
    <w:rsid w:val="24315977"/>
    <w:rsid w:val="35B3D158"/>
    <w:rsid w:val="37697DCF"/>
    <w:rsid w:val="37757D3A"/>
    <w:rsid w:val="3BAE2616"/>
    <w:rsid w:val="3C9B3F74"/>
    <w:rsid w:val="48230244"/>
    <w:rsid w:val="4C371778"/>
    <w:rsid w:val="56955C8B"/>
    <w:rsid w:val="58CB56FD"/>
    <w:rsid w:val="5D2F3B8A"/>
    <w:rsid w:val="5FE7A2FD"/>
    <w:rsid w:val="60263310"/>
    <w:rsid w:val="66C430F6"/>
    <w:rsid w:val="67BFF30A"/>
    <w:rsid w:val="67FFBD58"/>
    <w:rsid w:val="69D7EC22"/>
    <w:rsid w:val="6D8F6810"/>
    <w:rsid w:val="6E7AAD0C"/>
    <w:rsid w:val="6EDE3A71"/>
    <w:rsid w:val="6EF0BD06"/>
    <w:rsid w:val="6F9675AB"/>
    <w:rsid w:val="6FCBDADE"/>
    <w:rsid w:val="6FEF9ED1"/>
    <w:rsid w:val="6FFD77BE"/>
    <w:rsid w:val="73D1E859"/>
    <w:rsid w:val="77EF3083"/>
    <w:rsid w:val="77FD0B49"/>
    <w:rsid w:val="79375B0E"/>
    <w:rsid w:val="7C21228F"/>
    <w:rsid w:val="7D77C255"/>
    <w:rsid w:val="7E9FF97B"/>
    <w:rsid w:val="7ED21768"/>
    <w:rsid w:val="7EFC56B2"/>
    <w:rsid w:val="7FE53258"/>
    <w:rsid w:val="95974E0D"/>
    <w:rsid w:val="9FAC2D42"/>
    <w:rsid w:val="B9FB7A40"/>
    <w:rsid w:val="BFFF6EBF"/>
    <w:rsid w:val="CFFE16C6"/>
    <w:rsid w:val="CFFFF1B5"/>
    <w:rsid w:val="D3E89D09"/>
    <w:rsid w:val="D7EB3D5B"/>
    <w:rsid w:val="EDDB7279"/>
    <w:rsid w:val="EEF32E2E"/>
    <w:rsid w:val="EFF3B20C"/>
    <w:rsid w:val="F2D7A067"/>
    <w:rsid w:val="F6FF43E5"/>
    <w:rsid w:val="F8EFA53E"/>
    <w:rsid w:val="FB8F54A0"/>
    <w:rsid w:val="FCBDEABA"/>
    <w:rsid w:val="FF6D32ED"/>
    <w:rsid w:val="FF97A733"/>
    <w:rsid w:val="FFFF39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ordia New"/>
      <w:kern w:val="2"/>
      <w:sz w:val="21"/>
      <w:szCs w:val="24"/>
      <w:lang w:val="en-US" w:eastAsia="zh-CN" w:bidi="ar-SA"/>
    </w:rPr>
  </w:style>
  <w:style w:type="paragraph" w:styleId="2">
    <w:name w:val="heading 2"/>
    <w:basedOn w:val="1"/>
    <w:next w:val="1"/>
    <w:link w:val="9"/>
    <w:qFormat/>
    <w:uiPriority w:val="1"/>
    <w:pPr>
      <w:ind w:left="659"/>
      <w:outlineLvl w:val="1"/>
    </w:pPr>
    <w:rPr>
      <w:rFonts w:ascii="Noto Sans Mono CJK HK" w:hAnsi="Noto Sans Mono CJK HK" w:eastAsia="Noto Sans Mono CJK HK" w:cs="Noto Sans Mono CJK HK"/>
      <w:b/>
      <w:bCs/>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link w:val="10"/>
    <w:qFormat/>
    <w:uiPriority w:val="1"/>
    <w:pPr>
      <w:ind w:left="100"/>
    </w:pPr>
    <w:rPr>
      <w:rFonts w:ascii="Noto Sans Mono CJK HK" w:hAnsi="Noto Sans Mono CJK HK" w:eastAsia="Noto Sans Mono CJK HK" w:cs="Noto Sans Mono CJK HK"/>
      <w:sz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customStyle="1" w:styleId="9">
    <w:name w:val="标题 2 字符"/>
    <w:link w:val="2"/>
    <w:qFormat/>
    <w:uiPriority w:val="1"/>
    <w:rPr>
      <w:rFonts w:ascii="Noto Sans Mono CJK HK" w:hAnsi="Noto Sans Mono CJK HK" w:eastAsia="Noto Sans Mono CJK HK" w:cs="Noto Sans Mono CJK HK"/>
      <w:b/>
      <w:bCs/>
      <w:kern w:val="2"/>
      <w:sz w:val="24"/>
      <w:szCs w:val="24"/>
    </w:rPr>
  </w:style>
  <w:style w:type="character" w:customStyle="1" w:styleId="10">
    <w:name w:val="正文文本 字符"/>
    <w:link w:val="3"/>
    <w:qFormat/>
    <w:uiPriority w:val="1"/>
    <w:rPr>
      <w:rFonts w:ascii="Noto Sans Mono CJK HK" w:hAnsi="Noto Sans Mono CJK HK" w:eastAsia="Noto Sans Mono CJK HK" w:cs="Noto Sans Mono CJK HK"/>
      <w:kern w:val="2"/>
      <w:sz w:val="24"/>
      <w:szCs w:val="24"/>
    </w:rPr>
  </w:style>
  <w:style w:type="character" w:customStyle="1" w:styleId="11">
    <w:name w:val="页脚 字符"/>
    <w:link w:val="4"/>
    <w:qFormat/>
    <w:uiPriority w:val="0"/>
    <w:rPr>
      <w:rFonts w:cs="Cordia New"/>
      <w:kern w:val="2"/>
      <w:sz w:val="18"/>
      <w:szCs w:val="18"/>
    </w:rPr>
  </w:style>
  <w:style w:type="character" w:customStyle="1" w:styleId="12">
    <w:name w:val="页眉 字符"/>
    <w:link w:val="5"/>
    <w:qFormat/>
    <w:uiPriority w:val="0"/>
    <w:rPr>
      <w:rFonts w:cs="Cordia New"/>
      <w:kern w:val="2"/>
      <w:sz w:val="18"/>
      <w:szCs w:val="18"/>
    </w:rPr>
  </w:style>
  <w:style w:type="paragraph" w:customStyle="1" w:styleId="13">
    <w:name w:val="列出段落1"/>
    <w:basedOn w:val="1"/>
    <w:qFormat/>
    <w:uiPriority w:val="0"/>
    <w:pPr>
      <w:spacing w:line="360" w:lineRule="auto"/>
      <w:ind w:firstLine="420" w:firstLineChars="200"/>
    </w:pPr>
    <w:rPr>
      <w:rFonts w:ascii="Arial" w:hAnsi="Times New Roman" w:eastAsia="仿宋_GB2312" w:cs="Times New Roman"/>
      <w:kern w:val="0"/>
      <w:sz w:val="28"/>
      <w:szCs w:val="20"/>
    </w:rPr>
  </w:style>
  <w:style w:type="paragraph" w:styleId="14">
    <w:name w:val="List Paragraph"/>
    <w:basedOn w:val="1"/>
    <w:qFormat/>
    <w:uiPriority w:val="1"/>
    <w:pPr>
      <w:spacing w:before="60"/>
      <w:ind w:left="800" w:hanging="419"/>
    </w:pPr>
    <w:rPr>
      <w:rFonts w:ascii="Noto Sans Mono CJK HK" w:hAnsi="Noto Sans Mono CJK HK" w:eastAsia="Noto Sans Mono CJK HK" w:cs="Noto Sans Mono CJK H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6902</Words>
  <Characters>7151</Characters>
  <Lines>34</Lines>
  <Paragraphs>9</Paragraphs>
  <TotalTime>40</TotalTime>
  <ScaleCrop>false</ScaleCrop>
  <LinksUpToDate>false</LinksUpToDate>
  <CharactersWithSpaces>7166</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2025-03-20T00:45:00Z</dcterms:created>
  <dc:creator>greatwall</dc:creator>
  <cp:lastModifiedBy>uos</cp:lastModifiedBy>
  <cp:lastPrinted>2025-06-06T09:45:30Z</cp:lastPrinted>
  <dcterms:modified xsi:type="dcterms:W3CDTF">2025-06-06T09:46:35Z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2204BC341BEB6E36780824685DAA746D</vt:lpwstr>
  </property>
</Properties>
</file>