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方正黑体_GBK" w:cs="Times New Roman"/>
          <w:sz w:val="30"/>
          <w:szCs w:val="24"/>
          <w:lang w:val="en"/>
        </w:rPr>
      </w:pPr>
      <w:r>
        <w:rPr>
          <w:rFonts w:hint="default" w:ascii="Times New Roman" w:hAnsi="Times New Roman" w:eastAsia="方正黑体_GBK" w:cs="Times New Roman"/>
          <w:kern w:val="0"/>
          <w:sz w:val="32"/>
          <w:szCs w:val="32"/>
          <w:lang w:val="en"/>
        </w:rPr>
        <w:t>附件2</w:t>
      </w:r>
    </w:p>
    <w:p>
      <w:pPr>
        <w:jc w:val="center"/>
        <w:rPr>
          <w:rFonts w:hint="default" w:ascii="Times New Roman" w:hAnsi="Times New Roman" w:eastAsia="方正大标宋_GBK" w:cs="Times New Roman"/>
          <w:b w:val="0"/>
          <w:bCs/>
          <w:sz w:val="42"/>
          <w:szCs w:val="42"/>
          <w:lang w:val="en"/>
        </w:rPr>
      </w:pPr>
      <w:r>
        <w:rPr>
          <w:rFonts w:hint="default" w:ascii="Times New Roman" w:hAnsi="Times New Roman" w:eastAsia="方正大标宋_GBK" w:cs="Times New Roman"/>
          <w:b w:val="0"/>
          <w:bCs/>
          <w:sz w:val="42"/>
          <w:szCs w:val="42"/>
          <w:lang w:val="en-US" w:eastAsia="zh-CN"/>
        </w:rPr>
        <w:t>2025年排污许可管理技术服务项目招标</w:t>
      </w:r>
      <w:bookmarkStart w:id="0" w:name="_GoBack"/>
      <w:r>
        <w:rPr>
          <w:rFonts w:hint="default" w:ascii="Times New Roman" w:hAnsi="Times New Roman" w:eastAsia="方正大标宋_GBK" w:cs="Times New Roman"/>
          <w:b w:val="0"/>
          <w:bCs/>
          <w:sz w:val="42"/>
          <w:szCs w:val="42"/>
          <w:lang w:val="en"/>
        </w:rPr>
        <w:t>评分表</w:t>
      </w:r>
      <w:bookmarkEnd w:id="0"/>
    </w:p>
    <w:tbl>
      <w:tblPr>
        <w:tblStyle w:val="4"/>
        <w:tblW w:w="127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211"/>
        <w:gridCol w:w="8277"/>
        <w:gridCol w:w="1487"/>
        <w:gridCol w:w="11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673" w:type="dxa"/>
            <w:tcBorders>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rPr>
            </w:pPr>
            <w:r>
              <w:rPr>
                <w:rFonts w:hint="default" w:ascii="Times New Roman" w:hAnsi="Times New Roman" w:eastAsia="方正黑体_GBK" w:cs="Times New Roman"/>
                <w:b/>
                <w:bCs/>
                <w:color w:val="auto"/>
                <w:kern w:val="0"/>
                <w:szCs w:val="21"/>
                <w:highlight w:val="none"/>
              </w:rPr>
              <w:t>序号</w:t>
            </w:r>
          </w:p>
        </w:tc>
        <w:tc>
          <w:tcPr>
            <w:tcW w:w="1211"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rPr>
            </w:pPr>
            <w:r>
              <w:rPr>
                <w:rFonts w:hint="default" w:ascii="Times New Roman" w:hAnsi="Times New Roman" w:eastAsia="方正黑体_GBK" w:cs="Times New Roman"/>
                <w:b/>
                <w:bCs/>
                <w:color w:val="auto"/>
                <w:kern w:val="0"/>
                <w:szCs w:val="21"/>
                <w:highlight w:val="none"/>
              </w:rPr>
              <w:t>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rPr>
            </w:pPr>
            <w:r>
              <w:rPr>
                <w:rFonts w:hint="default" w:ascii="Times New Roman" w:hAnsi="Times New Roman" w:eastAsia="方正黑体_GBK" w:cs="Times New Roman"/>
                <w:b/>
                <w:bCs/>
                <w:color w:val="auto"/>
                <w:kern w:val="0"/>
                <w:szCs w:val="21"/>
                <w:highlight w:val="none"/>
              </w:rPr>
              <w:t>因素</w:t>
            </w:r>
          </w:p>
        </w:tc>
        <w:tc>
          <w:tcPr>
            <w:tcW w:w="8277"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rPr>
            </w:pPr>
            <w:r>
              <w:rPr>
                <w:rFonts w:hint="default" w:ascii="Times New Roman" w:hAnsi="Times New Roman" w:eastAsia="方正黑体_GBK" w:cs="Times New Roman"/>
                <w:b/>
                <w:bCs/>
                <w:color w:val="auto"/>
                <w:kern w:val="0"/>
                <w:szCs w:val="21"/>
                <w:highlight w:val="none"/>
              </w:rPr>
              <w:t>评分细则</w:t>
            </w:r>
          </w:p>
        </w:tc>
        <w:tc>
          <w:tcPr>
            <w:tcW w:w="1487"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rPr>
            </w:pPr>
            <w:r>
              <w:rPr>
                <w:rFonts w:hint="default" w:ascii="Times New Roman" w:hAnsi="Times New Roman" w:eastAsia="方正黑体_GBK" w:cs="Times New Roman"/>
                <w:b/>
                <w:bCs/>
                <w:color w:val="auto"/>
                <w:kern w:val="0"/>
                <w:szCs w:val="21"/>
                <w:highlight w:val="none"/>
              </w:rPr>
              <w:t>分值（分）</w:t>
            </w:r>
          </w:p>
        </w:tc>
        <w:tc>
          <w:tcPr>
            <w:tcW w:w="1105"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方正黑体_GBK" w:cs="Times New Roman"/>
                <w:b/>
                <w:bCs/>
                <w:color w:val="auto"/>
                <w:kern w:val="0"/>
                <w:szCs w:val="21"/>
                <w:highlight w:val="none"/>
                <w:lang w:eastAsia="zh-CN"/>
              </w:rPr>
            </w:pPr>
            <w:r>
              <w:rPr>
                <w:rFonts w:hint="default" w:ascii="Times New Roman" w:hAnsi="Times New Roman" w:eastAsia="方正黑体_GBK" w:cs="Times New Roman"/>
                <w:b/>
                <w:bCs/>
                <w:color w:val="auto"/>
                <w:kern w:val="0"/>
                <w:szCs w:val="21"/>
                <w:highlight w:val="none"/>
                <w:lang w:eastAsia="zh-CN"/>
              </w:rPr>
              <w:t>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72" w:hRule="atLeast"/>
          <w:jc w:val="center"/>
        </w:trPr>
        <w:tc>
          <w:tcPr>
            <w:tcW w:w="673" w:type="dxa"/>
            <w:tcBorders>
              <w:top w:val="single" w:color="auto" w:sz="6" w:space="0"/>
              <w:bottom w:val="single" w:color="auto" w:sz="6" w:space="0"/>
              <w:right w:val="single" w:color="auto" w:sz="6"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p>
        </w:tc>
        <w:tc>
          <w:tcPr>
            <w:tcW w:w="1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
              </w:rPr>
              <w:t>实施方案</w:t>
            </w:r>
          </w:p>
        </w:tc>
        <w:tc>
          <w:tcPr>
            <w:tcW w:w="82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（1）项目实施方案完整详细、</w:t>
            </w:r>
            <w:r>
              <w:rPr>
                <w:rFonts w:hint="eastAsia" w:ascii="Times New Roman" w:hAnsi="Times New Roman" w:eastAsia="仿宋_GB2312" w:cs="Times New Roman"/>
                <w:color w:val="auto"/>
                <w:szCs w:val="21"/>
                <w:highlight w:val="none"/>
                <w:lang w:eastAsia="zh-CN"/>
              </w:rPr>
              <w:t>进度安排</w:t>
            </w:r>
            <w:r>
              <w:rPr>
                <w:rFonts w:hint="default" w:ascii="Times New Roman" w:hAnsi="Times New Roman" w:eastAsia="仿宋_GB2312" w:cs="Times New Roman"/>
                <w:color w:val="auto"/>
                <w:szCs w:val="21"/>
                <w:highlight w:val="none"/>
              </w:rPr>
              <w:t>合理、可行性强，有针对性，响应情况满足采购文件要求的，得</w:t>
            </w:r>
            <w:r>
              <w:rPr>
                <w:rFonts w:hint="default" w:ascii="Times New Roman" w:hAnsi="Times New Roman" w:eastAsia="仿宋_GB2312" w:cs="Times New Roman"/>
                <w:color w:val="auto"/>
                <w:szCs w:val="21"/>
                <w:highlight w:val="none"/>
                <w:lang w:val="en-US" w:eastAsia="zh-CN"/>
              </w:rPr>
              <w:t>2</w:t>
            </w:r>
            <w:r>
              <w:rPr>
                <w:rFonts w:hint="eastAsia"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（2）项目实施方案详细、合理、具有一定的可行性，响应情况大部分能满足采购文件要求的，得</w:t>
            </w:r>
            <w:r>
              <w:rPr>
                <w:rFonts w:hint="eastAsia" w:ascii="Times New Roman" w:hAnsi="Times New Roman" w:eastAsia="仿宋_GB2312" w:cs="Times New Roman"/>
                <w:color w:val="auto"/>
                <w:szCs w:val="21"/>
                <w:highlight w:val="none"/>
                <w:lang w:val="en-US" w:eastAsia="zh-CN"/>
              </w:rPr>
              <w:t>20</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（3）项目实施方案完整、但可行性不足，响应情况部分能满足采购文件要求，得</w:t>
            </w:r>
            <w:r>
              <w:rPr>
                <w:rFonts w:hint="eastAsia" w:ascii="Times New Roman" w:hAnsi="Times New Roman" w:eastAsia="仿宋_GB2312" w:cs="Times New Roman"/>
                <w:color w:val="auto"/>
                <w:szCs w:val="21"/>
                <w:highlight w:val="none"/>
                <w:lang w:val="en-US" w:eastAsia="zh-CN"/>
              </w:rPr>
              <w:t>15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（4）项目实施方案不详细，响应情况不能满足采购文件要求，得</w:t>
            </w:r>
            <w:r>
              <w:rPr>
                <w:rFonts w:hint="default"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仿宋_GB2312" w:cs="Times New Roman"/>
                <w:color w:val="auto"/>
                <w:szCs w:val="21"/>
                <w:highlight w:val="none"/>
                <w:lang w:val="en"/>
              </w:rPr>
            </w:pPr>
            <w:r>
              <w:rPr>
                <w:rFonts w:hint="default" w:ascii="Times New Roman" w:hAnsi="Times New Roman" w:eastAsia="仿宋_GB2312" w:cs="Times New Roman"/>
                <w:color w:val="auto"/>
                <w:szCs w:val="21"/>
                <w:highlight w:val="none"/>
              </w:rPr>
              <w:t>（5）未提交响应内容或其他情况，不得分。</w:t>
            </w:r>
          </w:p>
        </w:tc>
        <w:tc>
          <w:tcPr>
            <w:tcW w:w="14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25</w:t>
            </w:r>
          </w:p>
        </w:tc>
        <w:tc>
          <w:tcPr>
            <w:tcW w:w="11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673" w:type="dxa"/>
            <w:tcBorders>
              <w:top w:val="single" w:color="auto" w:sz="6" w:space="0"/>
              <w:bottom w:val="single" w:color="auto" w:sz="6" w:space="0"/>
              <w:right w:val="single" w:color="auto" w:sz="6"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p>
        </w:tc>
        <w:tc>
          <w:tcPr>
            <w:tcW w:w="1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
              </w:rPr>
              <w:t>质量</w:t>
            </w:r>
            <w:r>
              <w:rPr>
                <w:rFonts w:hint="default" w:ascii="Times New Roman" w:hAnsi="Times New Roman" w:eastAsia="仿宋_GB2312" w:cs="Times New Roman"/>
                <w:color w:val="auto"/>
                <w:szCs w:val="21"/>
                <w:highlight w:val="none"/>
              </w:rPr>
              <w:t>保障</w:t>
            </w:r>
            <w:r>
              <w:rPr>
                <w:rFonts w:hint="default" w:ascii="Times New Roman" w:hAnsi="Times New Roman" w:eastAsia="仿宋_GB2312" w:cs="Times New Roman"/>
                <w:color w:val="auto"/>
                <w:szCs w:val="21"/>
                <w:highlight w:val="none"/>
                <w:lang w:val="en"/>
              </w:rPr>
              <w:t>措施</w:t>
            </w:r>
          </w:p>
        </w:tc>
        <w:tc>
          <w:tcPr>
            <w:tcW w:w="82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根据供应商提供的质量保障措施进行评审：</w:t>
            </w:r>
          </w:p>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（1）质量保障措施详细、合理，具有针对性，可操作性强，得</w:t>
            </w:r>
            <w:r>
              <w:rPr>
                <w:rFonts w:hint="default" w:ascii="Times New Roman" w:hAnsi="Times New Roman" w:eastAsia="仿宋_GB2312" w:cs="Times New Roman"/>
                <w:color w:val="auto"/>
                <w:szCs w:val="21"/>
                <w:highlight w:val="none"/>
                <w:lang w:val="en-US" w:eastAsia="zh-CN"/>
              </w:rPr>
              <w:t>1</w:t>
            </w:r>
            <w:r>
              <w:rPr>
                <w:rFonts w:hint="eastAsia"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（2）质量保障措施基本完善，可操作性有所欠缺，得</w:t>
            </w:r>
            <w:r>
              <w:rPr>
                <w:rFonts w:hint="eastAsia" w:ascii="Times New Roman" w:hAnsi="Times New Roman" w:eastAsia="仿宋_GB2312" w:cs="Times New Roman"/>
                <w:color w:val="auto"/>
                <w:szCs w:val="21"/>
                <w:highlight w:val="none"/>
                <w:lang w:val="en-US" w:eastAsia="zh-CN"/>
              </w:rPr>
              <w:t>10</w:t>
            </w:r>
            <w:r>
              <w:rPr>
                <w:rFonts w:hint="default" w:ascii="Times New Roman" w:hAnsi="Times New Roman" w:eastAsia="仿宋_GB2312" w:cs="Times New Roman"/>
                <w:color w:val="auto"/>
                <w:szCs w:val="21"/>
                <w:highlight w:val="none"/>
              </w:rPr>
              <w:t>分；</w:t>
            </w:r>
          </w:p>
          <w:p>
            <w:pPr>
              <w:pStyle w:val="2"/>
              <w:keepNext w:val="0"/>
              <w:keepLines w:val="0"/>
              <w:pageBreakBefore w:val="0"/>
              <w:widowControl w:val="0"/>
              <w:kinsoku/>
              <w:wordWrap/>
              <w:overflowPunct/>
              <w:topLinePunct w:val="0"/>
              <w:bidi w:val="0"/>
              <w:snapToGrid w:val="0"/>
              <w:spacing w:line="240" w:lineRule="auto"/>
              <w:ind w:firstLine="0" w:firstLineChars="0"/>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szCs w:val="21"/>
                <w:highlight w:val="none"/>
              </w:rPr>
              <w:t>质量保障措施基本完善，但缺乏可操作性，得</w:t>
            </w:r>
            <w:r>
              <w:rPr>
                <w:rFonts w:hint="default"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t>
            </w:r>
            <w:r>
              <w:rPr>
                <w:rFonts w:hint="eastAsia" w:ascii="Times New Roman" w:hAnsi="Times New Roman" w:eastAsia="仿宋_GB2312" w:cs="Times New Roman"/>
                <w:color w:val="auto"/>
                <w:szCs w:val="21"/>
                <w:highlight w:val="none"/>
                <w:lang w:val="en-US" w:eastAsia="zh-CN"/>
              </w:rPr>
              <w:t>4</w:t>
            </w:r>
            <w:r>
              <w:rPr>
                <w:rFonts w:hint="default" w:ascii="Times New Roman" w:hAnsi="Times New Roman" w:eastAsia="仿宋_GB2312" w:cs="Times New Roman"/>
                <w:color w:val="auto"/>
                <w:szCs w:val="21"/>
                <w:highlight w:val="none"/>
              </w:rPr>
              <w:t>）质量保障措施可行性差或无提供，均不得分。</w:t>
            </w:r>
          </w:p>
        </w:tc>
        <w:tc>
          <w:tcPr>
            <w:tcW w:w="14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r>
              <w:rPr>
                <w:rFonts w:hint="eastAsia" w:ascii="Times New Roman" w:hAnsi="Times New Roman" w:eastAsia="仿宋_GB2312" w:cs="Times New Roman"/>
                <w:color w:val="auto"/>
                <w:szCs w:val="21"/>
                <w:highlight w:val="none"/>
                <w:lang w:val="en-US" w:eastAsia="zh-CN"/>
              </w:rPr>
              <w:t>5</w:t>
            </w:r>
          </w:p>
        </w:tc>
        <w:tc>
          <w:tcPr>
            <w:tcW w:w="11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24" w:hRule="atLeast"/>
          <w:jc w:val="center"/>
        </w:trPr>
        <w:tc>
          <w:tcPr>
            <w:tcW w:w="673" w:type="dxa"/>
            <w:tcBorders>
              <w:top w:val="single" w:color="auto" w:sz="6" w:space="0"/>
              <w:bottom w:val="single" w:color="auto" w:sz="6" w:space="0"/>
              <w:right w:val="single" w:color="auto" w:sz="6"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bCs/>
                <w:color w:val="auto"/>
                <w:szCs w:val="21"/>
                <w:highlight w:val="none"/>
              </w:rPr>
            </w:pPr>
          </w:p>
        </w:tc>
        <w:tc>
          <w:tcPr>
            <w:tcW w:w="1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项目业绩</w:t>
            </w:r>
          </w:p>
        </w:tc>
        <w:tc>
          <w:tcPr>
            <w:tcW w:w="82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根据供应商</w:t>
            </w:r>
            <w:r>
              <w:rPr>
                <w:rFonts w:hint="eastAsia" w:ascii="Times New Roman" w:hAnsi="Times New Roman" w:eastAsia="仿宋_GB2312" w:cs="Times New Roman"/>
                <w:color w:val="auto"/>
                <w:szCs w:val="21"/>
                <w:highlight w:val="none"/>
                <w:lang w:eastAsia="zh-CN"/>
              </w:rPr>
              <w:t>近</w:t>
            </w:r>
            <w:r>
              <w:rPr>
                <w:rFonts w:hint="eastAsia" w:ascii="Times New Roman" w:hAnsi="Times New Roman" w:eastAsia="仿宋_GB2312" w:cs="Times New Roman"/>
                <w:color w:val="auto"/>
                <w:szCs w:val="21"/>
                <w:highlight w:val="none"/>
                <w:lang w:val="en-US" w:eastAsia="zh-CN"/>
              </w:rPr>
              <w:t>3年</w:t>
            </w:r>
            <w:r>
              <w:rPr>
                <w:rFonts w:ascii="Times New Roman" w:hAnsi="Times New Roman" w:eastAsia="仿宋_GB2312" w:cs="Times New Roman"/>
                <w:color w:val="auto"/>
                <w:szCs w:val="21"/>
                <w:highlight w:val="none"/>
              </w:rPr>
              <w:t>以来承担过同类项目（</w:t>
            </w:r>
            <w:r>
              <w:rPr>
                <w:rFonts w:hint="default" w:ascii="Times New Roman" w:hAnsi="Times New Roman" w:eastAsia="仿宋_GB2312" w:cs="Times New Roman"/>
                <w:color w:val="auto"/>
                <w:szCs w:val="21"/>
                <w:highlight w:val="none"/>
              </w:rPr>
              <w:t>包含并不限于</w:t>
            </w:r>
            <w:r>
              <w:rPr>
                <w:rFonts w:hint="eastAsia" w:ascii="Times New Roman" w:hAnsi="Times New Roman" w:eastAsia="仿宋_GB2312" w:cs="Times New Roman"/>
                <w:color w:val="auto"/>
                <w:szCs w:val="21"/>
                <w:highlight w:val="none"/>
                <w:lang w:eastAsia="zh-CN"/>
              </w:rPr>
              <w:t>排污许可核发、排污许可证后管理</w:t>
            </w:r>
            <w:r>
              <w:rPr>
                <w:rFonts w:hint="default" w:ascii="Times New Roman" w:hAnsi="Times New Roman" w:eastAsia="仿宋_GB2312" w:cs="Times New Roman"/>
                <w:color w:val="auto"/>
                <w:szCs w:val="21"/>
                <w:highlight w:val="none"/>
              </w:rPr>
              <w:t>等</w:t>
            </w:r>
            <w:r>
              <w:rPr>
                <w:rFonts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rPr>
              <w:t>项目</w:t>
            </w:r>
            <w:r>
              <w:rPr>
                <w:rFonts w:ascii="Times New Roman" w:hAnsi="Times New Roman" w:eastAsia="仿宋_GB2312" w:cs="Times New Roman"/>
                <w:color w:val="auto"/>
                <w:szCs w:val="21"/>
                <w:highlight w:val="none"/>
              </w:rPr>
              <w:t>)业绩情况进行评审</w:t>
            </w:r>
            <w:r>
              <w:rPr>
                <w:rFonts w:hint="default" w:ascii="Times New Roman" w:hAnsi="Times New Roman" w:eastAsia="仿宋_GB2312" w:cs="Times New Roman"/>
                <w:color w:val="auto"/>
                <w:szCs w:val="21"/>
                <w:highlight w:val="none"/>
                <w:lang w:eastAsia="zh-CN"/>
              </w:rPr>
              <w:t>，</w:t>
            </w:r>
            <w:r>
              <w:rPr>
                <w:rFonts w:ascii="Times New Roman" w:hAnsi="Times New Roman" w:eastAsia="仿宋_GB2312" w:cs="Times New Roman"/>
                <w:color w:val="auto"/>
                <w:szCs w:val="21"/>
                <w:highlight w:val="none"/>
              </w:rPr>
              <w:t>每提供一个得</w:t>
            </w:r>
            <w:r>
              <w:rPr>
                <w:rFonts w:hint="eastAsia" w:ascii="Times New Roman" w:hAnsi="Times New Roman" w:eastAsia="仿宋_GB2312" w:cs="Times New Roman"/>
                <w:color w:val="auto"/>
                <w:szCs w:val="21"/>
                <w:highlight w:val="none"/>
                <w:lang w:val="en-US" w:eastAsia="zh-CN"/>
              </w:rPr>
              <w:t>5</w:t>
            </w:r>
            <w:r>
              <w:rPr>
                <w:rFonts w:ascii="Times New Roman" w:hAnsi="Times New Roman" w:eastAsia="仿宋_GB2312" w:cs="Times New Roman"/>
                <w:color w:val="auto"/>
                <w:szCs w:val="21"/>
                <w:highlight w:val="none"/>
              </w:rPr>
              <w:t>分，本项最高得</w:t>
            </w:r>
            <w:r>
              <w:rPr>
                <w:rFonts w:hint="eastAsia" w:ascii="Times New Roman" w:hAnsi="Times New Roman" w:eastAsia="仿宋_GB2312" w:cs="Times New Roman"/>
                <w:color w:val="auto"/>
                <w:szCs w:val="21"/>
                <w:highlight w:val="none"/>
                <w:lang w:val="en-US" w:eastAsia="zh-CN"/>
              </w:rPr>
              <w:t>20</w:t>
            </w:r>
            <w:r>
              <w:rPr>
                <w:rFonts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注</w:t>
            </w:r>
            <w:r>
              <w:rPr>
                <w:rFonts w:ascii="Times New Roman" w:hAnsi="Times New Roman" w:eastAsia="仿宋_GB2312" w:cs="Times New Roman"/>
                <w:color w:val="auto"/>
                <w:szCs w:val="21"/>
                <w:highlight w:val="none"/>
              </w:rPr>
              <w:t>:①须提供项目合同关键页复印件或其他相关证明材料并加盖</w:t>
            </w:r>
            <w:r>
              <w:rPr>
                <w:rFonts w:hint="default" w:ascii="Times New Roman" w:hAnsi="Times New Roman" w:eastAsia="仿宋_GB2312" w:cs="Times New Roman"/>
                <w:color w:val="auto"/>
                <w:szCs w:val="21"/>
                <w:highlight w:val="none"/>
              </w:rPr>
              <w:t>供应商</w:t>
            </w:r>
            <w:r>
              <w:rPr>
                <w:rFonts w:ascii="Times New Roman" w:hAnsi="Times New Roman" w:eastAsia="仿宋_GB2312" w:cs="Times New Roman"/>
                <w:color w:val="auto"/>
                <w:szCs w:val="21"/>
                <w:highlight w:val="none"/>
              </w:rPr>
              <w:t>公章,提供不全或未提供不得分。</w:t>
            </w:r>
          </w:p>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②同一份合同包括上述两种业绩的只计分一次，不重复计分。</w:t>
            </w:r>
          </w:p>
        </w:tc>
        <w:tc>
          <w:tcPr>
            <w:tcW w:w="14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63" w:leftChars="-30" w:right="-88" w:rightChars="-42"/>
              <w:jc w:val="center"/>
              <w:textAlignment w:val="auto"/>
              <w:rPr>
                <w:rFonts w:hint="default" w:ascii="Times New Roman" w:hAnsi="Times New Roman" w:eastAsia="仿宋_GB2312" w:cs="Times New Roman"/>
                <w:color w:val="auto"/>
                <w:kern w:val="0"/>
                <w:szCs w:val="21"/>
                <w:highlight w:val="none"/>
                <w:lang w:val="en-US"/>
              </w:rPr>
            </w:pPr>
            <w:r>
              <w:rPr>
                <w:rFonts w:hint="eastAsia" w:ascii="Times New Roman" w:hAnsi="Times New Roman" w:eastAsia="仿宋_GB2312" w:cs="Times New Roman"/>
                <w:color w:val="auto"/>
                <w:kern w:val="0"/>
                <w:szCs w:val="21"/>
                <w:highlight w:val="none"/>
                <w:lang w:val="en-US" w:eastAsia="zh-CN"/>
              </w:rPr>
              <w:t>20</w:t>
            </w:r>
          </w:p>
        </w:tc>
        <w:tc>
          <w:tcPr>
            <w:tcW w:w="11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仿宋_GB2312"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23" w:hRule="atLeast"/>
          <w:jc w:val="center"/>
        </w:trPr>
        <w:tc>
          <w:tcPr>
            <w:tcW w:w="673" w:type="dxa"/>
            <w:tcBorders>
              <w:top w:val="single" w:color="auto" w:sz="6" w:space="0"/>
              <w:bottom w:val="single" w:color="auto" w:sz="6" w:space="0"/>
              <w:right w:val="single" w:color="auto" w:sz="6"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bCs/>
                <w:color w:val="auto"/>
                <w:szCs w:val="21"/>
                <w:highlight w:val="none"/>
              </w:rPr>
            </w:pPr>
          </w:p>
        </w:tc>
        <w:tc>
          <w:tcPr>
            <w:tcW w:w="1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团队实力</w:t>
            </w:r>
          </w:p>
        </w:tc>
        <w:tc>
          <w:tcPr>
            <w:tcW w:w="82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（1）拟派项目负责人具有</w:t>
            </w:r>
            <w:r>
              <w:rPr>
                <w:rFonts w:hint="eastAsia" w:ascii="Times New Roman" w:hAnsi="Times New Roman" w:eastAsia="仿宋_GB2312" w:cs="Times New Roman"/>
                <w:color w:val="auto"/>
                <w:szCs w:val="21"/>
                <w:highlight w:val="none"/>
                <w:lang w:eastAsia="zh-CN"/>
              </w:rPr>
              <w:t>环境保护或</w:t>
            </w:r>
            <w:r>
              <w:rPr>
                <w:rFonts w:hint="default" w:ascii="Times New Roman" w:hAnsi="Times New Roman" w:eastAsia="仿宋_GB2312" w:cs="Times New Roman"/>
                <w:color w:val="auto"/>
                <w:szCs w:val="21"/>
                <w:highlight w:val="none"/>
              </w:rPr>
              <w:t>相关专业副高及以上职称的得</w:t>
            </w:r>
            <w:r>
              <w:rPr>
                <w:rFonts w:hint="eastAsia" w:ascii="Times New Roman" w:hAnsi="Times New Roman" w:eastAsia="仿宋_GB2312" w:cs="Times New Roman"/>
                <w:color w:val="auto"/>
                <w:szCs w:val="21"/>
                <w:highlight w:val="none"/>
                <w:lang w:val="en-US" w:eastAsia="zh-CN"/>
              </w:rPr>
              <w:t>10</w:t>
            </w:r>
            <w:r>
              <w:rPr>
                <w:rFonts w:hint="default" w:ascii="Times New Roman" w:hAnsi="Times New Roman" w:eastAsia="仿宋_GB2312" w:cs="Times New Roman"/>
                <w:color w:val="auto"/>
                <w:szCs w:val="21"/>
                <w:highlight w:val="none"/>
              </w:rPr>
              <w:t>分；具有</w:t>
            </w:r>
            <w:r>
              <w:rPr>
                <w:rFonts w:hint="eastAsia" w:ascii="Times New Roman" w:hAnsi="Times New Roman" w:eastAsia="仿宋_GB2312" w:cs="Times New Roman"/>
                <w:color w:val="auto"/>
                <w:szCs w:val="21"/>
                <w:highlight w:val="none"/>
                <w:lang w:eastAsia="zh-CN"/>
              </w:rPr>
              <w:t>环境保护</w:t>
            </w:r>
            <w:r>
              <w:rPr>
                <w:rFonts w:hint="default"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lang w:eastAsia="zh-CN"/>
              </w:rPr>
              <w:t>专业</w:t>
            </w:r>
            <w:r>
              <w:rPr>
                <w:rFonts w:hint="default" w:ascii="Times New Roman" w:hAnsi="Times New Roman" w:eastAsia="仿宋_GB2312" w:cs="Times New Roman"/>
                <w:color w:val="auto"/>
                <w:szCs w:val="21"/>
                <w:highlight w:val="none"/>
              </w:rPr>
              <w:t>中级职称的，得</w:t>
            </w:r>
            <w:r>
              <w:rPr>
                <w:rFonts w:hint="eastAsia" w:ascii="Times New Roman" w:hAnsi="Times New Roman" w:eastAsia="仿宋_GB2312" w:cs="Times New Roman"/>
                <w:color w:val="auto"/>
                <w:szCs w:val="21"/>
                <w:highlight w:val="none"/>
                <w:lang w:val="en-US" w:eastAsia="zh-CN"/>
              </w:rPr>
              <w:t>7</w:t>
            </w:r>
            <w:r>
              <w:rPr>
                <w:rFonts w:hint="default" w:ascii="Times New Roman" w:hAnsi="Times New Roman" w:eastAsia="仿宋_GB2312" w:cs="Times New Roman"/>
                <w:color w:val="auto"/>
                <w:szCs w:val="21"/>
                <w:highlight w:val="none"/>
              </w:rPr>
              <w:t>分</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rPr>
              <w:t>具有</w:t>
            </w:r>
            <w:r>
              <w:rPr>
                <w:rFonts w:hint="eastAsia" w:ascii="Times New Roman" w:hAnsi="Times New Roman" w:eastAsia="仿宋_GB2312" w:cs="Times New Roman"/>
                <w:color w:val="auto"/>
                <w:szCs w:val="21"/>
                <w:highlight w:val="none"/>
                <w:lang w:eastAsia="zh-CN"/>
              </w:rPr>
              <w:t>环境保护</w:t>
            </w:r>
            <w:r>
              <w:rPr>
                <w:rFonts w:hint="default"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lang w:eastAsia="zh-CN"/>
              </w:rPr>
              <w:t>专业</w:t>
            </w:r>
            <w:r>
              <w:rPr>
                <w:rFonts w:hint="eastAsia" w:ascii="Times New Roman" w:hAnsi="Times New Roman" w:eastAsia="仿宋_GB2312" w:cs="Times New Roman"/>
                <w:color w:val="auto"/>
                <w:szCs w:val="21"/>
                <w:highlight w:val="none"/>
                <w:lang w:eastAsia="zh-CN"/>
              </w:rPr>
              <w:t>初</w:t>
            </w:r>
            <w:r>
              <w:rPr>
                <w:rFonts w:hint="default" w:ascii="Times New Roman" w:hAnsi="Times New Roman" w:eastAsia="仿宋_GB2312" w:cs="Times New Roman"/>
                <w:color w:val="auto"/>
                <w:szCs w:val="21"/>
                <w:highlight w:val="none"/>
              </w:rPr>
              <w:t>级职称的，得</w:t>
            </w:r>
            <w:r>
              <w:rPr>
                <w:rFonts w:hint="eastAsia"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rPr>
              <w:t>分</w:t>
            </w:r>
            <w:r>
              <w:rPr>
                <w:rFonts w:hint="eastAsia"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rPr>
              <w:t>其余不得分。本小项最高得</w:t>
            </w:r>
            <w:r>
              <w:rPr>
                <w:rFonts w:hint="eastAsia" w:ascii="Times New Roman" w:hAnsi="Times New Roman" w:eastAsia="仿宋_GB2312" w:cs="Times New Roman"/>
                <w:color w:val="auto"/>
                <w:szCs w:val="21"/>
                <w:highlight w:val="none"/>
                <w:lang w:val="en-US" w:eastAsia="zh-CN"/>
              </w:rPr>
              <w:t>10</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（2）拟参与本项目人员（不含项目负责人），具有</w:t>
            </w:r>
            <w:r>
              <w:rPr>
                <w:rFonts w:hint="eastAsia" w:ascii="Times New Roman" w:hAnsi="Times New Roman" w:eastAsia="仿宋_GB2312" w:cs="Times New Roman"/>
                <w:color w:val="auto"/>
                <w:szCs w:val="21"/>
                <w:highlight w:val="none"/>
                <w:lang w:eastAsia="zh-CN"/>
              </w:rPr>
              <w:t>环境保护</w:t>
            </w:r>
            <w:r>
              <w:rPr>
                <w:rFonts w:hint="default"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lang w:eastAsia="zh-CN"/>
              </w:rPr>
              <w:t>专业</w:t>
            </w:r>
            <w:r>
              <w:rPr>
                <w:rFonts w:hint="default" w:ascii="Times New Roman" w:hAnsi="Times New Roman" w:eastAsia="仿宋_GB2312" w:cs="Times New Roman"/>
                <w:color w:val="auto"/>
                <w:szCs w:val="21"/>
                <w:highlight w:val="none"/>
              </w:rPr>
              <w:t>副高及以上职称的，每人得</w:t>
            </w:r>
            <w:r>
              <w:rPr>
                <w:rFonts w:hint="eastAsia"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分；具有</w:t>
            </w:r>
            <w:r>
              <w:rPr>
                <w:rFonts w:hint="eastAsia" w:ascii="Times New Roman" w:hAnsi="Times New Roman" w:eastAsia="仿宋_GB2312" w:cs="Times New Roman"/>
                <w:color w:val="auto"/>
                <w:szCs w:val="21"/>
                <w:highlight w:val="none"/>
                <w:lang w:eastAsia="zh-CN"/>
              </w:rPr>
              <w:t>环境保护</w:t>
            </w:r>
            <w:r>
              <w:rPr>
                <w:rFonts w:hint="default"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lang w:eastAsia="zh-CN"/>
              </w:rPr>
              <w:t>专业</w:t>
            </w:r>
            <w:r>
              <w:rPr>
                <w:rFonts w:hint="default" w:ascii="Times New Roman" w:hAnsi="Times New Roman" w:eastAsia="仿宋_GB2312" w:cs="Times New Roman"/>
                <w:color w:val="auto"/>
                <w:szCs w:val="21"/>
                <w:highlight w:val="none"/>
              </w:rPr>
              <w:t>中级职称的，每人得</w:t>
            </w:r>
            <w:r>
              <w:rPr>
                <w:rFonts w:hint="eastAsia"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rPr>
              <w:t>分，具有</w:t>
            </w:r>
            <w:r>
              <w:rPr>
                <w:rFonts w:hint="eastAsia" w:ascii="Times New Roman" w:hAnsi="Times New Roman" w:eastAsia="仿宋_GB2312" w:cs="Times New Roman"/>
                <w:color w:val="auto"/>
                <w:szCs w:val="21"/>
                <w:highlight w:val="none"/>
                <w:lang w:eastAsia="zh-CN"/>
              </w:rPr>
              <w:t>环境保护</w:t>
            </w:r>
            <w:r>
              <w:rPr>
                <w:rFonts w:hint="default" w:ascii="Times New Roman" w:hAnsi="Times New Roman" w:eastAsia="仿宋_GB2312" w:cs="Times New Roman"/>
                <w:color w:val="auto"/>
                <w:szCs w:val="21"/>
                <w:highlight w:val="none"/>
              </w:rPr>
              <w:t>相关</w:t>
            </w:r>
            <w:r>
              <w:rPr>
                <w:rFonts w:hint="default" w:ascii="Times New Roman" w:hAnsi="Times New Roman" w:eastAsia="仿宋_GB2312" w:cs="Times New Roman"/>
                <w:color w:val="auto"/>
                <w:szCs w:val="21"/>
                <w:highlight w:val="none"/>
                <w:lang w:eastAsia="zh-CN"/>
              </w:rPr>
              <w:t>专业</w:t>
            </w:r>
            <w:r>
              <w:rPr>
                <w:rFonts w:hint="default" w:ascii="Times New Roman" w:hAnsi="Times New Roman" w:eastAsia="仿宋_GB2312" w:cs="Times New Roman"/>
                <w:color w:val="auto"/>
                <w:szCs w:val="21"/>
                <w:highlight w:val="none"/>
              </w:rPr>
              <w:t>初级职称的，每人得</w:t>
            </w:r>
            <w:r>
              <w:rPr>
                <w:rFonts w:hint="eastAsia" w:ascii="Times New Roman" w:hAnsi="Times New Roman" w:eastAsia="仿宋_GB2312" w:cs="Times New Roman"/>
                <w:color w:val="auto"/>
                <w:szCs w:val="21"/>
                <w:highlight w:val="none"/>
                <w:lang w:val="en-US" w:eastAsia="zh-CN"/>
              </w:rPr>
              <w:t>2</w:t>
            </w:r>
            <w:r>
              <w:rPr>
                <w:rFonts w:hint="default" w:ascii="Times New Roman" w:hAnsi="Times New Roman" w:eastAsia="仿宋_GB2312" w:cs="Times New Roman"/>
                <w:color w:val="auto"/>
                <w:szCs w:val="21"/>
                <w:highlight w:val="none"/>
              </w:rPr>
              <w:t>分。本小项最高得</w:t>
            </w:r>
            <w:r>
              <w:rPr>
                <w:rFonts w:hint="default" w:ascii="Times New Roman" w:hAnsi="Times New Roman" w:eastAsia="仿宋_GB2312" w:cs="Times New Roman"/>
                <w:color w:val="auto"/>
                <w:szCs w:val="21"/>
                <w:highlight w:val="none"/>
                <w:lang w:val="en-US" w:eastAsia="zh-CN"/>
              </w:rPr>
              <w:t>15</w:t>
            </w:r>
            <w:r>
              <w:rPr>
                <w:rFonts w:hint="default" w:ascii="Times New Roman" w:hAnsi="Times New Roman" w:eastAsia="仿宋_GB2312" w:cs="Times New Roman"/>
                <w:color w:val="auto"/>
                <w:szCs w:val="21"/>
                <w:highlight w:val="none"/>
              </w:rPr>
              <w:t>分。</w:t>
            </w:r>
          </w:p>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注：须提供上述人员相关职称证书复印件、与供应商签订的劳务合同复印件或由社保机构或税务部门出具的在本项目投标截止日前</w:t>
            </w:r>
            <w:r>
              <w:rPr>
                <w:rFonts w:hint="eastAsia"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rPr>
              <w:t>个月内任意1个月的由供应商为其购买的社保证明加盖供应商公章，无或缺项或未按要求递交证明材料的不得分。</w:t>
            </w:r>
          </w:p>
        </w:tc>
        <w:tc>
          <w:tcPr>
            <w:tcW w:w="14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63" w:leftChars="-30" w:right="-88" w:rightChars="-42"/>
              <w:jc w:val="center"/>
              <w:textAlignment w:val="auto"/>
              <w:rPr>
                <w:rFonts w:hint="eastAsia"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2</w:t>
            </w:r>
            <w:r>
              <w:rPr>
                <w:rFonts w:hint="eastAsia" w:ascii="Times New Roman" w:hAnsi="Times New Roman" w:eastAsia="仿宋_GB2312" w:cs="Times New Roman"/>
                <w:color w:val="auto"/>
                <w:kern w:val="0"/>
                <w:szCs w:val="21"/>
                <w:highlight w:val="none"/>
                <w:lang w:val="en-US" w:eastAsia="zh-CN"/>
              </w:rPr>
              <w:t>5</w:t>
            </w:r>
          </w:p>
        </w:tc>
        <w:tc>
          <w:tcPr>
            <w:tcW w:w="11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仿宋_GB2312"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673" w:type="dxa"/>
            <w:tcBorders>
              <w:top w:val="single" w:color="auto" w:sz="6" w:space="0"/>
              <w:bottom w:val="single" w:color="auto" w:sz="6" w:space="0"/>
              <w:right w:val="single" w:color="auto" w:sz="6" w:space="0"/>
            </w:tcBorders>
            <w:vAlign w:val="center"/>
          </w:tcPr>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color w:val="auto"/>
                <w:kern w:val="0"/>
                <w:szCs w:val="21"/>
                <w:highlight w:val="none"/>
              </w:rPr>
            </w:pPr>
          </w:p>
        </w:tc>
        <w:tc>
          <w:tcPr>
            <w:tcW w:w="1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价格得分</w:t>
            </w:r>
          </w:p>
        </w:tc>
        <w:tc>
          <w:tcPr>
            <w:tcW w:w="82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价格分应当采用低价优先法计算，即满足采购需求且报价最低的为基准价，该项价格得分为满分。其他供应商的价格得分统一按照下列公式计算：供应商价格得分=(基准价／报价)×</w:t>
            </w:r>
            <w:r>
              <w:rPr>
                <w:rFonts w:hint="eastAsia" w:ascii="Times New Roman" w:hAnsi="Times New Roman" w:eastAsia="仿宋_GB2312" w:cs="Times New Roman"/>
                <w:color w:val="auto"/>
                <w:szCs w:val="21"/>
                <w:highlight w:val="none"/>
                <w:lang w:val="en-US" w:eastAsia="zh-CN"/>
              </w:rPr>
              <w:t>15</w:t>
            </w:r>
            <w:r>
              <w:rPr>
                <w:rFonts w:hint="default" w:ascii="Times New Roman" w:hAnsi="Times New Roman" w:eastAsia="仿宋_GB2312" w:cs="Times New Roman"/>
                <w:color w:val="auto"/>
                <w:szCs w:val="21"/>
                <w:highlight w:val="none"/>
              </w:rPr>
              <w:t>，价格得分四舍五入后保留小数点后两位有效数。（对符合规定的小型和微型企业（监狱企业、残疾人福利单位视同小型、微型企业）报价给予10%的价格扣除。）</w:t>
            </w:r>
          </w:p>
        </w:tc>
        <w:tc>
          <w:tcPr>
            <w:tcW w:w="14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15</w:t>
            </w:r>
          </w:p>
        </w:tc>
        <w:tc>
          <w:tcPr>
            <w:tcW w:w="11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hint="default" w:ascii="Times New Roman" w:hAnsi="Times New Roman" w:eastAsia="仿宋_GB2312"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161" w:type="dxa"/>
            <w:gridSpan w:val="3"/>
            <w:tcBorders>
              <w:top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合计</w:t>
            </w:r>
          </w:p>
        </w:tc>
        <w:tc>
          <w:tcPr>
            <w:tcW w:w="1487"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 xml:space="preserve">100 </w:t>
            </w:r>
          </w:p>
        </w:tc>
        <w:tc>
          <w:tcPr>
            <w:tcW w:w="1105" w:type="dxa"/>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center"/>
              <w:textAlignment w:val="auto"/>
              <w:rPr>
                <w:rFonts w:ascii="Times New Roman" w:hAnsi="Times New Roman" w:eastAsia="仿宋_GB2312" w:cs="Times New Roman"/>
                <w:b/>
                <w:color w:val="auto"/>
                <w:kern w:val="0"/>
                <w:szCs w:val="21"/>
                <w:highlight w:val="none"/>
              </w:rPr>
            </w:pPr>
          </w:p>
        </w:tc>
      </w:tr>
    </w:tbl>
    <w:p>
      <w:pPr>
        <w:widowControl/>
        <w:jc w:val="left"/>
        <w:outlineLvl w:val="0"/>
        <w:rPr>
          <w:rFonts w:hint="default" w:ascii="Times New Roman" w:hAnsi="Times New Roman" w:eastAsia="仿宋_GB2312" w:cs="Times New Roman"/>
          <w:snapToGrid/>
          <w:kern w:val="0"/>
          <w:sz w:val="24"/>
          <w:szCs w:val="24"/>
          <w:lang w:val="en" w:eastAsia="zh-CN" w:bidi="ar-SA"/>
        </w:rPr>
      </w:pPr>
    </w:p>
    <w:p>
      <w:pPr>
        <w:widowControl/>
        <w:ind w:firstLine="480" w:firstLineChars="200"/>
        <w:jc w:val="left"/>
        <w:outlineLvl w:val="0"/>
        <w:rPr>
          <w:rFonts w:hint="default" w:ascii="Times New Roman" w:hAnsi="Times New Roman" w:eastAsia="仿宋_GB2312" w:cs="Times New Roman"/>
          <w:snapToGrid/>
          <w:kern w:val="0"/>
          <w:sz w:val="24"/>
          <w:szCs w:val="24"/>
          <w:lang w:val="en" w:eastAsia="zh-CN" w:bidi="ar-SA"/>
        </w:rPr>
      </w:pPr>
      <w:r>
        <w:rPr>
          <w:rFonts w:hint="default" w:ascii="Times New Roman" w:hAnsi="Times New Roman" w:eastAsia="仿宋_GB2312" w:cs="Times New Roman"/>
          <w:snapToGrid/>
          <w:kern w:val="0"/>
          <w:sz w:val="24"/>
          <w:szCs w:val="24"/>
          <w:lang w:val="en" w:eastAsia="zh-CN" w:bidi="ar-SA"/>
        </w:rPr>
        <w:t>评审人签名：</w:t>
      </w:r>
    </w:p>
    <w:p>
      <w:pPr>
        <w:autoSpaceDE w:val="0"/>
        <w:autoSpaceDN w:val="0"/>
        <w:adjustRightInd w:val="0"/>
        <w:ind w:firstLine="480" w:firstLineChars="200"/>
        <w:jc w:val="left"/>
        <w:outlineLvl w:val="0"/>
        <w:rPr>
          <w:rFonts w:hint="default" w:ascii="Times New Roman" w:hAnsi="Times New Roman" w:eastAsia="仿宋_GB2312" w:cs="Times New Roman"/>
          <w:snapToGrid/>
          <w:kern w:val="0"/>
          <w:sz w:val="24"/>
          <w:szCs w:val="24"/>
          <w:lang w:val="en" w:eastAsia="zh-CN" w:bidi="ar-SA"/>
        </w:rPr>
      </w:pPr>
      <w:r>
        <w:rPr>
          <w:rFonts w:hint="default" w:ascii="Times New Roman" w:hAnsi="Times New Roman" w:eastAsia="仿宋_GB2312" w:cs="Times New Roman"/>
          <w:snapToGrid/>
          <w:kern w:val="0"/>
          <w:sz w:val="24"/>
          <w:szCs w:val="24"/>
          <w:lang w:val="en" w:eastAsia="zh-CN" w:bidi="ar-SA"/>
        </w:rPr>
        <w:t>评审日期：       年     月     日</w:t>
      </w:r>
    </w:p>
    <w:p>
      <w:pPr>
        <w:rPr>
          <w:rFonts w:ascii="Times New Roman" w:hAnsi="Times New Roman" w:eastAsia="仿宋_GB2312" w:cs="Times New Roman"/>
          <w:sz w:val="30"/>
          <w:szCs w:val="30"/>
        </w:rPr>
        <w:sectPr>
          <w:pgSz w:w="16838" w:h="11906" w:orient="landscape"/>
          <w:pgMar w:top="1800" w:right="1440" w:bottom="1800" w:left="144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29FA"/>
    <w:multiLevelType w:val="multilevel"/>
    <w:tmpl w:val="166729FA"/>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GJkZDQ5NDNiZmVjZTdkYjAzYjk5MDFiZjE2ZDAifQ=="/>
  </w:docVars>
  <w:rsids>
    <w:rsidRoot w:val="3ED0228C"/>
    <w:rsid w:val="3ED0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200" w:firstLineChars="200"/>
    </w:pPr>
    <w:rPr>
      <w:rFonts w:ascii="Times New Roman" w:hAnsi="Times New Roman"/>
      <w:snapToGrid w:val="0"/>
      <w:kern w:val="0"/>
      <w:sz w:val="24"/>
      <w:szCs w:val="20"/>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2025-05-28T03:51:00Z</dcterms:created>
  <dc:creator>江晓峰</dc:creator>
  <cp:lastModifiedBy>江晓峰</cp:lastModifiedBy>
  <dcterms:modified xsi:type="dcterms:W3CDTF">2025-05-28T03:54:30Z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AFDF3F30709B4DEAA006F639A5B26C67_11</vt:lpwstr>
  </property>
</Properties>
</file>