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B8FA">
      <w:pPr>
        <w:ind w:left="34" w:leftChars="16"/>
        <w:jc w:val="left"/>
        <w:rPr>
          <w:rFonts w:ascii="宋体" w:hAnsi="宋体" w:eastAsia="宋体" w:cs="宋体"/>
          <w:b/>
          <w:bCs/>
          <w:sz w:val="28"/>
          <w:szCs w:val="28"/>
        </w:rPr>
      </w:pPr>
      <w:r>
        <w:rPr>
          <w:rFonts w:hint="eastAsia" w:ascii="宋体" w:hAnsi="宋体" w:eastAsia="宋体" w:cs="宋体"/>
          <w:b/>
          <w:bCs/>
          <w:sz w:val="28"/>
          <w:szCs w:val="28"/>
        </w:rPr>
        <w:t>附件1</w:t>
      </w:r>
    </w:p>
    <w:p w14:paraId="1F88F9F1">
      <w:pPr>
        <w:ind w:left="34" w:leftChars="16"/>
        <w:jc w:val="center"/>
        <w:rPr>
          <w:rFonts w:ascii="宋体" w:hAnsi="宋体" w:eastAsia="宋体" w:cs="宋体"/>
          <w:b/>
          <w:bCs/>
          <w:sz w:val="36"/>
          <w:szCs w:val="36"/>
        </w:rPr>
      </w:pPr>
      <w:r>
        <w:rPr>
          <w:rFonts w:hint="eastAsia" w:ascii="宋体" w:hAnsi="宋体" w:eastAsia="宋体" w:cs="宋体"/>
          <w:b/>
          <w:bCs/>
          <w:sz w:val="36"/>
          <w:szCs w:val="36"/>
        </w:rPr>
        <w:t>江门市新会公路事务中心机关食堂</w:t>
      </w:r>
    </w:p>
    <w:p w14:paraId="15D093B5">
      <w:pPr>
        <w:ind w:left="34" w:leftChars="16"/>
        <w:jc w:val="center"/>
        <w:rPr>
          <w:rFonts w:ascii="宋体" w:hAnsi="宋体" w:eastAsia="宋体" w:cs="宋体"/>
          <w:b/>
          <w:bCs/>
          <w:sz w:val="36"/>
          <w:szCs w:val="36"/>
        </w:rPr>
      </w:pPr>
      <w:r>
        <w:rPr>
          <w:rFonts w:hint="eastAsia" w:ascii="宋体" w:hAnsi="宋体" w:eastAsia="宋体" w:cs="宋体"/>
          <w:b/>
          <w:bCs/>
          <w:sz w:val="36"/>
          <w:szCs w:val="36"/>
        </w:rPr>
        <w:t>供餐服务项目采购评分标准</w:t>
      </w:r>
    </w:p>
    <w:p w14:paraId="1010BF4C">
      <w:pPr>
        <w:pStyle w:val="2"/>
      </w:pPr>
    </w:p>
    <w:p w14:paraId="43A298CB">
      <w:pPr>
        <w:ind w:left="-420" w:leftChars="-200" w:right="-313" w:rightChars="-149" w:firstLine="562" w:firstLineChars="200"/>
        <w:rPr>
          <w:rFonts w:ascii="宋体" w:hAnsi="宋体" w:cs="宋体"/>
          <w:b/>
          <w:bCs/>
          <w:sz w:val="28"/>
          <w:szCs w:val="28"/>
        </w:rPr>
      </w:pPr>
      <w:r>
        <w:rPr>
          <w:rFonts w:hint="eastAsia" w:ascii="宋体" w:hAnsi="宋体" w:cs="宋体"/>
          <w:b/>
          <w:bCs/>
          <w:sz w:val="28"/>
          <w:szCs w:val="28"/>
        </w:rPr>
        <w:t>一、评分选取方式</w:t>
      </w:r>
    </w:p>
    <w:p w14:paraId="7D421ABC">
      <w:pPr>
        <w:ind w:left="-420" w:leftChars="-200" w:right="-313" w:rightChars="-149" w:firstLine="560" w:firstLineChars="200"/>
        <w:rPr>
          <w:rFonts w:ascii="宋体" w:hAnsi="宋体" w:cs="宋体"/>
          <w:sz w:val="28"/>
          <w:szCs w:val="28"/>
        </w:rPr>
      </w:pPr>
      <w:r>
        <w:rPr>
          <w:rFonts w:hint="eastAsia" w:ascii="宋体" w:hAnsi="宋体" w:cs="宋体"/>
          <w:sz w:val="28"/>
          <w:szCs w:val="28"/>
        </w:rPr>
        <w:t>本次采购采用综合选取的方式确定中选单位。评选小组先对报名单位进行初步评审,如报名单位数量少于2家，本项目重新采购；然后对满足初步评审要求的单位，按照详细评审规定的评分标准进行打分。</w:t>
      </w:r>
    </w:p>
    <w:p w14:paraId="6E98E014">
      <w:pPr>
        <w:ind w:left="-420" w:leftChars="-200" w:right="-313" w:rightChars="-149" w:firstLine="560" w:firstLineChars="200"/>
        <w:rPr>
          <w:rFonts w:ascii="宋体" w:hAnsi="宋体" w:cs="宋体"/>
          <w:sz w:val="28"/>
          <w:szCs w:val="28"/>
        </w:rPr>
      </w:pPr>
      <w:r>
        <w:rPr>
          <w:rFonts w:hint="eastAsia" w:ascii="宋体" w:hAnsi="宋体" w:cs="宋体"/>
          <w:sz w:val="28"/>
          <w:szCs w:val="28"/>
        </w:rPr>
        <w:t>评选小组成员对报名单位的详细评审中各评审因素进行评分，计算出各评审因素的算术平均值后合计总和作为该单位的得分，并按得分由高到低顺序推荐中选单位。</w:t>
      </w:r>
    </w:p>
    <w:p w14:paraId="6E387FDC">
      <w:pPr>
        <w:ind w:left="-420" w:leftChars="-200" w:right="-313" w:rightChars="-149" w:firstLine="560" w:firstLineChars="200"/>
        <w:rPr>
          <w:rFonts w:ascii="宋体" w:hAnsi="宋体" w:cs="宋体"/>
          <w:sz w:val="28"/>
          <w:szCs w:val="28"/>
        </w:rPr>
      </w:pPr>
      <w:r>
        <w:rPr>
          <w:rFonts w:hint="eastAsia" w:ascii="宋体" w:hAnsi="宋体" w:cs="宋体"/>
          <w:sz w:val="28"/>
          <w:szCs w:val="28"/>
        </w:rPr>
        <w:t>综合评分相等时，评选小组视报名单位的情况综合比较，投票确定其名次。</w:t>
      </w:r>
    </w:p>
    <w:p w14:paraId="3F12323F">
      <w:pPr>
        <w:pStyle w:val="2"/>
      </w:pPr>
    </w:p>
    <w:p w14:paraId="5BE49937">
      <w:pPr>
        <w:spacing w:line="400" w:lineRule="exact"/>
        <w:ind w:left="-420" w:leftChars="-200" w:right="-313" w:rightChars="-149" w:firstLine="560" w:firstLineChars="200"/>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7"/>
        <w:tblW w:w="9743" w:type="dxa"/>
        <w:jc w:val="center"/>
        <w:tblLayout w:type="fixed"/>
        <w:tblCellMar>
          <w:top w:w="0" w:type="dxa"/>
          <w:left w:w="108" w:type="dxa"/>
          <w:bottom w:w="67" w:type="dxa"/>
          <w:right w:w="0" w:type="dxa"/>
        </w:tblCellMar>
      </w:tblPr>
      <w:tblGrid>
        <w:gridCol w:w="2984"/>
        <w:gridCol w:w="6759"/>
      </w:tblGrid>
      <w:tr w14:paraId="600A8E8B">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14:paraId="47FDD8C2">
            <w:pPr>
              <w:widowControl/>
              <w:spacing w:line="400" w:lineRule="exact"/>
              <w:ind w:right="109"/>
              <w:jc w:val="center"/>
              <w:rPr>
                <w:rFonts w:ascii="仿宋" w:hAnsi="仿宋" w:eastAsia="仿宋" w:cs="Times New Roman"/>
                <w:b/>
                <w:sz w:val="24"/>
                <w:szCs w:val="24"/>
              </w:rPr>
            </w:pPr>
            <w:r>
              <w:rPr>
                <w:rFonts w:hint="eastAsia" w:ascii="仿宋" w:hAnsi="仿宋" w:eastAsia="仿宋" w:cs="Times New Roman"/>
                <w:b/>
                <w:sz w:val="24"/>
                <w:szCs w:val="24"/>
              </w:rPr>
              <w:t>审查</w:t>
            </w:r>
            <w:r>
              <w:rPr>
                <w:rFonts w:ascii="仿宋" w:hAnsi="仿宋" w:eastAsia="仿宋" w:cs="Times New Roman"/>
                <w:b/>
                <w:sz w:val="24"/>
                <w:szCs w:val="24"/>
              </w:rPr>
              <w:t>项目</w:t>
            </w:r>
          </w:p>
        </w:tc>
        <w:tc>
          <w:tcPr>
            <w:tcW w:w="6759" w:type="dxa"/>
            <w:tcBorders>
              <w:top w:val="single" w:color="000000" w:sz="4" w:space="0"/>
              <w:left w:val="single" w:color="000000" w:sz="4" w:space="0"/>
              <w:bottom w:val="single" w:color="000000" w:sz="4" w:space="0"/>
              <w:right w:val="single" w:color="000000" w:sz="4" w:space="0"/>
            </w:tcBorders>
            <w:vAlign w:val="center"/>
          </w:tcPr>
          <w:p w14:paraId="2F2936E5">
            <w:pPr>
              <w:widowControl/>
              <w:spacing w:line="400" w:lineRule="exact"/>
              <w:ind w:right="107"/>
              <w:jc w:val="center"/>
              <w:rPr>
                <w:rFonts w:ascii="仿宋" w:hAnsi="仿宋" w:eastAsia="仿宋" w:cs="Times New Roman"/>
                <w:b/>
                <w:sz w:val="24"/>
                <w:szCs w:val="24"/>
              </w:rPr>
            </w:pPr>
            <w:r>
              <w:rPr>
                <w:rFonts w:hint="eastAsia" w:ascii="仿宋" w:hAnsi="仿宋" w:eastAsia="仿宋" w:cs="Times New Roman"/>
                <w:b/>
                <w:sz w:val="24"/>
                <w:szCs w:val="24"/>
              </w:rPr>
              <w:t>审查</w:t>
            </w:r>
            <w:r>
              <w:rPr>
                <w:rFonts w:ascii="仿宋" w:hAnsi="仿宋" w:eastAsia="仿宋" w:cs="Times New Roman"/>
                <w:b/>
                <w:sz w:val="24"/>
                <w:szCs w:val="24"/>
              </w:rPr>
              <w:t>标准</w:t>
            </w:r>
          </w:p>
        </w:tc>
      </w:tr>
      <w:tr w14:paraId="0972375F">
        <w:tblPrEx>
          <w:tblCellMar>
            <w:top w:w="0" w:type="dxa"/>
            <w:left w:w="108" w:type="dxa"/>
            <w:bottom w:w="67" w:type="dxa"/>
            <w:right w:w="0" w:type="dxa"/>
          </w:tblCellMar>
        </w:tblPrEx>
        <w:trPr>
          <w:trHeight w:val="4385"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14:paraId="7E41D14B">
            <w:pPr>
              <w:pStyle w:val="6"/>
              <w:shd w:val="clear" w:color="auto" w:fill="FFFFFF"/>
              <w:spacing w:before="0" w:beforeAutospacing="0" w:after="0" w:afterAutospacing="0" w:line="720" w:lineRule="atLeast"/>
              <w:jc w:val="center"/>
              <w:textAlignment w:val="baseline"/>
              <w:rPr>
                <w:rFonts w:ascii="仿宋" w:hAnsi="仿宋" w:eastAsia="仿宋" w:cs="Times New Roman"/>
              </w:rPr>
            </w:pPr>
            <w:r>
              <w:rPr>
                <w:rStyle w:val="9"/>
                <w:rFonts w:ascii="仿宋" w:hAnsi="仿宋" w:eastAsia="仿宋" w:cs="Times New Roma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14:paraId="1F7A75A7">
            <w:pPr>
              <w:widowControl/>
              <w:spacing w:line="360" w:lineRule="exact"/>
              <w:ind w:right="108" w:firstLine="480" w:firstLineChars="200"/>
              <w:rPr>
                <w:rFonts w:ascii="仿宋" w:hAnsi="仿宋" w:eastAsia="仿宋" w:cs="Times New Roman"/>
                <w:kern w:val="0"/>
                <w:sz w:val="24"/>
                <w:szCs w:val="24"/>
              </w:rPr>
            </w:pPr>
            <w:r>
              <w:rPr>
                <w:rFonts w:ascii="仿宋" w:hAnsi="仿宋" w:eastAsia="仿宋" w:cs="Times New Roman"/>
                <w:kern w:val="0"/>
                <w:sz w:val="24"/>
                <w:szCs w:val="24"/>
              </w:rPr>
              <w:t>1.符合《中华人民共和国政府采购法》第二十二条和《中华人民共和国政府采购法实施条例》第十七条的规定；</w:t>
            </w:r>
          </w:p>
          <w:p w14:paraId="25EC147F">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2.具备</w:t>
            </w:r>
            <w:r>
              <w:rPr>
                <w:rFonts w:ascii="仿宋" w:hAnsi="仿宋" w:eastAsia="仿宋" w:cs="Times New Roman"/>
                <w:kern w:val="0"/>
                <w:sz w:val="24"/>
                <w:szCs w:val="24"/>
              </w:rPr>
              <w:t>年检合格的营业执照和</w:t>
            </w:r>
            <w:r>
              <w:rPr>
                <w:rFonts w:hint="eastAsia" w:ascii="仿宋" w:hAnsi="仿宋" w:eastAsia="仿宋" w:cs="Times New Roman"/>
                <w:kern w:val="0"/>
                <w:sz w:val="24"/>
                <w:szCs w:val="24"/>
              </w:rPr>
              <w:t>相应行业资质；</w:t>
            </w:r>
          </w:p>
          <w:p w14:paraId="6F9053ED">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3.具备固定生产作业场地，有固定厨师和工作人员；</w:t>
            </w:r>
          </w:p>
          <w:p w14:paraId="6AF115DD">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4</w:t>
            </w:r>
            <w:r>
              <w:rPr>
                <w:rFonts w:ascii="仿宋" w:hAnsi="仿宋" w:eastAsia="仿宋" w:cs="Times New Roman"/>
                <w:kern w:val="0"/>
                <w:sz w:val="24"/>
                <w:szCs w:val="24"/>
              </w:rPr>
              <w:t>.具有独立承担民事责任能力的在中华人民共和国境内注册的法人；</w:t>
            </w:r>
          </w:p>
          <w:p w14:paraId="196BD780">
            <w:pPr>
              <w:widowControl/>
              <w:spacing w:line="360" w:lineRule="exact"/>
              <w:ind w:right="108" w:firstLine="470" w:firstLineChars="196"/>
              <w:rPr>
                <w:rFonts w:ascii="仿宋" w:hAnsi="仿宋" w:eastAsia="仿宋" w:cs="Times New Roman"/>
                <w:kern w:val="0"/>
                <w:sz w:val="24"/>
                <w:szCs w:val="24"/>
              </w:rPr>
            </w:pPr>
            <w:r>
              <w:rPr>
                <w:rFonts w:hint="eastAsia" w:ascii="仿宋" w:hAnsi="仿宋" w:eastAsia="仿宋" w:cs="Times New Roman"/>
                <w:kern w:val="0"/>
                <w:sz w:val="24"/>
                <w:szCs w:val="24"/>
              </w:rPr>
              <w:t>5</w:t>
            </w:r>
            <w:r>
              <w:rPr>
                <w:rFonts w:ascii="仿宋" w:hAnsi="仿宋" w:eastAsia="仿宋" w:cs="Times New Roman"/>
                <w:kern w:val="0"/>
                <w:sz w:val="24"/>
                <w:szCs w:val="24"/>
              </w:rPr>
              <w:t>.近三年内未被列入失信被执行人名单、重大税收违法案件当事人名单、政府采购严重违法失信行为记录名单，无受到政府采购行政处罚且相关信用惩戒期限未满情形；</w:t>
            </w:r>
          </w:p>
          <w:p w14:paraId="3A7D9986">
            <w:pPr>
              <w:widowControl/>
              <w:spacing w:line="360" w:lineRule="exact"/>
              <w:ind w:right="108" w:firstLine="470" w:firstLineChars="196"/>
              <w:rPr>
                <w:rFonts w:ascii="仿宋" w:hAnsi="仿宋" w:eastAsia="仿宋" w:cs="Times New Roman"/>
                <w:kern w:val="0"/>
                <w:sz w:val="24"/>
                <w:szCs w:val="24"/>
              </w:rPr>
            </w:pPr>
            <w:r>
              <w:rPr>
                <w:rFonts w:hint="eastAsia" w:ascii="仿宋" w:hAnsi="仿宋" w:eastAsia="仿宋" w:cs="Times New Roman"/>
                <w:kern w:val="0"/>
                <w:sz w:val="24"/>
                <w:szCs w:val="24"/>
              </w:rPr>
              <w:t>6</w:t>
            </w:r>
            <w:r>
              <w:rPr>
                <w:rFonts w:ascii="仿宋" w:hAnsi="仿宋" w:eastAsia="仿宋" w:cs="Times New Roman"/>
                <w:kern w:val="0"/>
                <w:sz w:val="24"/>
                <w:szCs w:val="24"/>
              </w:rPr>
              <w:t>.本项目不接受联合体供应商投标；不允许转包、分包</w:t>
            </w:r>
            <w:r>
              <w:rPr>
                <w:rFonts w:hint="eastAsia" w:ascii="仿宋" w:hAnsi="仿宋" w:eastAsia="仿宋" w:cs="Times New Roman"/>
                <w:kern w:val="0"/>
                <w:sz w:val="24"/>
                <w:szCs w:val="24"/>
              </w:rPr>
              <w:t>；</w:t>
            </w:r>
          </w:p>
          <w:p w14:paraId="092191D2">
            <w:pPr>
              <w:widowControl/>
              <w:spacing w:line="360" w:lineRule="exact"/>
              <w:ind w:right="108" w:firstLine="470" w:firstLineChars="196"/>
              <w:rPr>
                <w:rFonts w:ascii="仿宋" w:hAnsi="仿宋" w:eastAsia="仿宋" w:cs="Times New Roman"/>
                <w:kern w:val="0"/>
                <w:sz w:val="24"/>
                <w:szCs w:val="24"/>
              </w:rPr>
            </w:pPr>
            <w:r>
              <w:rPr>
                <w:rFonts w:hint="eastAsia" w:ascii="仿宋" w:hAnsi="仿宋" w:eastAsia="仿宋" w:cs="Times New Roman"/>
                <w:kern w:val="0"/>
                <w:sz w:val="24"/>
                <w:szCs w:val="24"/>
              </w:rPr>
              <w:t>7.各细目单价均不超过对应单价最高限价，即：早餐每餐不超过10元，午餐每餐不超过28元</w:t>
            </w:r>
            <w:r>
              <w:rPr>
                <w:rFonts w:ascii="仿宋" w:hAnsi="仿宋" w:eastAsia="仿宋" w:cs="Times New Roman"/>
                <w:kern w:val="0"/>
                <w:sz w:val="24"/>
                <w:szCs w:val="24"/>
              </w:rPr>
              <w:t>。</w:t>
            </w:r>
          </w:p>
        </w:tc>
      </w:tr>
    </w:tbl>
    <w:p w14:paraId="7A11DDBA">
      <w:pPr>
        <w:spacing w:line="400" w:lineRule="exact"/>
        <w:ind w:left="-420" w:leftChars="-200" w:right="-313" w:rightChars="-149" w:firstLine="562" w:firstLineChars="200"/>
        <w:rPr>
          <w:rFonts w:ascii="宋体" w:hAnsi="宋体" w:eastAsia="宋体" w:cs="宋体"/>
          <w:b/>
          <w:bCs/>
          <w:sz w:val="28"/>
          <w:szCs w:val="28"/>
        </w:rPr>
      </w:pPr>
      <w:r>
        <w:rPr>
          <w:rFonts w:hint="eastAsia" w:ascii="宋体" w:hAnsi="宋体" w:eastAsia="宋体" w:cs="宋体"/>
          <w:b/>
          <w:bCs/>
          <w:sz w:val="28"/>
          <w:szCs w:val="28"/>
        </w:rPr>
        <w:t>三、详细评审</w:t>
      </w:r>
    </w:p>
    <w:tbl>
      <w:tblPr>
        <w:tblStyle w:val="7"/>
        <w:tblW w:w="10074" w:type="dxa"/>
        <w:jc w:val="center"/>
        <w:tblLayout w:type="fixed"/>
        <w:tblCellMar>
          <w:top w:w="0" w:type="dxa"/>
          <w:left w:w="108" w:type="dxa"/>
          <w:bottom w:w="67" w:type="dxa"/>
          <w:right w:w="0" w:type="dxa"/>
        </w:tblCellMar>
      </w:tblPr>
      <w:tblGrid>
        <w:gridCol w:w="655"/>
        <w:gridCol w:w="1481"/>
        <w:gridCol w:w="6662"/>
        <w:gridCol w:w="1276"/>
      </w:tblGrid>
      <w:tr w14:paraId="12486A5A">
        <w:tblPrEx>
          <w:tblCellMar>
            <w:top w:w="0" w:type="dxa"/>
            <w:left w:w="108" w:type="dxa"/>
            <w:bottom w:w="67" w:type="dxa"/>
            <w:right w:w="0" w:type="dxa"/>
          </w:tblCellMar>
        </w:tblPrEx>
        <w:trPr>
          <w:trHeight w:val="667" w:hRule="atLeast"/>
          <w:tblHeader/>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7C6CC89D">
            <w:pPr>
              <w:widowControl/>
              <w:spacing w:line="400" w:lineRule="exact"/>
              <w:ind w:right="109"/>
              <w:jc w:val="center"/>
              <w:rPr>
                <w:rFonts w:ascii="仿宋" w:hAnsi="仿宋" w:eastAsia="仿宋" w:cs="Times New Roman"/>
                <w:b/>
                <w:sz w:val="24"/>
                <w:szCs w:val="24"/>
              </w:rPr>
            </w:pPr>
            <w:r>
              <w:rPr>
                <w:rFonts w:ascii="仿宋" w:hAnsi="仿宋" w:eastAsia="仿宋" w:cs="Times New Roman"/>
                <w:b/>
                <w:sz w:val="24"/>
                <w:szCs w:val="24"/>
              </w:rPr>
              <w:t>序号</w:t>
            </w:r>
          </w:p>
        </w:tc>
        <w:tc>
          <w:tcPr>
            <w:tcW w:w="1481" w:type="dxa"/>
            <w:tcBorders>
              <w:top w:val="single" w:color="000000" w:sz="4" w:space="0"/>
              <w:left w:val="single" w:color="000000" w:sz="4" w:space="0"/>
              <w:bottom w:val="single" w:color="000000" w:sz="4" w:space="0"/>
              <w:right w:val="single" w:color="000000" w:sz="4" w:space="0"/>
            </w:tcBorders>
            <w:vAlign w:val="center"/>
          </w:tcPr>
          <w:p w14:paraId="14D74E75">
            <w:pPr>
              <w:widowControl/>
              <w:spacing w:line="400" w:lineRule="exact"/>
              <w:ind w:right="109"/>
              <w:jc w:val="center"/>
              <w:rPr>
                <w:rFonts w:ascii="仿宋" w:hAnsi="仿宋" w:eastAsia="仿宋" w:cs="Times New Roman"/>
                <w:b/>
                <w:sz w:val="24"/>
                <w:szCs w:val="24"/>
              </w:rPr>
            </w:pPr>
            <w:r>
              <w:rPr>
                <w:rFonts w:ascii="仿宋" w:hAnsi="仿宋" w:eastAsia="仿宋" w:cs="Times New Roman"/>
                <w:b/>
                <w:sz w:val="24"/>
                <w:szCs w:val="24"/>
              </w:rPr>
              <w:t>评价项目</w:t>
            </w:r>
          </w:p>
        </w:tc>
        <w:tc>
          <w:tcPr>
            <w:tcW w:w="6662" w:type="dxa"/>
            <w:tcBorders>
              <w:top w:val="single" w:color="000000" w:sz="4" w:space="0"/>
              <w:left w:val="single" w:color="000000" w:sz="4" w:space="0"/>
              <w:bottom w:val="single" w:color="000000" w:sz="4" w:space="0"/>
              <w:right w:val="single" w:color="000000" w:sz="4" w:space="0"/>
            </w:tcBorders>
            <w:vAlign w:val="center"/>
          </w:tcPr>
          <w:p w14:paraId="426C47DD">
            <w:pPr>
              <w:widowControl/>
              <w:spacing w:line="400" w:lineRule="exact"/>
              <w:ind w:right="107"/>
              <w:jc w:val="center"/>
              <w:rPr>
                <w:rFonts w:ascii="仿宋" w:hAnsi="仿宋" w:eastAsia="仿宋" w:cs="Times New Roman"/>
                <w:b/>
                <w:sz w:val="24"/>
                <w:szCs w:val="24"/>
              </w:rPr>
            </w:pPr>
            <w:r>
              <w:rPr>
                <w:rFonts w:ascii="仿宋" w:hAnsi="仿宋" w:eastAsia="仿宋" w:cs="Times New Roman"/>
                <w:b/>
                <w:sz w:val="24"/>
                <w:szCs w:val="24"/>
              </w:rPr>
              <w:t>评价标准</w:t>
            </w:r>
          </w:p>
        </w:tc>
        <w:tc>
          <w:tcPr>
            <w:tcW w:w="1276" w:type="dxa"/>
            <w:tcBorders>
              <w:top w:val="single" w:color="000000" w:sz="4" w:space="0"/>
              <w:left w:val="single" w:color="000000" w:sz="4" w:space="0"/>
              <w:bottom w:val="single" w:color="000000" w:sz="4" w:space="0"/>
              <w:right w:val="single" w:color="000000" w:sz="4" w:space="0"/>
            </w:tcBorders>
            <w:vAlign w:val="center"/>
          </w:tcPr>
          <w:p w14:paraId="7ACAE01F">
            <w:pPr>
              <w:widowControl/>
              <w:spacing w:line="400" w:lineRule="exact"/>
              <w:jc w:val="center"/>
              <w:rPr>
                <w:rFonts w:ascii="仿宋" w:hAnsi="仿宋" w:eastAsia="仿宋" w:cs="Times New Roman"/>
                <w:b/>
                <w:sz w:val="24"/>
                <w:szCs w:val="24"/>
              </w:rPr>
            </w:pPr>
            <w:r>
              <w:rPr>
                <w:rFonts w:ascii="仿宋" w:hAnsi="仿宋" w:eastAsia="仿宋" w:cs="Times New Roman"/>
                <w:b/>
                <w:sz w:val="24"/>
                <w:szCs w:val="24"/>
              </w:rPr>
              <w:t>单项分数（分）</w:t>
            </w:r>
          </w:p>
        </w:tc>
      </w:tr>
      <w:tr w14:paraId="5836BCDE">
        <w:tblPrEx>
          <w:tblCellMar>
            <w:top w:w="0" w:type="dxa"/>
            <w:left w:w="108" w:type="dxa"/>
            <w:bottom w:w="67" w:type="dxa"/>
            <w:right w:w="0" w:type="dxa"/>
          </w:tblCellMar>
        </w:tblPrEx>
        <w:trPr>
          <w:trHeight w:val="268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010E2C5F">
            <w:pPr>
              <w:widowControl/>
              <w:spacing w:line="360" w:lineRule="exact"/>
              <w:ind w:right="108"/>
              <w:jc w:val="center"/>
              <w:rPr>
                <w:rFonts w:ascii="仿宋" w:hAnsi="仿宋" w:eastAsia="仿宋" w:cs="Times New Roman"/>
                <w:kern w:val="0"/>
                <w:sz w:val="24"/>
                <w:szCs w:val="24"/>
              </w:rPr>
            </w:pPr>
            <w:r>
              <w:rPr>
                <w:rFonts w:hint="eastAsia" w:ascii="仿宋" w:hAnsi="仿宋" w:eastAsia="仿宋" w:cs="Times New Roman"/>
                <w:kern w:val="0"/>
                <w:sz w:val="24"/>
                <w:szCs w:val="24"/>
              </w:rPr>
              <w:t>1</w:t>
            </w:r>
          </w:p>
        </w:tc>
        <w:tc>
          <w:tcPr>
            <w:tcW w:w="1481" w:type="dxa"/>
            <w:tcBorders>
              <w:top w:val="single" w:color="000000" w:sz="4" w:space="0"/>
              <w:left w:val="single" w:color="000000" w:sz="4" w:space="0"/>
              <w:bottom w:val="single" w:color="000000" w:sz="4" w:space="0"/>
              <w:right w:val="single" w:color="000000" w:sz="4" w:space="0"/>
            </w:tcBorders>
            <w:vAlign w:val="center"/>
          </w:tcPr>
          <w:p w14:paraId="2AE2EC1B">
            <w:pPr>
              <w:widowControl/>
              <w:spacing w:line="360" w:lineRule="exact"/>
              <w:ind w:right="108"/>
              <w:jc w:val="center"/>
              <w:rPr>
                <w:rStyle w:val="9"/>
                <w:rFonts w:ascii="Times New Roman" w:hAnsi="Times New Roman" w:cs="Times New Roman"/>
                <w:szCs w:val="30"/>
              </w:rPr>
            </w:pPr>
            <w:r>
              <w:rPr>
                <w:rStyle w:val="9"/>
                <w:rFonts w:ascii="仿宋" w:hAnsi="仿宋" w:eastAsia="仿宋" w:cs="Times New Roman"/>
                <w:sz w:val="24"/>
                <w:szCs w:val="24"/>
              </w:rPr>
              <w:t>实施方案</w:t>
            </w:r>
          </w:p>
        </w:tc>
        <w:tc>
          <w:tcPr>
            <w:tcW w:w="6662" w:type="dxa"/>
            <w:tcBorders>
              <w:top w:val="single" w:color="000000" w:sz="4" w:space="0"/>
              <w:left w:val="single" w:color="000000" w:sz="4" w:space="0"/>
              <w:bottom w:val="single" w:color="000000" w:sz="4" w:space="0"/>
              <w:right w:val="single" w:color="000000" w:sz="4" w:space="0"/>
            </w:tcBorders>
            <w:vAlign w:val="center"/>
          </w:tcPr>
          <w:p w14:paraId="4FC8290C">
            <w:pPr>
              <w:widowControl/>
              <w:spacing w:line="360" w:lineRule="exact"/>
              <w:ind w:right="108"/>
              <w:jc w:val="left"/>
              <w:rPr>
                <w:rStyle w:val="9"/>
                <w:rFonts w:ascii="仿宋" w:hAnsi="仿宋" w:eastAsia="仿宋" w:cs="Times New Roman"/>
                <w:b w:val="0"/>
                <w:bCs w:val="0"/>
                <w:sz w:val="24"/>
                <w:szCs w:val="24"/>
              </w:rPr>
            </w:pPr>
            <w:r>
              <w:rPr>
                <w:rStyle w:val="9"/>
                <w:rFonts w:hint="eastAsia" w:ascii="仿宋" w:hAnsi="仿宋" w:eastAsia="仿宋" w:cs="Times New Roman"/>
                <w:b w:val="0"/>
                <w:sz w:val="24"/>
                <w:szCs w:val="24"/>
              </w:rPr>
              <w:t>总体评价：</w:t>
            </w:r>
          </w:p>
          <w:p w14:paraId="14A2092D">
            <w:pPr>
              <w:widowControl/>
              <w:spacing w:line="360" w:lineRule="exact"/>
              <w:ind w:right="108" w:firstLine="480" w:firstLineChars="200"/>
              <w:jc w:val="left"/>
              <w:rPr>
                <w:rStyle w:val="9"/>
                <w:rFonts w:ascii="仿宋" w:hAnsi="仿宋" w:eastAsia="仿宋" w:cs="Times New Roman"/>
                <w:b w:val="0"/>
                <w:bCs w:val="0"/>
                <w:sz w:val="24"/>
                <w:szCs w:val="24"/>
              </w:rPr>
            </w:pPr>
            <w:r>
              <w:rPr>
                <w:rStyle w:val="9"/>
                <w:rFonts w:hint="eastAsia" w:ascii="仿宋" w:hAnsi="仿宋" w:eastAsia="仿宋" w:cs="Times New Roman"/>
                <w:b w:val="0"/>
                <w:sz w:val="24"/>
                <w:szCs w:val="24"/>
              </w:rPr>
              <w:t>1.优：实施方案全面、完善、合理，可行性和可操作性强，贴合实际需求的，具有完备的餐饮应急预案及规章制度，15&lt;得分≤30；</w:t>
            </w:r>
          </w:p>
          <w:p w14:paraId="1A0B3DCA">
            <w:pPr>
              <w:widowControl/>
              <w:spacing w:line="360" w:lineRule="exact"/>
              <w:ind w:right="108" w:firstLine="480" w:firstLineChars="200"/>
              <w:jc w:val="left"/>
              <w:rPr>
                <w:rStyle w:val="9"/>
                <w:rFonts w:ascii="仿宋" w:hAnsi="仿宋" w:eastAsia="仿宋" w:cs="Times New Roman"/>
                <w:b w:val="0"/>
                <w:bCs w:val="0"/>
                <w:sz w:val="24"/>
                <w:szCs w:val="24"/>
              </w:rPr>
            </w:pPr>
            <w:r>
              <w:rPr>
                <w:rStyle w:val="9"/>
                <w:rFonts w:hint="eastAsia" w:ascii="仿宋" w:hAnsi="仿宋" w:eastAsia="仿宋" w:cs="Times New Roman"/>
                <w:b w:val="0"/>
                <w:sz w:val="24"/>
                <w:szCs w:val="24"/>
              </w:rPr>
              <w:t>2.良：实施方案较全面、完善，可行性和可操作性较强，具有可行的餐饮应急预案及规章制度，10&lt;得分≤15；</w:t>
            </w:r>
          </w:p>
          <w:p w14:paraId="7A80C8C1">
            <w:pPr>
              <w:widowControl/>
              <w:spacing w:line="360" w:lineRule="exact"/>
              <w:ind w:right="108" w:firstLine="480" w:firstLineChars="200"/>
              <w:jc w:val="left"/>
              <w:rPr>
                <w:rStyle w:val="9"/>
                <w:rFonts w:ascii="仿宋" w:hAnsi="仿宋" w:eastAsia="仿宋" w:cs="Times New Roman"/>
                <w:b w:val="0"/>
                <w:bCs w:val="0"/>
                <w:sz w:val="24"/>
                <w:szCs w:val="24"/>
              </w:rPr>
            </w:pPr>
            <w:r>
              <w:rPr>
                <w:rStyle w:val="9"/>
                <w:rFonts w:hint="eastAsia" w:ascii="仿宋" w:hAnsi="仿宋" w:eastAsia="仿宋" w:cs="Times New Roman"/>
                <w:b w:val="0"/>
                <w:sz w:val="24"/>
                <w:szCs w:val="24"/>
              </w:rPr>
              <w:t>3.中：实施方案较全面不够合理，可行性和可操作性一般，0&lt;得分≤10；</w:t>
            </w:r>
          </w:p>
          <w:p w14:paraId="09BA557C">
            <w:pPr>
              <w:widowControl/>
              <w:spacing w:line="360" w:lineRule="exact"/>
              <w:ind w:right="108" w:firstLine="480" w:firstLineChars="200"/>
              <w:jc w:val="left"/>
              <w:rPr>
                <w:rStyle w:val="9"/>
                <w:rFonts w:ascii="仿宋" w:hAnsi="仿宋" w:eastAsia="仿宋" w:cs="Times New Roman"/>
                <w:b w:val="0"/>
                <w:bCs w:val="0"/>
                <w:sz w:val="24"/>
                <w:szCs w:val="24"/>
              </w:rPr>
            </w:pPr>
            <w:r>
              <w:rPr>
                <w:rStyle w:val="9"/>
                <w:rFonts w:hint="eastAsia" w:ascii="仿宋" w:hAnsi="仿宋" w:eastAsia="仿宋" w:cs="Times New Roman"/>
                <w:b w:val="0"/>
                <w:sz w:val="24"/>
                <w:szCs w:val="24"/>
              </w:rPr>
              <w:t xml:space="preserve">4.差：实施方案不全，可行性和可操作性较差，得分为0。 </w:t>
            </w:r>
          </w:p>
          <w:p w14:paraId="14953440">
            <w:pPr>
              <w:widowControl/>
              <w:spacing w:line="360" w:lineRule="exact"/>
              <w:ind w:right="108" w:firstLine="470" w:firstLineChars="196"/>
              <w:rPr>
                <w:rFonts w:ascii="仿宋" w:hAnsi="仿宋" w:eastAsia="仿宋" w:cs="Times New Roman"/>
                <w:kern w:val="0"/>
                <w:sz w:val="24"/>
                <w:szCs w:val="24"/>
              </w:rPr>
            </w:pPr>
            <w:r>
              <w:rPr>
                <w:rStyle w:val="9"/>
                <w:rFonts w:hint="eastAsia" w:ascii="仿宋" w:hAnsi="仿宋" w:eastAsia="仿宋" w:cs="Times New Roman"/>
                <w:b w:val="0"/>
                <w:sz w:val="24"/>
                <w:szCs w:val="24"/>
              </w:rPr>
              <w:t>注：供应商需针对本项目提供含服务体系、拟投入人员、应急预案、质量控制措施的实施方案，不提供相关资料不得分。</w:t>
            </w:r>
          </w:p>
        </w:tc>
        <w:tc>
          <w:tcPr>
            <w:tcW w:w="1276" w:type="dxa"/>
            <w:tcBorders>
              <w:top w:val="single" w:color="000000" w:sz="4" w:space="0"/>
              <w:left w:val="single" w:color="000000" w:sz="4" w:space="0"/>
              <w:bottom w:val="single" w:color="000000" w:sz="4" w:space="0"/>
              <w:right w:val="single" w:color="000000" w:sz="4" w:space="0"/>
            </w:tcBorders>
            <w:vAlign w:val="center"/>
          </w:tcPr>
          <w:p w14:paraId="0BEA1B26">
            <w:pPr>
              <w:widowControl/>
              <w:spacing w:line="360" w:lineRule="exact"/>
              <w:ind w:right="110"/>
              <w:jc w:val="center"/>
              <w:rPr>
                <w:rFonts w:ascii="仿宋" w:hAnsi="仿宋" w:eastAsia="仿宋" w:cs="Times New Roman"/>
                <w:kern w:val="0"/>
                <w:sz w:val="24"/>
                <w:szCs w:val="24"/>
              </w:rPr>
            </w:pPr>
            <w:r>
              <w:rPr>
                <w:rFonts w:hint="eastAsia" w:ascii="仿宋" w:hAnsi="仿宋" w:eastAsia="仿宋" w:cs="Times New Roman"/>
                <w:kern w:val="0"/>
                <w:sz w:val="24"/>
                <w:szCs w:val="24"/>
              </w:rPr>
              <w:t>30</w:t>
            </w:r>
          </w:p>
        </w:tc>
      </w:tr>
      <w:tr w14:paraId="37D995AA">
        <w:tblPrEx>
          <w:tblCellMar>
            <w:top w:w="0" w:type="dxa"/>
            <w:left w:w="108" w:type="dxa"/>
            <w:bottom w:w="67" w:type="dxa"/>
            <w:right w:w="0" w:type="dxa"/>
          </w:tblCellMar>
        </w:tblPrEx>
        <w:trPr>
          <w:trHeight w:val="195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0A9EFE90">
            <w:pPr>
              <w:widowControl/>
              <w:spacing w:line="360" w:lineRule="exact"/>
              <w:ind w:right="108"/>
              <w:jc w:val="center"/>
              <w:rPr>
                <w:rFonts w:ascii="仿宋" w:hAnsi="仿宋" w:eastAsia="仿宋" w:cs="Times New Roman"/>
                <w:kern w:val="0"/>
                <w:sz w:val="24"/>
                <w:szCs w:val="24"/>
              </w:rPr>
            </w:pPr>
            <w:r>
              <w:rPr>
                <w:rFonts w:hint="eastAsia" w:ascii="仿宋" w:hAnsi="仿宋" w:eastAsia="仿宋" w:cs="Times New Roman"/>
                <w:kern w:val="0"/>
                <w:sz w:val="24"/>
                <w:szCs w:val="24"/>
              </w:rPr>
              <w:t>2</w:t>
            </w:r>
          </w:p>
        </w:tc>
        <w:tc>
          <w:tcPr>
            <w:tcW w:w="1481" w:type="dxa"/>
            <w:tcBorders>
              <w:top w:val="single" w:color="000000" w:sz="4" w:space="0"/>
              <w:left w:val="single" w:color="000000" w:sz="4" w:space="0"/>
              <w:bottom w:val="single" w:color="000000" w:sz="4" w:space="0"/>
              <w:right w:val="single" w:color="000000" w:sz="4" w:space="0"/>
            </w:tcBorders>
            <w:vAlign w:val="center"/>
          </w:tcPr>
          <w:p w14:paraId="4785D40D">
            <w:pPr>
              <w:widowControl/>
              <w:spacing w:line="360" w:lineRule="exact"/>
              <w:ind w:right="108"/>
              <w:jc w:val="center"/>
              <w:rPr>
                <w:rFonts w:ascii="仿宋" w:hAnsi="仿宋" w:eastAsia="仿宋" w:cs="Times New Roman"/>
                <w:kern w:val="0"/>
                <w:sz w:val="24"/>
                <w:szCs w:val="24"/>
              </w:rPr>
            </w:pPr>
            <w:r>
              <w:rPr>
                <w:rStyle w:val="9"/>
                <w:rFonts w:ascii="仿宋" w:hAnsi="仿宋" w:eastAsia="仿宋" w:cs="Times New Roman"/>
                <w:sz w:val="24"/>
                <w:szCs w:val="24"/>
              </w:rPr>
              <w:t>经营业绩</w:t>
            </w:r>
          </w:p>
        </w:tc>
        <w:tc>
          <w:tcPr>
            <w:tcW w:w="6662" w:type="dxa"/>
            <w:tcBorders>
              <w:top w:val="single" w:color="000000" w:sz="4" w:space="0"/>
              <w:left w:val="single" w:color="000000" w:sz="4" w:space="0"/>
              <w:bottom w:val="single" w:color="000000" w:sz="4" w:space="0"/>
              <w:right w:val="single" w:color="000000" w:sz="4" w:space="0"/>
            </w:tcBorders>
            <w:vAlign w:val="center"/>
          </w:tcPr>
          <w:p w14:paraId="612725F6">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根据报名单位提供的承接过同类配送项目业绩证明评分，最高得10分。</w:t>
            </w:r>
          </w:p>
          <w:p w14:paraId="0989D0CA">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合同金额&lt;5万，每项得1分；</w:t>
            </w:r>
          </w:p>
          <w:p w14:paraId="5134D25B">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5万≤合同金额，每项得2分；</w:t>
            </w:r>
          </w:p>
          <w:p w14:paraId="2224A939">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如提供的业绩证明无合同金额，每项得1分；</w:t>
            </w:r>
          </w:p>
          <w:p w14:paraId="35FDBB41">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不提供相关证明该项评分项目不得分。</w:t>
            </w:r>
          </w:p>
        </w:tc>
        <w:tc>
          <w:tcPr>
            <w:tcW w:w="1276" w:type="dxa"/>
            <w:tcBorders>
              <w:top w:val="single" w:color="000000" w:sz="4" w:space="0"/>
              <w:left w:val="single" w:color="000000" w:sz="4" w:space="0"/>
              <w:bottom w:val="single" w:color="000000" w:sz="4" w:space="0"/>
              <w:right w:val="single" w:color="000000" w:sz="4" w:space="0"/>
            </w:tcBorders>
            <w:vAlign w:val="center"/>
          </w:tcPr>
          <w:p w14:paraId="3A89DD37">
            <w:pPr>
              <w:widowControl/>
              <w:spacing w:line="360" w:lineRule="exact"/>
              <w:ind w:right="110"/>
              <w:jc w:val="center"/>
              <w:rPr>
                <w:rFonts w:ascii="仿宋" w:hAnsi="仿宋" w:eastAsia="仿宋" w:cs="Times New Roman"/>
                <w:sz w:val="24"/>
                <w:szCs w:val="24"/>
              </w:rPr>
            </w:pPr>
            <w:r>
              <w:rPr>
                <w:rFonts w:hint="eastAsia" w:ascii="仿宋" w:hAnsi="仿宋" w:eastAsia="仿宋" w:cs="Times New Roman"/>
                <w:sz w:val="24"/>
                <w:szCs w:val="24"/>
              </w:rPr>
              <w:t>10</w:t>
            </w:r>
          </w:p>
        </w:tc>
      </w:tr>
      <w:tr w14:paraId="00A8A168">
        <w:tblPrEx>
          <w:tblCellMar>
            <w:top w:w="0" w:type="dxa"/>
            <w:left w:w="108" w:type="dxa"/>
            <w:bottom w:w="67" w:type="dxa"/>
            <w:right w:w="0" w:type="dxa"/>
          </w:tblCellMar>
        </w:tblPrEx>
        <w:trPr>
          <w:trHeight w:val="189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5DA3140E">
            <w:pPr>
              <w:widowControl/>
              <w:spacing w:line="360" w:lineRule="exact"/>
              <w:ind w:right="108"/>
              <w:jc w:val="center"/>
              <w:rPr>
                <w:rFonts w:ascii="仿宋" w:hAnsi="仿宋" w:eastAsia="仿宋" w:cs="Times New Roman"/>
                <w:kern w:val="0"/>
                <w:sz w:val="24"/>
                <w:szCs w:val="24"/>
              </w:rPr>
            </w:pPr>
            <w:r>
              <w:rPr>
                <w:rFonts w:hint="eastAsia" w:ascii="仿宋" w:hAnsi="仿宋" w:eastAsia="仿宋" w:cs="Times New Roman"/>
                <w:kern w:val="0"/>
                <w:sz w:val="24"/>
                <w:szCs w:val="24"/>
              </w:rPr>
              <w:t>3</w:t>
            </w:r>
          </w:p>
        </w:tc>
        <w:tc>
          <w:tcPr>
            <w:tcW w:w="1481" w:type="dxa"/>
            <w:tcBorders>
              <w:top w:val="single" w:color="000000" w:sz="4" w:space="0"/>
              <w:left w:val="single" w:color="000000" w:sz="4" w:space="0"/>
              <w:bottom w:val="single" w:color="000000" w:sz="4" w:space="0"/>
              <w:right w:val="single" w:color="000000" w:sz="4" w:space="0"/>
            </w:tcBorders>
            <w:vAlign w:val="center"/>
          </w:tcPr>
          <w:p w14:paraId="48CED94F">
            <w:pPr>
              <w:widowControl/>
              <w:spacing w:line="360" w:lineRule="exact"/>
              <w:ind w:right="108"/>
              <w:jc w:val="center"/>
              <w:rPr>
                <w:rStyle w:val="9"/>
                <w:rFonts w:ascii="仿宋" w:hAnsi="仿宋" w:eastAsia="仿宋" w:cs="Times New Roman"/>
                <w:sz w:val="24"/>
                <w:szCs w:val="24"/>
              </w:rPr>
            </w:pPr>
            <w:r>
              <w:rPr>
                <w:rStyle w:val="9"/>
                <w:rFonts w:hint="eastAsia" w:ascii="仿宋" w:hAnsi="仿宋" w:eastAsia="仿宋" w:cs="Times New Roman"/>
                <w:sz w:val="24"/>
                <w:szCs w:val="24"/>
              </w:rPr>
              <w:t>投入设备及人员</w:t>
            </w:r>
          </w:p>
        </w:tc>
        <w:tc>
          <w:tcPr>
            <w:tcW w:w="6662" w:type="dxa"/>
            <w:tcBorders>
              <w:top w:val="single" w:color="000000" w:sz="4" w:space="0"/>
              <w:left w:val="single" w:color="000000" w:sz="4" w:space="0"/>
              <w:bottom w:val="single" w:color="000000" w:sz="4" w:space="0"/>
              <w:right w:val="single" w:color="000000" w:sz="4" w:space="0"/>
            </w:tcBorders>
            <w:vAlign w:val="center"/>
          </w:tcPr>
          <w:p w14:paraId="072A9F00">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1.供应商投入配送车辆，每1辆车得1分，最高得3分。</w:t>
            </w:r>
          </w:p>
          <w:p w14:paraId="5DCA01C1">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2.供应商提供服务的厨师取得专业资格证书的，每1名得1分，最高3分。</w:t>
            </w:r>
          </w:p>
          <w:p w14:paraId="6C188834">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3.供应商投入食材、餐具清洗、消毒设备，每一项得1分，最高4分。</w:t>
            </w:r>
          </w:p>
          <w:p w14:paraId="1076FEC0">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4.供应商提供服务的厨房员工全员取得健康证，得5分，如有厨房员工缺健康证，该大项不得分。</w:t>
            </w:r>
          </w:p>
          <w:p w14:paraId="667C6079">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5.供应商没有餐具消毒设备，该大项不得分。</w:t>
            </w:r>
          </w:p>
          <w:p w14:paraId="609C3759">
            <w:pPr>
              <w:widowControl/>
              <w:spacing w:line="360" w:lineRule="exact"/>
              <w:ind w:right="108"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（注：供应商需提供配送车辆的证照、厨师和厨房员工证件、清洗消毒设备资料等，不提供相关材料不得分。）</w:t>
            </w:r>
          </w:p>
        </w:tc>
        <w:tc>
          <w:tcPr>
            <w:tcW w:w="1276" w:type="dxa"/>
            <w:tcBorders>
              <w:top w:val="single" w:color="000000" w:sz="4" w:space="0"/>
              <w:left w:val="single" w:color="000000" w:sz="4" w:space="0"/>
              <w:bottom w:val="single" w:color="000000" w:sz="4" w:space="0"/>
              <w:right w:val="single" w:color="000000" w:sz="4" w:space="0"/>
            </w:tcBorders>
            <w:vAlign w:val="center"/>
          </w:tcPr>
          <w:p w14:paraId="6CC8B431">
            <w:pPr>
              <w:widowControl/>
              <w:spacing w:line="360" w:lineRule="exact"/>
              <w:ind w:right="110"/>
              <w:jc w:val="center"/>
              <w:rPr>
                <w:rFonts w:ascii="仿宋" w:hAnsi="仿宋" w:eastAsia="仿宋" w:cs="Times New Roman"/>
                <w:kern w:val="0"/>
                <w:sz w:val="24"/>
                <w:szCs w:val="24"/>
              </w:rPr>
            </w:pPr>
            <w:r>
              <w:rPr>
                <w:rFonts w:hint="eastAsia" w:ascii="仿宋" w:hAnsi="仿宋" w:eastAsia="仿宋" w:cs="Times New Roman"/>
                <w:kern w:val="0"/>
                <w:sz w:val="24"/>
                <w:szCs w:val="24"/>
              </w:rPr>
              <w:t>15</w:t>
            </w:r>
          </w:p>
        </w:tc>
      </w:tr>
      <w:tr w14:paraId="7CD296E3">
        <w:tblPrEx>
          <w:tblCellMar>
            <w:top w:w="0" w:type="dxa"/>
            <w:left w:w="108" w:type="dxa"/>
            <w:bottom w:w="67" w:type="dxa"/>
            <w:right w:w="0" w:type="dxa"/>
          </w:tblCellMar>
        </w:tblPrEx>
        <w:trPr>
          <w:trHeight w:val="3250"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646DB4E0">
            <w:pPr>
              <w:widowControl/>
              <w:spacing w:line="360" w:lineRule="exact"/>
              <w:ind w:right="108"/>
              <w:jc w:val="center"/>
              <w:rPr>
                <w:rFonts w:ascii="仿宋" w:hAnsi="仿宋" w:eastAsia="仿宋" w:cs="Times New Roman"/>
                <w:kern w:val="0"/>
                <w:sz w:val="24"/>
                <w:szCs w:val="24"/>
              </w:rPr>
            </w:pPr>
            <w:r>
              <w:rPr>
                <w:rFonts w:hint="eastAsia" w:ascii="仿宋" w:hAnsi="仿宋" w:eastAsia="仿宋" w:cs="Times New Roman"/>
                <w:kern w:val="0"/>
                <w:sz w:val="24"/>
                <w:szCs w:val="24"/>
              </w:rPr>
              <w:t>4</w:t>
            </w:r>
          </w:p>
        </w:tc>
        <w:tc>
          <w:tcPr>
            <w:tcW w:w="1481" w:type="dxa"/>
            <w:tcBorders>
              <w:top w:val="single" w:color="000000" w:sz="4" w:space="0"/>
              <w:left w:val="single" w:color="000000" w:sz="4" w:space="0"/>
              <w:bottom w:val="single" w:color="000000" w:sz="4" w:space="0"/>
              <w:right w:val="single" w:color="000000" w:sz="4" w:space="0"/>
            </w:tcBorders>
            <w:vAlign w:val="center"/>
          </w:tcPr>
          <w:p w14:paraId="1C074288">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食材</w:t>
            </w:r>
            <w:r>
              <w:rPr>
                <w:rStyle w:val="9"/>
                <w:rFonts w:hint="eastAsia" w:ascii="仿宋" w:hAnsi="仿宋" w:eastAsia="仿宋" w:cs="Times New Roman"/>
                <w:sz w:val="24"/>
                <w:szCs w:val="24"/>
              </w:rPr>
              <w:t>来源</w:t>
            </w:r>
          </w:p>
        </w:tc>
        <w:tc>
          <w:tcPr>
            <w:tcW w:w="6662" w:type="dxa"/>
            <w:tcBorders>
              <w:top w:val="single" w:color="000000" w:sz="4" w:space="0"/>
              <w:left w:val="single" w:color="000000" w:sz="4" w:space="0"/>
              <w:bottom w:val="single" w:color="000000" w:sz="4" w:space="0"/>
              <w:right w:val="single" w:color="000000" w:sz="4" w:space="0"/>
            </w:tcBorders>
            <w:vAlign w:val="center"/>
          </w:tcPr>
          <w:p w14:paraId="7C58F600">
            <w:pPr>
              <w:widowControl/>
              <w:spacing w:line="360" w:lineRule="exact"/>
              <w:ind w:right="108" w:firstLine="470" w:firstLineChars="196"/>
              <w:rPr>
                <w:rFonts w:ascii="仿宋" w:hAnsi="仿宋" w:eastAsia="仿宋" w:cs="Times New Roman"/>
                <w:kern w:val="0"/>
                <w:sz w:val="24"/>
                <w:szCs w:val="24"/>
              </w:rPr>
            </w:pPr>
            <w:r>
              <w:rPr>
                <w:rFonts w:hint="eastAsia" w:ascii="仿宋" w:hAnsi="仿宋" w:eastAsia="仿宋" w:cs="Times New Roman"/>
                <w:kern w:val="0"/>
                <w:sz w:val="24"/>
                <w:szCs w:val="24"/>
              </w:rPr>
              <w:t>1.供应商承诺建立配送采购人食材的追踪溯源体系及专门台账档案，得5分。（供应商提供承诺函加盖公章，不提供承诺函不得分。）</w:t>
            </w:r>
          </w:p>
          <w:p w14:paraId="131495C1">
            <w:pPr>
              <w:widowControl/>
              <w:spacing w:line="360" w:lineRule="exact"/>
              <w:ind w:right="108" w:firstLine="470" w:firstLineChars="196"/>
              <w:rPr>
                <w:rFonts w:ascii="仿宋" w:hAnsi="仿宋" w:eastAsia="仿宋" w:cs="Times New Roman"/>
                <w:kern w:val="0"/>
                <w:sz w:val="24"/>
                <w:szCs w:val="24"/>
              </w:rPr>
            </w:pPr>
            <w:r>
              <w:rPr>
                <w:rFonts w:hint="eastAsia" w:ascii="仿宋" w:hAnsi="仿宋" w:eastAsia="仿宋" w:cs="Times New Roman"/>
                <w:kern w:val="0"/>
                <w:sz w:val="24"/>
                <w:szCs w:val="24"/>
              </w:rPr>
              <w:t>2.供应商与当地经营大型农贸市场或与大型农贸市场有稳定合作关系，得5分。(供应商提供与有经营大型农贸市场或与大型农贸市场的合作协议或者合同复印件加盖投标人公章，不提供不得分。)</w:t>
            </w:r>
          </w:p>
          <w:p w14:paraId="7344D5B9">
            <w:pPr>
              <w:widowControl/>
              <w:spacing w:line="360" w:lineRule="exact"/>
              <w:ind w:right="108" w:firstLine="470" w:firstLineChars="196"/>
              <w:rPr>
                <w:rFonts w:ascii="仿宋" w:hAnsi="仿宋" w:eastAsia="仿宋" w:cs="Times New Roman"/>
                <w:kern w:val="0"/>
                <w:sz w:val="24"/>
                <w:szCs w:val="24"/>
              </w:rPr>
            </w:pPr>
            <w:r>
              <w:rPr>
                <w:rFonts w:hint="eastAsia" w:ascii="仿宋" w:hAnsi="仿宋" w:eastAsia="仿宋" w:cs="Times New Roman"/>
                <w:kern w:val="0"/>
                <w:sz w:val="24"/>
                <w:szCs w:val="24"/>
              </w:rPr>
              <w:t>3.供应商自有或租赁原材料生产基地的，如蔬菜、肉类、粮食、水果、水产品、副食品等，每提供1项得1分，满分5分。(提供自有基地相关的产权证明复印件加盖投标人公章，如租赁原材料基地的提供租赁合同复印件加盖公章，否则不得分。)</w:t>
            </w:r>
          </w:p>
        </w:tc>
        <w:tc>
          <w:tcPr>
            <w:tcW w:w="1276" w:type="dxa"/>
            <w:tcBorders>
              <w:top w:val="single" w:color="000000" w:sz="4" w:space="0"/>
              <w:left w:val="single" w:color="000000" w:sz="4" w:space="0"/>
              <w:bottom w:val="single" w:color="000000" w:sz="4" w:space="0"/>
              <w:right w:val="single" w:color="000000" w:sz="4" w:space="0"/>
            </w:tcBorders>
            <w:vAlign w:val="center"/>
          </w:tcPr>
          <w:p w14:paraId="42CBFB2F">
            <w:pPr>
              <w:widowControl/>
              <w:spacing w:line="360" w:lineRule="exact"/>
              <w:ind w:right="110"/>
              <w:jc w:val="center"/>
              <w:rPr>
                <w:rFonts w:ascii="仿宋" w:hAnsi="仿宋" w:eastAsia="仿宋" w:cs="Times New Roman"/>
                <w:kern w:val="0"/>
                <w:sz w:val="24"/>
                <w:szCs w:val="24"/>
              </w:rPr>
            </w:pPr>
            <w:r>
              <w:rPr>
                <w:rFonts w:hint="eastAsia" w:ascii="仿宋" w:hAnsi="仿宋" w:eastAsia="仿宋" w:cs="Times New Roman"/>
                <w:kern w:val="0"/>
                <w:sz w:val="24"/>
                <w:szCs w:val="24"/>
              </w:rPr>
              <w:t>1</w:t>
            </w:r>
            <w:r>
              <w:rPr>
                <w:rFonts w:ascii="仿宋" w:hAnsi="仿宋" w:eastAsia="仿宋" w:cs="Times New Roman"/>
                <w:kern w:val="0"/>
                <w:sz w:val="24"/>
                <w:szCs w:val="24"/>
              </w:rPr>
              <w:t>5</w:t>
            </w:r>
          </w:p>
        </w:tc>
      </w:tr>
      <w:tr w14:paraId="5B8372FF">
        <w:tblPrEx>
          <w:tblCellMar>
            <w:top w:w="0" w:type="dxa"/>
            <w:left w:w="108" w:type="dxa"/>
            <w:bottom w:w="67" w:type="dxa"/>
            <w:right w:w="0" w:type="dxa"/>
          </w:tblCellMar>
        </w:tblPrEx>
        <w:trPr>
          <w:trHeight w:val="204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214CC5F3">
            <w:pPr>
              <w:widowControl/>
              <w:spacing w:line="360" w:lineRule="exact"/>
              <w:ind w:right="108"/>
              <w:jc w:val="center"/>
              <w:rPr>
                <w:rFonts w:ascii="仿宋" w:hAnsi="仿宋" w:eastAsia="仿宋" w:cs="Times New Roman"/>
                <w:kern w:val="0"/>
                <w:sz w:val="24"/>
                <w:szCs w:val="24"/>
              </w:rPr>
            </w:pPr>
            <w:r>
              <w:rPr>
                <w:rFonts w:hint="eastAsia" w:ascii="仿宋" w:hAnsi="仿宋" w:eastAsia="仿宋" w:cs="Times New Roman"/>
                <w:kern w:val="0"/>
                <w:sz w:val="24"/>
                <w:szCs w:val="24"/>
              </w:rPr>
              <w:t>5</w:t>
            </w:r>
          </w:p>
        </w:tc>
        <w:tc>
          <w:tcPr>
            <w:tcW w:w="1481" w:type="dxa"/>
            <w:tcBorders>
              <w:top w:val="single" w:color="000000" w:sz="4" w:space="0"/>
              <w:left w:val="single" w:color="000000" w:sz="4" w:space="0"/>
              <w:bottom w:val="single" w:color="000000" w:sz="4" w:space="0"/>
              <w:right w:val="single" w:color="000000" w:sz="4" w:space="0"/>
            </w:tcBorders>
            <w:vAlign w:val="center"/>
          </w:tcPr>
          <w:p w14:paraId="6CA45C19">
            <w:pPr>
              <w:widowControl/>
              <w:spacing w:line="360" w:lineRule="exact"/>
              <w:ind w:right="108"/>
              <w:jc w:val="center"/>
              <w:rPr>
                <w:rStyle w:val="9"/>
                <w:rFonts w:ascii="仿宋" w:hAnsi="仿宋" w:eastAsia="仿宋" w:cs="Times New Roman"/>
                <w:sz w:val="24"/>
                <w:szCs w:val="24"/>
              </w:rPr>
            </w:pPr>
            <w:r>
              <w:rPr>
                <w:rStyle w:val="9"/>
                <w:rFonts w:ascii="仿宋" w:hAnsi="仿宋" w:eastAsia="仿宋" w:cs="Times New Roman"/>
                <w:sz w:val="24"/>
                <w:szCs w:val="24"/>
              </w:rPr>
              <w:t>食材</w:t>
            </w:r>
            <w:r>
              <w:rPr>
                <w:rStyle w:val="9"/>
                <w:rFonts w:hint="eastAsia" w:ascii="仿宋" w:hAnsi="仿宋" w:eastAsia="仿宋" w:cs="Times New Roman"/>
                <w:sz w:val="24"/>
                <w:szCs w:val="24"/>
              </w:rPr>
              <w:t>安全</w:t>
            </w:r>
            <w:r>
              <w:rPr>
                <w:rStyle w:val="9"/>
                <w:rFonts w:ascii="仿宋" w:hAnsi="仿宋" w:eastAsia="仿宋" w:cs="Times New Roman"/>
                <w:sz w:val="24"/>
                <w:szCs w:val="24"/>
              </w:rPr>
              <w:t>保障</w:t>
            </w:r>
          </w:p>
        </w:tc>
        <w:tc>
          <w:tcPr>
            <w:tcW w:w="6662" w:type="dxa"/>
            <w:tcBorders>
              <w:top w:val="single" w:color="000000" w:sz="4" w:space="0"/>
              <w:left w:val="single" w:color="000000" w:sz="4" w:space="0"/>
              <w:bottom w:val="single" w:color="000000" w:sz="4" w:space="0"/>
              <w:right w:val="single" w:color="000000" w:sz="4" w:space="0"/>
            </w:tcBorders>
            <w:vAlign w:val="center"/>
          </w:tcPr>
          <w:p w14:paraId="35F5AD66">
            <w:pPr>
              <w:widowControl/>
              <w:spacing w:line="360" w:lineRule="exact"/>
              <w:ind w:right="108" w:firstLine="470" w:firstLineChars="196"/>
              <w:rPr>
                <w:rFonts w:ascii="仿宋" w:hAnsi="仿宋" w:eastAsia="仿宋" w:cs="Times New Roman"/>
                <w:kern w:val="0"/>
                <w:sz w:val="24"/>
                <w:szCs w:val="24"/>
              </w:rPr>
            </w:pPr>
            <w:r>
              <w:rPr>
                <w:rFonts w:hint="eastAsia" w:ascii="仿宋" w:hAnsi="仿宋" w:eastAsia="仿宋" w:cs="Times New Roman"/>
                <w:kern w:val="0"/>
                <w:sz w:val="24"/>
                <w:szCs w:val="24"/>
              </w:rPr>
              <w:t>1.供应商提供获得政府行政管理部门或有资质的第三方检测机构出具的对主要食材米、粉、面、蔬菜、禽畜生肉、禽蛋、水产品、</w:t>
            </w:r>
            <w:r>
              <w:rPr>
                <w:rFonts w:hint="eastAsia" w:ascii="仿宋" w:hAnsi="仿宋" w:eastAsia="仿宋" w:cs="Times New Roman"/>
                <w:kern w:val="0"/>
                <w:sz w:val="24"/>
                <w:szCs w:val="24"/>
                <w:lang w:eastAsia="zh-CN"/>
              </w:rPr>
              <w:t>水果、</w:t>
            </w:r>
            <w:r>
              <w:rPr>
                <w:rFonts w:hint="eastAsia" w:ascii="仿宋" w:hAnsi="仿宋" w:eastAsia="仿宋" w:cs="Times New Roman"/>
                <w:kern w:val="0"/>
                <w:sz w:val="24"/>
                <w:szCs w:val="24"/>
              </w:rPr>
              <w:t>副食品等的检验合格质检报告，每提供一项原材料报告得1分，最高得分为5分。</w:t>
            </w:r>
          </w:p>
          <w:p w14:paraId="3E637237">
            <w:pPr>
              <w:widowControl/>
              <w:spacing w:line="360" w:lineRule="exact"/>
              <w:ind w:right="108" w:firstLine="470" w:firstLineChars="196"/>
              <w:rPr>
                <w:rFonts w:ascii="仿宋" w:hAnsi="仿宋" w:eastAsia="仿宋" w:cs="Times New Roman"/>
                <w:kern w:val="0"/>
                <w:sz w:val="24"/>
                <w:szCs w:val="24"/>
              </w:rPr>
            </w:pPr>
            <w:r>
              <w:rPr>
                <w:rFonts w:hint="eastAsia" w:ascii="仿宋" w:hAnsi="仿宋" w:eastAsia="仿宋" w:cs="Times New Roman"/>
                <w:kern w:val="0"/>
                <w:sz w:val="24"/>
                <w:szCs w:val="24"/>
              </w:rPr>
              <w:t>2.供应商对食品安全进行安全责任投保，投保金额不少于500万元的，得5</w:t>
            </w:r>
            <w:r>
              <w:rPr>
                <w:rFonts w:hint="eastAsia" w:ascii="仿宋" w:hAnsi="仿宋" w:eastAsia="仿宋" w:cs="Times New Roman"/>
                <w:kern w:val="0"/>
                <w:sz w:val="24"/>
                <w:szCs w:val="24"/>
                <w:lang w:eastAsia="zh-CN"/>
              </w:rPr>
              <w:t>分</w:t>
            </w:r>
            <w:r>
              <w:rPr>
                <w:rFonts w:hint="eastAsia" w:ascii="仿宋" w:hAnsi="仿宋" w:eastAsia="仿宋" w:cs="Times New Roman"/>
                <w:kern w:val="0"/>
                <w:sz w:val="24"/>
                <w:szCs w:val="24"/>
              </w:rPr>
              <w:t>；投保金额不少于300万元的，得3分；投保金额不少于100万元的，得1分。供应商需提供有效的食品安全责任保险合同，不提供相关证明不得分。</w:t>
            </w:r>
          </w:p>
        </w:tc>
        <w:tc>
          <w:tcPr>
            <w:tcW w:w="1276" w:type="dxa"/>
            <w:tcBorders>
              <w:top w:val="single" w:color="000000" w:sz="4" w:space="0"/>
              <w:left w:val="single" w:color="000000" w:sz="4" w:space="0"/>
              <w:bottom w:val="single" w:color="000000" w:sz="4" w:space="0"/>
              <w:right w:val="single" w:color="000000" w:sz="4" w:space="0"/>
            </w:tcBorders>
            <w:vAlign w:val="center"/>
          </w:tcPr>
          <w:p w14:paraId="0814FCE0">
            <w:pPr>
              <w:widowControl/>
              <w:spacing w:line="360" w:lineRule="exact"/>
              <w:ind w:right="110"/>
              <w:jc w:val="center"/>
              <w:rPr>
                <w:rFonts w:ascii="仿宋" w:hAnsi="仿宋" w:eastAsia="仿宋" w:cs="Times New Roman"/>
                <w:kern w:val="0"/>
                <w:sz w:val="24"/>
                <w:szCs w:val="24"/>
              </w:rPr>
            </w:pPr>
            <w:r>
              <w:rPr>
                <w:rFonts w:hint="eastAsia" w:ascii="仿宋" w:hAnsi="仿宋" w:eastAsia="仿宋" w:cs="Times New Roman"/>
                <w:kern w:val="0"/>
                <w:sz w:val="24"/>
                <w:szCs w:val="24"/>
              </w:rPr>
              <w:t>10</w:t>
            </w:r>
          </w:p>
        </w:tc>
      </w:tr>
      <w:tr w14:paraId="6D18F1AE">
        <w:tblPrEx>
          <w:tblCellMar>
            <w:top w:w="0" w:type="dxa"/>
            <w:left w:w="108" w:type="dxa"/>
            <w:bottom w:w="67" w:type="dxa"/>
            <w:right w:w="0" w:type="dxa"/>
          </w:tblCellMar>
        </w:tblPrEx>
        <w:trPr>
          <w:trHeight w:val="278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6E9C09DA">
            <w:pPr>
              <w:widowControl/>
              <w:spacing w:line="360" w:lineRule="exact"/>
              <w:ind w:right="108"/>
              <w:jc w:val="center"/>
              <w:rPr>
                <w:rFonts w:ascii="仿宋" w:hAnsi="仿宋" w:eastAsia="仿宋" w:cs="Times New Roman"/>
                <w:kern w:val="0"/>
                <w:sz w:val="24"/>
                <w:szCs w:val="24"/>
              </w:rPr>
            </w:pPr>
            <w:r>
              <w:rPr>
                <w:rFonts w:hint="eastAsia" w:ascii="仿宋" w:hAnsi="仿宋" w:eastAsia="仿宋" w:cs="Times New Roman"/>
                <w:kern w:val="0"/>
                <w:sz w:val="24"/>
                <w:szCs w:val="24"/>
              </w:rPr>
              <w:t>6</w:t>
            </w:r>
          </w:p>
        </w:tc>
        <w:tc>
          <w:tcPr>
            <w:tcW w:w="1481" w:type="dxa"/>
            <w:tcBorders>
              <w:top w:val="single" w:color="000000" w:sz="4" w:space="0"/>
              <w:left w:val="single" w:color="000000" w:sz="4" w:space="0"/>
              <w:bottom w:val="single" w:color="000000" w:sz="4" w:space="0"/>
              <w:right w:val="single" w:color="000000" w:sz="4" w:space="0"/>
            </w:tcBorders>
            <w:vAlign w:val="center"/>
          </w:tcPr>
          <w:p w14:paraId="37101589">
            <w:pPr>
              <w:widowControl/>
              <w:spacing w:line="360" w:lineRule="exact"/>
              <w:ind w:right="108"/>
              <w:jc w:val="center"/>
              <w:rPr>
                <w:rStyle w:val="9"/>
                <w:rFonts w:ascii="仿宋" w:hAnsi="仿宋" w:eastAsia="仿宋" w:cs="Times New Roman"/>
                <w:sz w:val="24"/>
                <w:szCs w:val="24"/>
              </w:rPr>
            </w:pPr>
            <w:r>
              <w:rPr>
                <w:rStyle w:val="9"/>
                <w:rFonts w:hint="eastAsia" w:ascii="仿宋" w:hAnsi="仿宋" w:eastAsia="仿宋" w:cs="Times New Roman"/>
                <w:sz w:val="24"/>
                <w:szCs w:val="24"/>
              </w:rPr>
              <w:t>报价</w:t>
            </w:r>
            <w:bookmarkStart w:id="0" w:name="_GoBack"/>
            <w:bookmarkEnd w:id="0"/>
          </w:p>
        </w:tc>
        <w:tc>
          <w:tcPr>
            <w:tcW w:w="6662" w:type="dxa"/>
            <w:tcBorders>
              <w:top w:val="single" w:color="000000" w:sz="4" w:space="0"/>
              <w:left w:val="single" w:color="000000" w:sz="4" w:space="0"/>
              <w:bottom w:val="single" w:color="000000" w:sz="4" w:space="0"/>
              <w:right w:val="single" w:color="000000" w:sz="4" w:space="0"/>
            </w:tcBorders>
            <w:vAlign w:val="center"/>
          </w:tcPr>
          <w:p w14:paraId="263CCB4C">
            <w:pPr>
              <w:widowControl/>
              <w:spacing w:line="360" w:lineRule="exact"/>
              <w:ind w:right="108" w:firstLine="470" w:firstLineChars="196"/>
              <w:rPr>
                <w:rFonts w:ascii="仿宋" w:hAnsi="仿宋" w:eastAsia="仿宋" w:cs="Times New Roman"/>
                <w:kern w:val="0"/>
                <w:sz w:val="24"/>
                <w:szCs w:val="24"/>
              </w:rPr>
            </w:pPr>
            <w:r>
              <w:rPr>
                <w:rFonts w:hint="eastAsia" w:ascii="仿宋" w:hAnsi="仿宋" w:eastAsia="仿宋" w:cs="Times New Roman"/>
                <w:kern w:val="0"/>
                <w:sz w:val="24"/>
                <w:szCs w:val="24"/>
              </w:rPr>
              <w:t>根据采购方供餐服务需求，供应商对食堂早餐、午餐餐费标准进行报价，费用包含：鲜肉类、蔬菜类、禽蛋类、水产类、干货及调味品类、粮油类等食材费；以及提供食材现场加工、烹饪及配餐等服务费。</w:t>
            </w:r>
          </w:p>
          <w:p w14:paraId="516D9922">
            <w:pPr>
              <w:widowControl/>
              <w:spacing w:line="360" w:lineRule="exact"/>
              <w:ind w:right="108" w:firstLine="470" w:firstLineChars="196"/>
              <w:rPr>
                <w:rFonts w:ascii="仿宋" w:hAnsi="仿宋" w:eastAsia="仿宋" w:cs="Times New Roman"/>
                <w:kern w:val="0"/>
                <w:sz w:val="24"/>
                <w:szCs w:val="24"/>
              </w:rPr>
            </w:pPr>
            <w:r>
              <w:rPr>
                <w:rFonts w:hint="eastAsia" w:ascii="仿宋" w:hAnsi="仿宋" w:eastAsia="仿宋" w:cs="仿宋"/>
                <w:sz w:val="24"/>
                <w:szCs w:val="24"/>
              </w:rPr>
              <w:t>按公式计算得分：得分=20*（最高总报价-总报价）/（最高总报价-最低总报价）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47C18A7B">
            <w:pPr>
              <w:widowControl/>
              <w:spacing w:line="360" w:lineRule="exact"/>
              <w:ind w:right="110"/>
              <w:jc w:val="center"/>
              <w:rPr>
                <w:rFonts w:ascii="仿宋" w:hAnsi="仿宋" w:eastAsia="仿宋" w:cs="Times New Roman"/>
                <w:kern w:val="0"/>
                <w:sz w:val="24"/>
                <w:szCs w:val="24"/>
              </w:rPr>
            </w:pPr>
            <w:r>
              <w:rPr>
                <w:rFonts w:hint="eastAsia" w:ascii="仿宋" w:hAnsi="仿宋" w:eastAsia="仿宋" w:cs="Times New Roman"/>
                <w:kern w:val="0"/>
                <w:sz w:val="24"/>
                <w:szCs w:val="24"/>
              </w:rPr>
              <w:t>20</w:t>
            </w:r>
          </w:p>
        </w:tc>
      </w:tr>
    </w:tbl>
    <w:p w14:paraId="4DEB505A">
      <w:pPr>
        <w:spacing w:line="560" w:lineRule="exact"/>
        <w:ind w:firstLine="480" w:firstLineChars="200"/>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6670E"/>
    <w:rsid w:val="000A39DD"/>
    <w:rsid w:val="000D2534"/>
    <w:rsid w:val="000D4E2D"/>
    <w:rsid w:val="000E4B69"/>
    <w:rsid w:val="000F72EC"/>
    <w:rsid w:val="0011333C"/>
    <w:rsid w:val="00167A56"/>
    <w:rsid w:val="00181B06"/>
    <w:rsid w:val="001C54B0"/>
    <w:rsid w:val="0022764E"/>
    <w:rsid w:val="00253497"/>
    <w:rsid w:val="002F2FAE"/>
    <w:rsid w:val="00305F32"/>
    <w:rsid w:val="00327ABC"/>
    <w:rsid w:val="00340B46"/>
    <w:rsid w:val="0034515A"/>
    <w:rsid w:val="003B12B9"/>
    <w:rsid w:val="003B5360"/>
    <w:rsid w:val="003B7DD3"/>
    <w:rsid w:val="003D1603"/>
    <w:rsid w:val="00440BD1"/>
    <w:rsid w:val="00444802"/>
    <w:rsid w:val="004C1412"/>
    <w:rsid w:val="00516F57"/>
    <w:rsid w:val="00522A35"/>
    <w:rsid w:val="005677BB"/>
    <w:rsid w:val="005C24A7"/>
    <w:rsid w:val="006305F0"/>
    <w:rsid w:val="0066268C"/>
    <w:rsid w:val="006878BA"/>
    <w:rsid w:val="00694857"/>
    <w:rsid w:val="006B37E9"/>
    <w:rsid w:val="006C1CDE"/>
    <w:rsid w:val="00715E72"/>
    <w:rsid w:val="00760CDA"/>
    <w:rsid w:val="00777AAB"/>
    <w:rsid w:val="00797122"/>
    <w:rsid w:val="007D2C3A"/>
    <w:rsid w:val="007F142F"/>
    <w:rsid w:val="00820A9C"/>
    <w:rsid w:val="00830E7B"/>
    <w:rsid w:val="008A3D7D"/>
    <w:rsid w:val="008F0686"/>
    <w:rsid w:val="009061D4"/>
    <w:rsid w:val="00955CC6"/>
    <w:rsid w:val="00985381"/>
    <w:rsid w:val="009A34C9"/>
    <w:rsid w:val="00A4016C"/>
    <w:rsid w:val="00A408FF"/>
    <w:rsid w:val="00A46E69"/>
    <w:rsid w:val="00A91351"/>
    <w:rsid w:val="00AD3527"/>
    <w:rsid w:val="00AE47DB"/>
    <w:rsid w:val="00AE5ADD"/>
    <w:rsid w:val="00BA1A5A"/>
    <w:rsid w:val="00BA1D29"/>
    <w:rsid w:val="00BF2CDA"/>
    <w:rsid w:val="00C5305A"/>
    <w:rsid w:val="00C94002"/>
    <w:rsid w:val="00CA7458"/>
    <w:rsid w:val="00CC67E8"/>
    <w:rsid w:val="00D34B28"/>
    <w:rsid w:val="00DA468D"/>
    <w:rsid w:val="00DD3614"/>
    <w:rsid w:val="00E2266B"/>
    <w:rsid w:val="00E57E6C"/>
    <w:rsid w:val="00F32136"/>
    <w:rsid w:val="00F7441D"/>
    <w:rsid w:val="00F77EDC"/>
    <w:rsid w:val="00F8056D"/>
    <w:rsid w:val="00F83844"/>
    <w:rsid w:val="00FD7947"/>
    <w:rsid w:val="059F2E99"/>
    <w:rsid w:val="09C4763F"/>
    <w:rsid w:val="0A8F110B"/>
    <w:rsid w:val="0B190A74"/>
    <w:rsid w:val="0C384BC2"/>
    <w:rsid w:val="192F1C53"/>
    <w:rsid w:val="19D80079"/>
    <w:rsid w:val="1A4869FA"/>
    <w:rsid w:val="1CAD6C3E"/>
    <w:rsid w:val="31A830A5"/>
    <w:rsid w:val="34CD73AA"/>
    <w:rsid w:val="376D427E"/>
    <w:rsid w:val="39207ABA"/>
    <w:rsid w:val="407214B1"/>
    <w:rsid w:val="40E433ED"/>
    <w:rsid w:val="42494564"/>
    <w:rsid w:val="4EE61D65"/>
    <w:rsid w:val="5014601A"/>
    <w:rsid w:val="53044727"/>
    <w:rsid w:val="574C10C3"/>
    <w:rsid w:val="5A701090"/>
    <w:rsid w:val="69C22F57"/>
    <w:rsid w:val="6F4A22D1"/>
    <w:rsid w:val="731C41B1"/>
    <w:rsid w:val="749B21CD"/>
    <w:rsid w:val="76F870A1"/>
    <w:rsid w:val="79AF3E15"/>
    <w:rsid w:val="7B87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autoRedefine/>
    <w:qFormat/>
    <w:uiPriority w:val="0"/>
    <w:rPr>
      <w:rFonts w:ascii="宋体" w:hAnsi="Courier New"/>
      <w:kern w:val="0"/>
      <w:sz w:val="20"/>
      <w:szCs w:val="20"/>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autoRedefine/>
    <w:qFormat/>
    <w:uiPriority w:val="22"/>
    <w:rPr>
      <w:b/>
      <w:bCs/>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autoRedefine/>
    <w:qFormat/>
    <w:uiPriority w:val="0"/>
    <w:rPr>
      <w:kern w:val="2"/>
      <w:sz w:val="18"/>
      <w:szCs w:val="18"/>
    </w:rPr>
  </w:style>
  <w:style w:type="character" w:customStyle="1" w:styleId="12">
    <w:name w:val="页脚 Char"/>
    <w:basedOn w:val="8"/>
    <w:link w:val="4"/>
    <w:autoRedefine/>
    <w:qFormat/>
    <w:uiPriority w:val="0"/>
    <w:rPr>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4">
    <w:name w:val="纯文本 Char"/>
    <w:link w:val="2"/>
    <w:qFormat/>
    <w:uiPriority w:val="0"/>
    <w:rPr>
      <w:rFonts w:ascii="宋体" w:hAnsi="Courier New"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1667</Words>
  <Characters>1715</Characters>
  <Lines>12</Lines>
  <Paragraphs>3</Paragraphs>
  <TotalTime>78</TotalTime>
  <ScaleCrop>false</ScaleCrop>
  <LinksUpToDate>false</LinksUpToDate>
  <CharactersWithSpaces>1716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2024-06-24T07:26:00Z</dcterms:created>
  <dc:creator>李耀明</dc:creator>
  <cp:lastModifiedBy>赵树艳</cp:lastModifiedBy>
  <cp:lastPrinted>2025-05-12T03:48:00Z</cp:lastPrinted>
  <dcterms:modified xsi:type="dcterms:W3CDTF">2025-05-19T01:04:59Z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ribbonExt">
    <vt:lpwstr>{"WPSExtOfficeTab":{"OnGetEnabled":false,"OnGetVisible":false}}</vt:lpwstr>
  </property>
  <property fmtid="{D5CDD505-2E9C-101B-9397-08002B2CF9AE}" pid="4" name="ICV">
    <vt:lpwstr>38670CC588314449951D92804DA280C8_13</vt:lpwstr>
  </property>
  <property fmtid="{D5CDD505-2E9C-101B-9397-08002B2CF9AE}" pid="5" name="KSOTemplateDocerSaveRecord">
    <vt:lpwstr>eyJoZGlkIjoiMGMwNzZhN2EyNzczOGUwY2MxNDk4NmI1N2Q3YzAzMmEifQ==</vt:lpwstr>
  </property>
</Properties>
</file>