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1F5EB">
      <w:pPr>
        <w:spacing w:line="560" w:lineRule="exac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2</w:t>
      </w:r>
    </w:p>
    <w:p w14:paraId="78AA97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_GBK" w:cs="Times New Roman"/>
          <w:color w:val="auto"/>
          <w:sz w:val="42"/>
          <w:szCs w:val="42"/>
          <w:highlight w:val="none"/>
        </w:rPr>
      </w:pPr>
      <w:r>
        <w:rPr>
          <w:rFonts w:hint="default" w:ascii="Times New Roman" w:hAnsi="Times New Roman" w:eastAsia="方正大标宋_GBK" w:cs="Times New Roman"/>
          <w:color w:val="auto"/>
          <w:sz w:val="42"/>
          <w:szCs w:val="42"/>
          <w:highlight w:val="none"/>
          <w:lang w:eastAsia="zh-CN"/>
        </w:rPr>
        <w:t>江门市流域“南阳实践”环境应急响应项目（二期）</w:t>
      </w:r>
      <w:r>
        <w:rPr>
          <w:rFonts w:hint="default" w:ascii="Times New Roman" w:hAnsi="Times New Roman" w:eastAsia="方正大标宋_GBK" w:cs="Times New Roman"/>
          <w:color w:val="auto"/>
          <w:sz w:val="42"/>
          <w:szCs w:val="42"/>
          <w:highlight w:val="none"/>
        </w:rPr>
        <w:t>招标</w:t>
      </w:r>
      <w:bookmarkStart w:id="0" w:name="_GoBack"/>
      <w:r>
        <w:rPr>
          <w:rFonts w:hint="default" w:ascii="Times New Roman" w:hAnsi="Times New Roman" w:eastAsia="方正大标宋_GBK" w:cs="Times New Roman"/>
          <w:color w:val="auto"/>
          <w:sz w:val="42"/>
          <w:szCs w:val="42"/>
          <w:highlight w:val="none"/>
        </w:rPr>
        <w:t>评分表</w:t>
      </w:r>
      <w:bookmarkEnd w:id="0"/>
    </w:p>
    <w:p w14:paraId="07C9BE1F">
      <w:pPr>
        <w:autoSpaceDE w:val="0"/>
        <w:autoSpaceDN w:val="0"/>
        <w:adjustRightInd w:val="0"/>
        <w:snapToGrid w:val="0"/>
        <w:spacing w:beforeLines="0" w:afterLines="0"/>
        <w:ind w:left="-111" w:leftChars="-37" w:right="-105" w:rightChars="-35"/>
        <w:jc w:val="left"/>
        <w:rPr>
          <w:rFonts w:hint="default" w:ascii="Times New Roman" w:hAnsi="Times New Roman" w:eastAsia="仿宋_GB2312" w:cs="Times New Roman"/>
          <w:b/>
          <w:color w:val="auto"/>
          <w:kern w:val="0"/>
          <w:sz w:val="21"/>
          <w:szCs w:val="21"/>
        </w:rPr>
      </w:pPr>
    </w:p>
    <w:tbl>
      <w:tblPr>
        <w:tblStyle w:val="3"/>
        <w:tblW w:w="140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5"/>
        <w:gridCol w:w="754"/>
        <w:gridCol w:w="8726"/>
        <w:gridCol w:w="751"/>
        <w:gridCol w:w="969"/>
        <w:gridCol w:w="970"/>
        <w:gridCol w:w="970"/>
      </w:tblGrid>
      <w:tr w14:paraId="10AE8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05" w:type="dxa"/>
            <w:tcBorders>
              <w:top w:val="single" w:color="auto" w:sz="12" w:space="0"/>
              <w:left w:val="single" w:color="auto" w:sz="12" w:space="0"/>
              <w:bottom w:val="single" w:color="auto" w:sz="6" w:space="0"/>
              <w:right w:val="single" w:color="auto" w:sz="6" w:space="0"/>
            </w:tcBorders>
            <w:noWrap w:val="0"/>
            <w:vAlign w:val="center"/>
          </w:tcPr>
          <w:p w14:paraId="2B4A8D1D">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序号</w:t>
            </w:r>
          </w:p>
        </w:tc>
        <w:tc>
          <w:tcPr>
            <w:tcW w:w="754" w:type="dxa"/>
            <w:tcBorders>
              <w:top w:val="single" w:color="auto" w:sz="12" w:space="0"/>
              <w:left w:val="single" w:color="auto" w:sz="6" w:space="0"/>
              <w:bottom w:val="single" w:color="auto" w:sz="6" w:space="0"/>
              <w:right w:val="single" w:color="auto" w:sz="6" w:space="0"/>
            </w:tcBorders>
            <w:noWrap w:val="0"/>
            <w:vAlign w:val="center"/>
          </w:tcPr>
          <w:p w14:paraId="765F8B66">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评审</w:t>
            </w:r>
          </w:p>
          <w:p w14:paraId="227A98FD">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因素</w:t>
            </w:r>
          </w:p>
        </w:tc>
        <w:tc>
          <w:tcPr>
            <w:tcW w:w="8726" w:type="dxa"/>
            <w:tcBorders>
              <w:top w:val="single" w:color="auto" w:sz="12" w:space="0"/>
              <w:left w:val="single" w:color="auto" w:sz="6" w:space="0"/>
              <w:bottom w:val="single" w:color="auto" w:sz="6" w:space="0"/>
              <w:right w:val="single" w:color="auto" w:sz="6" w:space="0"/>
            </w:tcBorders>
            <w:noWrap w:val="0"/>
            <w:vAlign w:val="center"/>
          </w:tcPr>
          <w:p w14:paraId="77007EF0">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评分细则</w:t>
            </w:r>
          </w:p>
        </w:tc>
        <w:tc>
          <w:tcPr>
            <w:tcW w:w="751" w:type="dxa"/>
            <w:tcBorders>
              <w:top w:val="single" w:color="auto" w:sz="12" w:space="0"/>
              <w:left w:val="single" w:color="auto" w:sz="6" w:space="0"/>
              <w:bottom w:val="single" w:color="auto" w:sz="6" w:space="0"/>
              <w:right w:val="single" w:color="auto" w:sz="6" w:space="0"/>
            </w:tcBorders>
            <w:noWrap w:val="0"/>
            <w:vAlign w:val="center"/>
          </w:tcPr>
          <w:p w14:paraId="0C01493C">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分值（分）</w:t>
            </w:r>
          </w:p>
        </w:tc>
        <w:tc>
          <w:tcPr>
            <w:tcW w:w="969" w:type="dxa"/>
            <w:tcBorders>
              <w:top w:val="single" w:color="auto" w:sz="12" w:space="0"/>
              <w:left w:val="single" w:color="auto" w:sz="6" w:space="0"/>
              <w:bottom w:val="single" w:color="auto" w:sz="6" w:space="0"/>
              <w:right w:val="single" w:color="auto" w:sz="6" w:space="0"/>
            </w:tcBorders>
            <w:noWrap w:val="0"/>
            <w:vAlign w:val="center"/>
          </w:tcPr>
          <w:p w14:paraId="2F00EB7D">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供应商1</w:t>
            </w:r>
          </w:p>
          <w:p w14:paraId="16F7338A">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得分（分）</w:t>
            </w:r>
          </w:p>
        </w:tc>
        <w:tc>
          <w:tcPr>
            <w:tcW w:w="970" w:type="dxa"/>
            <w:tcBorders>
              <w:top w:val="single" w:color="auto" w:sz="12" w:space="0"/>
              <w:left w:val="single" w:color="auto" w:sz="6" w:space="0"/>
              <w:bottom w:val="single" w:color="auto" w:sz="6" w:space="0"/>
              <w:right w:val="single" w:color="auto" w:sz="6" w:space="0"/>
            </w:tcBorders>
            <w:noWrap w:val="0"/>
            <w:vAlign w:val="center"/>
          </w:tcPr>
          <w:p w14:paraId="7E5043AA">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供应商2</w:t>
            </w:r>
          </w:p>
          <w:p w14:paraId="6C09F496">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得分（分）</w:t>
            </w:r>
          </w:p>
        </w:tc>
        <w:tc>
          <w:tcPr>
            <w:tcW w:w="970" w:type="dxa"/>
            <w:tcBorders>
              <w:top w:val="single" w:color="auto" w:sz="12" w:space="0"/>
              <w:left w:val="single" w:color="auto" w:sz="6" w:space="0"/>
              <w:bottom w:val="single" w:color="auto" w:sz="6" w:space="0"/>
              <w:right w:val="single" w:color="auto" w:sz="6" w:space="0"/>
            </w:tcBorders>
            <w:noWrap w:val="0"/>
            <w:vAlign w:val="center"/>
          </w:tcPr>
          <w:p w14:paraId="4C153C50">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供应商3</w:t>
            </w:r>
          </w:p>
          <w:p w14:paraId="28F82648">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得分（分）</w:t>
            </w:r>
          </w:p>
        </w:tc>
      </w:tr>
      <w:tr w14:paraId="495DA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4045" w:type="dxa"/>
            <w:gridSpan w:val="7"/>
            <w:tcBorders>
              <w:top w:val="single" w:color="auto" w:sz="12" w:space="0"/>
              <w:left w:val="single" w:color="auto" w:sz="12" w:space="0"/>
              <w:bottom w:val="single" w:color="auto" w:sz="6" w:space="0"/>
              <w:right w:val="single" w:color="auto" w:sz="6" w:space="0"/>
            </w:tcBorders>
            <w:noWrap w:val="0"/>
            <w:vAlign w:val="center"/>
          </w:tcPr>
          <w:p w14:paraId="23E41452">
            <w:pPr>
              <w:autoSpaceDE w:val="0"/>
              <w:autoSpaceDN w:val="0"/>
              <w:adjustRightInd w:val="0"/>
              <w:snapToGrid w:val="0"/>
              <w:spacing w:line="300" w:lineRule="exact"/>
              <w:ind w:left="-111" w:leftChars="-37" w:right="-105" w:rightChars="-35"/>
              <w:jc w:val="left"/>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一、技术部分（</w:t>
            </w:r>
            <w:r>
              <w:rPr>
                <w:rFonts w:hint="default" w:ascii="Times New Roman" w:hAnsi="Times New Roman" w:eastAsia="方正黑体_GBK" w:cs="Times New Roman"/>
                <w:color w:val="auto"/>
                <w:kern w:val="0"/>
                <w:sz w:val="21"/>
                <w:szCs w:val="21"/>
                <w:lang w:val="en-US" w:eastAsia="zh-CN"/>
              </w:rPr>
              <w:t>35</w:t>
            </w:r>
            <w:r>
              <w:rPr>
                <w:rFonts w:hint="default" w:ascii="Times New Roman" w:hAnsi="Times New Roman" w:eastAsia="方正黑体_GBK" w:cs="Times New Roman"/>
                <w:color w:val="auto"/>
                <w:kern w:val="0"/>
                <w:sz w:val="21"/>
                <w:szCs w:val="21"/>
              </w:rPr>
              <w:t>分）</w:t>
            </w:r>
          </w:p>
        </w:tc>
      </w:tr>
      <w:tr w14:paraId="55A83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24E93CC8">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（一）</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3822CF9E">
            <w:pPr>
              <w:adjustRightInd w:val="0"/>
              <w:snapToGrid w:val="0"/>
              <w:spacing w:beforeLines="0" w:afterLine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
              </w:rPr>
              <w:t>实施方案</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5B997B3B">
            <w:pPr>
              <w:snapToGrid w:val="0"/>
              <w:spacing w:beforeLines="0" w:afterLines="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根据供应商针对本项目提供实施方案（包括项目实施计划、组织实施等）进行评审：</w:t>
            </w:r>
          </w:p>
          <w:p w14:paraId="6A52AEB0">
            <w:pPr>
              <w:snapToGrid w:val="0"/>
              <w:spacing w:beforeLines="0" w:afterLines="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项目实施方案完整详细、科学合理、可行性强，有针对性，响应情况满足采购文件要求的，能够对项目实施过程中的难点重点进行充分的理解和分析，符合实际情况，并提出相应对策，有专业性和可行性，得</w:t>
            </w:r>
            <w:r>
              <w:rPr>
                <w:rFonts w:hint="default" w:ascii="Times New Roman" w:hAnsi="Times New Roman" w:eastAsia="方正仿宋_GBK" w:cs="Times New Roman"/>
                <w:color w:val="auto"/>
                <w:sz w:val="21"/>
                <w:szCs w:val="21"/>
                <w:lang w:val="en-US" w:eastAsia="zh-CN"/>
              </w:rPr>
              <w:t>20</w:t>
            </w:r>
            <w:r>
              <w:rPr>
                <w:rFonts w:hint="default" w:ascii="Times New Roman" w:hAnsi="Times New Roman" w:eastAsia="方正仿宋_GBK" w:cs="Times New Roman"/>
                <w:color w:val="auto"/>
                <w:sz w:val="21"/>
                <w:szCs w:val="21"/>
              </w:rPr>
              <w:t>分；</w:t>
            </w:r>
          </w:p>
          <w:p w14:paraId="41900B68">
            <w:pPr>
              <w:snapToGrid w:val="0"/>
              <w:spacing w:beforeLines="0" w:afterLines="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（2）项目实施方案详细、合理、具有一定的可行性，响应情况大部分能满足采购文件要求的，能够对项目实施过程中的难点重点进行基本的理解和分析，但理解不透测，提出对策比较专业和可行，得</w:t>
            </w:r>
            <w:r>
              <w:rPr>
                <w:rFonts w:hint="default" w:ascii="Times New Roman" w:hAnsi="Times New Roman" w:eastAsia="方正仿宋_GBK" w:cs="Times New Roman"/>
                <w:color w:val="auto"/>
                <w:sz w:val="21"/>
                <w:szCs w:val="21"/>
                <w:lang w:val="en-US" w:eastAsia="zh-CN"/>
              </w:rPr>
              <w:t>16</w:t>
            </w:r>
            <w:r>
              <w:rPr>
                <w:rFonts w:hint="default" w:ascii="Times New Roman" w:hAnsi="Times New Roman" w:eastAsia="方正仿宋_GBK" w:cs="Times New Roman"/>
                <w:color w:val="auto"/>
                <w:sz w:val="21"/>
                <w:szCs w:val="21"/>
              </w:rPr>
              <w:t>分；</w:t>
            </w:r>
          </w:p>
          <w:p w14:paraId="754CBDAB">
            <w:pPr>
              <w:snapToGrid w:val="0"/>
              <w:spacing w:beforeLines="0" w:afterLines="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（3）项目实施方案完整、但可行性不足，响应情况部分能满足采购文件要求，对项目实施过程中的难点重点理解和分析简单、不深入，提出对策专业性和可行性一般，得</w:t>
            </w:r>
            <w:r>
              <w:rPr>
                <w:rFonts w:hint="default" w:ascii="Times New Roman" w:hAnsi="Times New Roman" w:eastAsia="方正仿宋_GBK" w:cs="Times New Roman"/>
                <w:color w:val="auto"/>
                <w:sz w:val="21"/>
                <w:szCs w:val="21"/>
                <w:lang w:val="en-US" w:eastAsia="zh-CN"/>
              </w:rPr>
              <w:t>10</w:t>
            </w:r>
            <w:r>
              <w:rPr>
                <w:rFonts w:hint="default" w:ascii="Times New Roman" w:hAnsi="Times New Roman" w:eastAsia="方正仿宋_GBK" w:cs="Times New Roman"/>
                <w:color w:val="auto"/>
                <w:sz w:val="21"/>
                <w:szCs w:val="21"/>
              </w:rPr>
              <w:t>分；</w:t>
            </w:r>
          </w:p>
          <w:p w14:paraId="78BD5CCC">
            <w:pPr>
              <w:snapToGrid w:val="0"/>
              <w:spacing w:beforeLines="0" w:afterLines="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（4）项目实施方案不详细，响应情况不能满足采购文件要求，对项目实施过程中的难点重点理解和分析不符合实际，提出对策专业性和可行性较差，得</w:t>
            </w:r>
            <w:r>
              <w:rPr>
                <w:rFonts w:hint="default" w:ascii="Times New Roman" w:hAnsi="Times New Roman" w:eastAsia="方正仿宋_GBK" w:cs="Times New Roman"/>
                <w:color w:val="auto"/>
                <w:sz w:val="21"/>
                <w:szCs w:val="21"/>
                <w:lang w:val="en-US" w:eastAsia="zh-CN"/>
              </w:rPr>
              <w:t>8</w:t>
            </w:r>
            <w:r>
              <w:rPr>
                <w:rFonts w:hint="default" w:ascii="Times New Roman" w:hAnsi="Times New Roman" w:eastAsia="方正仿宋_GBK" w:cs="Times New Roman"/>
                <w:color w:val="auto"/>
                <w:sz w:val="21"/>
                <w:szCs w:val="21"/>
              </w:rPr>
              <w:t>分；</w:t>
            </w:r>
          </w:p>
          <w:p w14:paraId="39E27550">
            <w:pPr>
              <w:adjustRightInd w:val="0"/>
              <w:snapToGrid w:val="0"/>
              <w:spacing w:beforeLines="0" w:afterLines="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（5）未提交响应内容或其他情况，不得分。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6140D05F">
            <w:pPr>
              <w:adjustRightInd w:val="0"/>
              <w:snapToGrid w:val="0"/>
              <w:spacing w:beforeLines="0" w:afterLine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color w:val="auto"/>
                <w:sz w:val="21"/>
                <w:szCs w:val="21"/>
                <w:lang w:val="en-US" w:eastAsia="zh-CN"/>
              </w:rPr>
              <w:t>20</w:t>
            </w:r>
          </w:p>
        </w:tc>
        <w:tc>
          <w:tcPr>
            <w:tcW w:w="969" w:type="dxa"/>
            <w:tcBorders>
              <w:top w:val="single" w:color="auto" w:sz="6" w:space="0"/>
              <w:left w:val="single" w:color="auto" w:sz="6" w:space="0"/>
              <w:bottom w:val="single" w:color="auto" w:sz="6" w:space="0"/>
              <w:right w:val="single" w:color="auto" w:sz="6" w:space="0"/>
            </w:tcBorders>
            <w:noWrap w:val="0"/>
            <w:vAlign w:val="top"/>
          </w:tcPr>
          <w:p w14:paraId="0954260C">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2450AA1C">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5B080DD3">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r>
      <w:tr w14:paraId="56F4D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8"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4579BA9D">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（二）</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7E19C9D6">
            <w:pPr>
              <w:adjustRightInd w:val="0"/>
              <w:snapToGrid w:val="0"/>
              <w:spacing w:beforeLines="0" w:afterLine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
              </w:rPr>
              <w:t>质量</w:t>
            </w:r>
            <w:r>
              <w:rPr>
                <w:rFonts w:hint="default" w:ascii="Times New Roman" w:hAnsi="Times New Roman" w:eastAsia="方正仿宋_GBK" w:cs="Times New Roman"/>
                <w:color w:val="auto"/>
                <w:sz w:val="21"/>
                <w:szCs w:val="21"/>
              </w:rPr>
              <w:t>保障</w:t>
            </w:r>
            <w:r>
              <w:rPr>
                <w:rFonts w:hint="default" w:ascii="Times New Roman" w:hAnsi="Times New Roman" w:eastAsia="方正仿宋_GBK" w:cs="Times New Roman"/>
                <w:color w:val="auto"/>
                <w:sz w:val="21"/>
                <w:szCs w:val="21"/>
                <w:lang w:val="en"/>
              </w:rPr>
              <w:t>措施</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7992E93C">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根据供应商提供的质</w:t>
            </w:r>
            <w:r>
              <w:rPr>
                <w:rFonts w:hint="default" w:ascii="Times New Roman" w:hAnsi="Times New Roman" w:eastAsia="方正仿宋_GBK" w:cs="Times New Roman"/>
                <w:color w:val="auto"/>
                <w:sz w:val="21"/>
                <w:szCs w:val="21"/>
                <w:lang w:val="en-US" w:eastAsia="zh-CN"/>
              </w:rPr>
              <w:t>量保障措施进行评审：</w:t>
            </w:r>
          </w:p>
          <w:p w14:paraId="33A64E6B">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（1）质量保障措施详细、合理，具有针对性，可操作性强，得15分；</w:t>
            </w:r>
          </w:p>
          <w:p w14:paraId="6A0CC561">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（2）质量保障措施基本完善，可操作性有所欠缺，得11分；</w:t>
            </w:r>
          </w:p>
          <w:p w14:paraId="7797167A">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（3）质量保障措施较完善，缺乏可操作性，得7分；</w:t>
            </w:r>
          </w:p>
          <w:p w14:paraId="21F368E0">
            <w:pPr>
              <w:snapToGrid w:val="0"/>
              <w:spacing w:beforeLines="0" w:afterLines="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（4）质量保障措施不完善，且不具有操作性，得2分；</w:t>
            </w:r>
          </w:p>
          <w:p w14:paraId="2AA12165">
            <w:pPr>
              <w:snapToGrid w:val="0"/>
              <w:spacing w:beforeLines="0" w:afterLines="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（5）质量保障措施可行性差或无提供，均不得分。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114DD1C6">
            <w:pPr>
              <w:adjustRightInd w:val="0"/>
              <w:snapToGrid w:val="0"/>
              <w:spacing w:beforeLines="0" w:afterLine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color w:val="auto"/>
                <w:sz w:val="21"/>
                <w:szCs w:val="21"/>
                <w:lang w:val="en-US" w:eastAsia="zh-CN"/>
              </w:rPr>
              <w:t>15</w:t>
            </w:r>
          </w:p>
        </w:tc>
        <w:tc>
          <w:tcPr>
            <w:tcW w:w="969" w:type="dxa"/>
            <w:tcBorders>
              <w:top w:val="single" w:color="auto" w:sz="6" w:space="0"/>
              <w:left w:val="single" w:color="auto" w:sz="6" w:space="0"/>
              <w:bottom w:val="single" w:color="auto" w:sz="6" w:space="0"/>
              <w:right w:val="single" w:color="auto" w:sz="6" w:space="0"/>
            </w:tcBorders>
            <w:noWrap w:val="0"/>
            <w:vAlign w:val="top"/>
          </w:tcPr>
          <w:p w14:paraId="0A7230E9">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2905E885">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29816EAC">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p>
        </w:tc>
      </w:tr>
      <w:tr w14:paraId="26AB0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045" w:type="dxa"/>
            <w:gridSpan w:val="7"/>
            <w:tcBorders>
              <w:top w:val="single" w:color="auto" w:sz="6" w:space="0"/>
              <w:left w:val="single" w:color="auto" w:sz="12" w:space="0"/>
              <w:bottom w:val="single" w:color="auto" w:sz="6" w:space="0"/>
              <w:right w:val="single" w:color="auto" w:sz="6" w:space="0"/>
            </w:tcBorders>
            <w:noWrap w:val="0"/>
            <w:vAlign w:val="center"/>
          </w:tcPr>
          <w:p w14:paraId="6EFD5E19">
            <w:pPr>
              <w:autoSpaceDE w:val="0"/>
              <w:autoSpaceDN w:val="0"/>
              <w:adjustRightInd w:val="0"/>
              <w:snapToGrid w:val="0"/>
              <w:spacing w:line="300" w:lineRule="exact"/>
              <w:ind w:left="-111" w:leftChars="-37" w:right="-105" w:rightChars="-35"/>
              <w:jc w:val="both"/>
              <w:rPr>
                <w:rFonts w:hint="default" w:ascii="Times New Roman" w:hAnsi="Times New Roman" w:eastAsia="方正黑体_GBK" w:cs="Times New Roman"/>
                <w:color w:val="auto"/>
                <w:kern w:val="0"/>
                <w:sz w:val="21"/>
                <w:szCs w:val="21"/>
              </w:rPr>
            </w:pPr>
            <w:r>
              <w:rPr>
                <w:rFonts w:hint="default" w:ascii="Times New Roman" w:hAnsi="Times New Roman" w:eastAsia="方正黑体_GBK" w:cs="Times New Roman"/>
                <w:color w:val="auto"/>
                <w:kern w:val="0"/>
                <w:sz w:val="21"/>
                <w:szCs w:val="21"/>
              </w:rPr>
              <w:t>二、商务部分（50分）</w:t>
            </w:r>
          </w:p>
        </w:tc>
      </w:tr>
      <w:tr w14:paraId="4F223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4D364943">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（三）</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7F765BCF">
            <w:pPr>
              <w:adjustRightInd w:val="0"/>
              <w:snapToGrid w:val="0"/>
              <w:spacing w:beforeLines="0" w:afterLine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项目业绩</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3E175407">
            <w:pPr>
              <w:adjustRightInd w:val="0"/>
              <w:snapToGrid w:val="0"/>
              <w:spacing w:beforeLines="0" w:afterLines="0"/>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
              </w:rPr>
              <w:t>供应商</w:t>
            </w:r>
            <w:r>
              <w:rPr>
                <w:rFonts w:hint="default" w:ascii="Times New Roman" w:hAnsi="Times New Roman" w:eastAsia="方正仿宋_GBK" w:cs="Times New Roman"/>
                <w:color w:val="auto"/>
                <w:sz w:val="21"/>
                <w:szCs w:val="21"/>
                <w:lang w:val="en-US" w:eastAsia="zh-CN"/>
              </w:rPr>
              <w:t>近三年内</w:t>
            </w:r>
            <w:r>
              <w:rPr>
                <w:rFonts w:hint="default" w:ascii="Times New Roman" w:hAnsi="Times New Roman" w:eastAsia="方正仿宋_GBK" w:cs="Times New Roman"/>
                <w:color w:val="auto"/>
                <w:sz w:val="21"/>
                <w:szCs w:val="21"/>
                <w:lang w:val="en"/>
              </w:rPr>
              <w:t>（以合同签订日期为准）承担过</w:t>
            </w:r>
            <w:r>
              <w:rPr>
                <w:rFonts w:hint="default" w:ascii="Times New Roman" w:hAnsi="Times New Roman" w:eastAsia="方正仿宋_GBK" w:cs="Times New Roman"/>
                <w:color w:val="auto"/>
                <w:sz w:val="21"/>
                <w:szCs w:val="21"/>
                <w:lang w:val="en" w:eastAsia="zh-CN"/>
              </w:rPr>
              <w:t>环境及相关</w:t>
            </w:r>
            <w:r>
              <w:rPr>
                <w:rFonts w:hint="default" w:ascii="Times New Roman" w:hAnsi="Times New Roman" w:eastAsia="方正仿宋_GBK" w:cs="Times New Roman"/>
                <w:color w:val="auto"/>
                <w:sz w:val="21"/>
                <w:szCs w:val="21"/>
                <w:lang w:val="en-US" w:eastAsia="zh-CN"/>
              </w:rPr>
              <w:t>应急类</w:t>
            </w:r>
            <w:r>
              <w:rPr>
                <w:rFonts w:hint="default" w:ascii="Times New Roman" w:hAnsi="Times New Roman" w:eastAsia="方正仿宋_GBK" w:cs="Times New Roman"/>
                <w:color w:val="auto"/>
                <w:sz w:val="21"/>
                <w:szCs w:val="21"/>
                <w:lang w:val="en"/>
              </w:rPr>
              <w:t>项目的</w:t>
            </w:r>
            <w:r>
              <w:rPr>
                <w:rFonts w:hint="default" w:ascii="Times New Roman" w:hAnsi="Times New Roman" w:eastAsia="方正仿宋_GBK" w:cs="Times New Roman"/>
                <w:color w:val="auto"/>
                <w:sz w:val="21"/>
                <w:szCs w:val="21"/>
                <w:lang w:val="en" w:eastAsia="zh-CN"/>
              </w:rPr>
              <w:t>，每提供一个合同及成果证明得</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lang w:val="en" w:eastAsia="zh-CN"/>
              </w:rPr>
              <w:t>分，本项最高</w:t>
            </w:r>
            <w:r>
              <w:rPr>
                <w:rFonts w:hint="default" w:ascii="Times New Roman" w:hAnsi="Times New Roman" w:eastAsia="方正仿宋_GBK" w:cs="Times New Roman"/>
                <w:color w:val="auto"/>
                <w:sz w:val="21"/>
                <w:szCs w:val="21"/>
                <w:lang w:val="en-US" w:eastAsia="zh-CN"/>
              </w:rPr>
              <w:t>15</w:t>
            </w:r>
            <w:r>
              <w:rPr>
                <w:rFonts w:hint="default" w:ascii="Times New Roman" w:hAnsi="Times New Roman" w:eastAsia="方正仿宋_GBK" w:cs="Times New Roman"/>
                <w:color w:val="auto"/>
                <w:sz w:val="21"/>
                <w:szCs w:val="21"/>
                <w:lang w:val="en" w:eastAsia="zh-CN"/>
              </w:rPr>
              <w:t>分；</w:t>
            </w:r>
          </w:p>
          <w:p w14:paraId="06303FC6">
            <w:pPr>
              <w:adjustRightInd w:val="0"/>
              <w:snapToGrid w:val="0"/>
              <w:spacing w:beforeLines="0" w:afterLines="0"/>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
              </w:rPr>
              <w:t>供应商</w:t>
            </w:r>
            <w:r>
              <w:rPr>
                <w:rFonts w:hint="default" w:ascii="Times New Roman" w:hAnsi="Times New Roman" w:eastAsia="方正仿宋_GBK" w:cs="Times New Roman"/>
                <w:color w:val="auto"/>
                <w:sz w:val="21"/>
                <w:szCs w:val="21"/>
                <w:lang w:val="en-US" w:eastAsia="zh-CN"/>
              </w:rPr>
              <w:t>近三年内</w:t>
            </w:r>
            <w:r>
              <w:rPr>
                <w:rFonts w:hint="default" w:ascii="Times New Roman" w:hAnsi="Times New Roman" w:eastAsia="方正仿宋_GBK" w:cs="Times New Roman"/>
                <w:color w:val="auto"/>
                <w:sz w:val="21"/>
                <w:szCs w:val="21"/>
                <w:lang w:val="en"/>
              </w:rPr>
              <w:t>（以合同签订日期为准）</w:t>
            </w:r>
            <w:r>
              <w:rPr>
                <w:rFonts w:hint="default" w:ascii="Times New Roman" w:hAnsi="Times New Roman" w:eastAsia="方正仿宋_GBK" w:cs="Times New Roman"/>
                <w:color w:val="auto"/>
                <w:sz w:val="21"/>
                <w:szCs w:val="21"/>
                <w:lang w:val="en-US" w:eastAsia="zh-CN"/>
              </w:rPr>
              <w:t>应用</w:t>
            </w:r>
            <w:r>
              <w:rPr>
                <w:rFonts w:hint="default" w:ascii="Times New Roman" w:hAnsi="Times New Roman" w:eastAsia="方正仿宋_GBK" w:cs="Times New Roman"/>
                <w:color w:val="auto"/>
                <w:sz w:val="21"/>
                <w:szCs w:val="21"/>
                <w:lang w:val="en"/>
              </w:rPr>
              <w:t>过</w:t>
            </w:r>
            <w:r>
              <w:rPr>
                <w:rFonts w:hint="default" w:ascii="Times New Roman" w:hAnsi="Times New Roman" w:eastAsia="方正仿宋_GBK" w:cs="Times New Roman"/>
                <w:color w:val="auto"/>
                <w:sz w:val="21"/>
                <w:szCs w:val="21"/>
                <w:lang w:val="en-US" w:eastAsia="zh-CN"/>
              </w:rPr>
              <w:t>地理信息系统类（GIS）相关</w:t>
            </w:r>
            <w:r>
              <w:rPr>
                <w:rFonts w:hint="default" w:ascii="Times New Roman" w:hAnsi="Times New Roman" w:eastAsia="方正仿宋_GBK" w:cs="Times New Roman"/>
                <w:color w:val="auto"/>
                <w:sz w:val="21"/>
                <w:szCs w:val="21"/>
                <w:lang w:val="en"/>
              </w:rPr>
              <w:t>项目的</w:t>
            </w:r>
            <w:r>
              <w:rPr>
                <w:rFonts w:hint="default" w:ascii="Times New Roman" w:hAnsi="Times New Roman" w:eastAsia="方正仿宋_GBK" w:cs="Times New Roman"/>
                <w:color w:val="auto"/>
                <w:sz w:val="21"/>
                <w:szCs w:val="21"/>
                <w:lang w:val="en" w:eastAsia="zh-CN"/>
              </w:rPr>
              <w:t>，每提供一个合同及成果证明得3分，本项最高</w:t>
            </w:r>
            <w:r>
              <w:rPr>
                <w:rFonts w:hint="default" w:ascii="Times New Roman" w:hAnsi="Times New Roman" w:eastAsia="方正仿宋_GBK" w:cs="Times New Roman"/>
                <w:color w:val="auto"/>
                <w:sz w:val="21"/>
                <w:szCs w:val="21"/>
                <w:lang w:val="en-US" w:eastAsia="zh-CN"/>
              </w:rPr>
              <w:t>6</w:t>
            </w:r>
            <w:r>
              <w:rPr>
                <w:rFonts w:hint="default" w:ascii="Times New Roman" w:hAnsi="Times New Roman" w:eastAsia="方正仿宋_GBK" w:cs="Times New Roman"/>
                <w:color w:val="auto"/>
                <w:sz w:val="21"/>
                <w:szCs w:val="21"/>
                <w:lang w:val="en" w:eastAsia="zh-CN"/>
              </w:rPr>
              <w:t>分；</w:t>
            </w:r>
          </w:p>
          <w:p w14:paraId="3822D6A0">
            <w:pPr>
              <w:adjustRightInd w:val="0"/>
              <w:snapToGrid w:val="0"/>
              <w:spacing w:beforeLines="0" w:afterLines="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 w:eastAsia="zh-CN"/>
              </w:rPr>
              <w:t>上述合计最高得</w:t>
            </w:r>
            <w:r>
              <w:rPr>
                <w:rFonts w:hint="default" w:ascii="Times New Roman" w:hAnsi="Times New Roman" w:eastAsia="方正仿宋_GBK" w:cs="Times New Roman"/>
                <w:color w:val="auto"/>
                <w:sz w:val="21"/>
                <w:szCs w:val="21"/>
                <w:lang w:val="en-US" w:eastAsia="zh-CN"/>
              </w:rPr>
              <w:t>21</w:t>
            </w:r>
            <w:r>
              <w:rPr>
                <w:rFonts w:hint="default" w:ascii="Times New Roman" w:hAnsi="Times New Roman" w:eastAsia="方正仿宋_GBK" w:cs="Times New Roman"/>
                <w:color w:val="auto"/>
                <w:sz w:val="21"/>
                <w:szCs w:val="21"/>
                <w:lang w:val="en" w:eastAsia="zh-CN"/>
              </w:rPr>
              <w:t>分，</w:t>
            </w:r>
            <w:r>
              <w:rPr>
                <w:rFonts w:hint="default" w:ascii="Times New Roman" w:hAnsi="Times New Roman" w:eastAsia="方正仿宋_GBK" w:cs="Times New Roman"/>
                <w:color w:val="auto"/>
                <w:sz w:val="21"/>
                <w:szCs w:val="21"/>
                <w:lang w:val="en"/>
              </w:rPr>
              <w:t>同一份合同包括上述两种业绩的只计分一次，不重复计分。须提供项目合同关键页复印件或其他相关证明材料并加盖供应商公章,提供不全或未提供不得分。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3C3410B2">
            <w:pPr>
              <w:adjustRightInd w:val="0"/>
              <w:snapToGrid w:val="0"/>
              <w:spacing w:beforeLines="0" w:afterLine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21</w:t>
            </w:r>
          </w:p>
        </w:tc>
        <w:tc>
          <w:tcPr>
            <w:tcW w:w="969" w:type="dxa"/>
            <w:tcBorders>
              <w:top w:val="single" w:color="auto" w:sz="6" w:space="0"/>
              <w:left w:val="single" w:color="auto" w:sz="6" w:space="0"/>
              <w:bottom w:val="single" w:color="auto" w:sz="6" w:space="0"/>
              <w:right w:val="single" w:color="auto" w:sz="6" w:space="0"/>
            </w:tcBorders>
            <w:noWrap w:val="0"/>
            <w:vAlign w:val="top"/>
          </w:tcPr>
          <w:p w14:paraId="7EF75DA8">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31B97532">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3FBA9C93">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r>
      <w:tr w14:paraId="26B10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9"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4C503E59">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（四）</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4392E454">
            <w:pPr>
              <w:adjustRightInd w:val="0"/>
              <w:snapToGrid w:val="0"/>
              <w:spacing w:beforeLines="0" w:afterLine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项目负责人实力</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1991AB17">
            <w:pPr>
              <w:adjustRightInd w:val="0"/>
              <w:snapToGrid w:val="0"/>
              <w:spacing w:beforeLines="0" w:afterLines="0" w:line="260" w:lineRule="exact"/>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eastAsia="zh-CN"/>
              </w:rPr>
              <w:t>拟委派的项目负责人（</w:t>
            </w:r>
            <w:r>
              <w:rPr>
                <w:rFonts w:hint="default" w:ascii="Times New Roman" w:hAnsi="Times New Roman" w:eastAsia="方正仿宋_GBK" w:cs="Times New Roman"/>
                <w:color w:val="auto"/>
                <w:sz w:val="21"/>
                <w:szCs w:val="21"/>
                <w:lang w:val="en-US" w:eastAsia="zh-CN"/>
              </w:rPr>
              <w:t>一人</w:t>
            </w:r>
            <w:r>
              <w:rPr>
                <w:rFonts w:hint="default" w:ascii="Times New Roman" w:hAnsi="Times New Roman" w:eastAsia="方正仿宋_GBK" w:cs="Times New Roman"/>
                <w:color w:val="auto"/>
                <w:sz w:val="21"/>
                <w:szCs w:val="21"/>
                <w:lang w:val="en" w:eastAsia="zh-CN"/>
              </w:rPr>
              <w:t>）：</w:t>
            </w:r>
          </w:p>
          <w:p w14:paraId="7BCE468E">
            <w:pPr>
              <w:adjustRightInd w:val="0"/>
              <w:snapToGrid w:val="0"/>
              <w:spacing w:beforeLines="0" w:afterLines="0" w:line="260" w:lineRule="exact"/>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eastAsia="zh-CN"/>
              </w:rPr>
              <w:t>供应商拟投入本项目的项目负责人具有</w:t>
            </w:r>
            <w:r>
              <w:rPr>
                <w:rFonts w:hint="default" w:ascii="Times New Roman" w:hAnsi="Times New Roman" w:eastAsia="方正仿宋_GBK" w:cs="Times New Roman"/>
                <w:color w:val="auto"/>
                <w:sz w:val="21"/>
                <w:szCs w:val="21"/>
                <w:lang w:val="en-US" w:eastAsia="zh-CN"/>
              </w:rPr>
              <w:t>环保或相关</w:t>
            </w:r>
            <w:r>
              <w:rPr>
                <w:rFonts w:hint="default" w:ascii="Times New Roman" w:hAnsi="Times New Roman" w:eastAsia="方正仿宋_GBK" w:cs="Times New Roman"/>
                <w:color w:val="auto"/>
                <w:sz w:val="21"/>
                <w:szCs w:val="21"/>
                <w:lang w:val="en" w:eastAsia="zh-CN"/>
              </w:rPr>
              <w:t>专业副高职称资格（或以上）职称证书的，得</w:t>
            </w:r>
            <w:r>
              <w:rPr>
                <w:rFonts w:hint="default" w:ascii="Times New Roman" w:hAnsi="Times New Roman" w:eastAsia="方正仿宋_GBK" w:cs="Times New Roman"/>
                <w:color w:val="auto"/>
                <w:sz w:val="21"/>
                <w:szCs w:val="21"/>
                <w:lang w:val="en-US" w:eastAsia="zh-CN"/>
              </w:rPr>
              <w:t>9</w:t>
            </w:r>
            <w:r>
              <w:rPr>
                <w:rFonts w:hint="default" w:ascii="Times New Roman" w:hAnsi="Times New Roman" w:eastAsia="方正仿宋_GBK" w:cs="Times New Roman"/>
                <w:color w:val="auto"/>
                <w:sz w:val="21"/>
                <w:szCs w:val="21"/>
                <w:lang w:val="en" w:eastAsia="zh-CN"/>
              </w:rPr>
              <w:t>分；</w:t>
            </w:r>
          </w:p>
          <w:p w14:paraId="1BDD989F">
            <w:pPr>
              <w:adjustRightInd w:val="0"/>
              <w:snapToGrid w:val="0"/>
              <w:spacing w:beforeLines="0" w:afterLines="0" w:line="260" w:lineRule="exact"/>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eastAsia="zh-CN"/>
              </w:rPr>
              <w:t>供应商拟投入本项目的项目负责人具有环境或相关专业中级技术职称的，得</w:t>
            </w:r>
            <w:r>
              <w:rPr>
                <w:rFonts w:hint="default" w:ascii="Times New Roman" w:hAnsi="Times New Roman" w:eastAsia="方正仿宋_GBK" w:cs="Times New Roman"/>
                <w:color w:val="auto"/>
                <w:sz w:val="21"/>
                <w:szCs w:val="21"/>
                <w:lang w:val="en-US" w:eastAsia="zh-CN"/>
              </w:rPr>
              <w:t>6</w:t>
            </w:r>
            <w:r>
              <w:rPr>
                <w:rFonts w:hint="default" w:ascii="Times New Roman" w:hAnsi="Times New Roman" w:eastAsia="方正仿宋_GBK" w:cs="Times New Roman"/>
                <w:color w:val="auto"/>
                <w:sz w:val="21"/>
                <w:szCs w:val="21"/>
                <w:lang w:val="en" w:eastAsia="zh-CN"/>
              </w:rPr>
              <w:t>分；</w:t>
            </w:r>
          </w:p>
          <w:p w14:paraId="35E55A71">
            <w:pPr>
              <w:adjustRightInd w:val="0"/>
              <w:snapToGrid w:val="0"/>
              <w:spacing w:beforeLines="0" w:afterLines="0" w:line="260" w:lineRule="exac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 w:eastAsia="zh-CN"/>
              </w:rPr>
              <w:t>本项最高得</w:t>
            </w:r>
            <w:r>
              <w:rPr>
                <w:rFonts w:hint="default" w:ascii="Times New Roman" w:hAnsi="Times New Roman" w:eastAsia="方正仿宋_GBK" w:cs="Times New Roman"/>
                <w:color w:val="auto"/>
                <w:sz w:val="21"/>
                <w:szCs w:val="21"/>
                <w:lang w:val="en-US" w:eastAsia="zh-CN"/>
              </w:rPr>
              <w:t>9</w:t>
            </w:r>
            <w:r>
              <w:rPr>
                <w:rFonts w:hint="default" w:ascii="Times New Roman" w:hAnsi="Times New Roman" w:eastAsia="方正仿宋_GBK" w:cs="Times New Roman"/>
                <w:color w:val="auto"/>
                <w:sz w:val="21"/>
                <w:szCs w:val="21"/>
                <w:lang w:val="en" w:eastAsia="zh-CN"/>
              </w:rPr>
              <w:t>分</w:t>
            </w:r>
            <w:r>
              <w:rPr>
                <w:rFonts w:hint="default" w:ascii="Times New Roman" w:hAnsi="Times New Roman" w:eastAsia="方正仿宋_GBK" w:cs="Times New Roman"/>
                <w:color w:val="auto"/>
                <w:sz w:val="21"/>
                <w:szCs w:val="21"/>
                <w:lang w:val="en-US" w:eastAsia="zh-CN"/>
              </w:rPr>
              <w:t>。须提供上述人员相关职称证书复印件、以及上述人员与供应商签订的劳务合同复印件或由社保机构或税务部门出具的在本项目投标截止日前3个月内</w:t>
            </w:r>
            <w:r>
              <w:rPr>
                <w:rFonts w:hint="default" w:ascii="Times New Roman" w:hAnsi="Times New Roman" w:eastAsia="方正仿宋_GBK" w:cs="Times New Roman"/>
                <w:color w:val="auto"/>
                <w:sz w:val="21"/>
                <w:szCs w:val="21"/>
                <w:lang w:val="en" w:eastAsia="zh-CN"/>
              </w:rPr>
              <w:t>（202</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lang w:val="en" w:eastAsia="zh-CN"/>
              </w:rPr>
              <w:t>年</w:t>
            </w:r>
            <w:r>
              <w:rPr>
                <w:rFonts w:hint="default" w:ascii="Times New Roman" w:hAnsi="Times New Roman" w:eastAsia="方正仿宋_GBK" w:cs="Times New Roman"/>
                <w:color w:val="auto"/>
                <w:sz w:val="21"/>
                <w:szCs w:val="21"/>
                <w:lang w:val="en-US" w:eastAsia="zh-CN"/>
              </w:rPr>
              <w:t>1</w:t>
            </w:r>
            <w:r>
              <w:rPr>
                <w:rFonts w:hint="default" w:ascii="Times New Roman" w:hAnsi="Times New Roman" w:eastAsia="方正仿宋_GBK" w:cs="Times New Roman"/>
                <w:color w:val="auto"/>
                <w:sz w:val="21"/>
                <w:szCs w:val="21"/>
                <w:lang w:val="en" w:eastAsia="zh-CN"/>
              </w:rPr>
              <w:t>月至202</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lang w:val="en" w:eastAsia="zh-CN"/>
              </w:rPr>
              <w:t>年</w:t>
            </w:r>
            <w:r>
              <w:rPr>
                <w:rFonts w:hint="default" w:ascii="Times New Roman" w:hAnsi="Times New Roman"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lang w:val="en" w:eastAsia="zh-CN"/>
              </w:rPr>
              <w:t>月）任意</w:t>
            </w:r>
            <w:r>
              <w:rPr>
                <w:rFonts w:hint="default" w:ascii="Times New Roman" w:hAnsi="Times New Roman" w:eastAsia="方正仿宋_GBK" w:cs="Times New Roman"/>
                <w:color w:val="auto"/>
                <w:sz w:val="21"/>
                <w:szCs w:val="21"/>
                <w:lang w:val="en-US" w:eastAsia="zh-CN"/>
              </w:rPr>
              <w:t>1</w:t>
            </w:r>
            <w:r>
              <w:rPr>
                <w:rFonts w:hint="default" w:ascii="Times New Roman" w:hAnsi="Times New Roman" w:eastAsia="方正仿宋_GBK" w:cs="Times New Roman"/>
                <w:color w:val="auto"/>
                <w:sz w:val="21"/>
                <w:szCs w:val="21"/>
                <w:lang w:val="en" w:eastAsia="zh-CN"/>
              </w:rPr>
              <w:t>个月</w:t>
            </w:r>
            <w:r>
              <w:rPr>
                <w:rFonts w:hint="default" w:ascii="Times New Roman" w:hAnsi="Times New Roman" w:eastAsia="方正仿宋_GBK" w:cs="Times New Roman"/>
                <w:color w:val="auto"/>
                <w:sz w:val="21"/>
                <w:szCs w:val="21"/>
                <w:lang w:val="en-US" w:eastAsia="zh-CN"/>
              </w:rPr>
              <w:t>的由供应商为其购买的社保证明加盖供应商公章，无或缺项或未按要求递交证明材料的不得分。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6953056C">
            <w:pPr>
              <w:adjustRightInd w:val="0"/>
              <w:snapToGrid w:val="0"/>
              <w:spacing w:beforeLines="0" w:afterLine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9</w:t>
            </w:r>
          </w:p>
        </w:tc>
        <w:tc>
          <w:tcPr>
            <w:tcW w:w="969" w:type="dxa"/>
            <w:tcBorders>
              <w:top w:val="single" w:color="auto" w:sz="6" w:space="0"/>
              <w:left w:val="single" w:color="auto" w:sz="6" w:space="0"/>
              <w:bottom w:val="single" w:color="auto" w:sz="6" w:space="0"/>
              <w:right w:val="single" w:color="auto" w:sz="6" w:space="0"/>
            </w:tcBorders>
            <w:noWrap w:val="0"/>
            <w:vAlign w:val="top"/>
          </w:tcPr>
          <w:p w14:paraId="594A6588">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648842E3">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5B5F67DA">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r>
      <w:tr w14:paraId="1C9CB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222CC961">
            <w:pPr>
              <w:autoSpaceDE w:val="0"/>
              <w:autoSpaceDN w:val="0"/>
              <w:adjustRightInd w:val="0"/>
              <w:snapToGrid w:val="0"/>
              <w:spacing w:line="300" w:lineRule="exact"/>
              <w:jc w:val="center"/>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（五）</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65772474">
            <w:pPr>
              <w:adjustRightInd w:val="0"/>
              <w:snapToGrid w:val="0"/>
              <w:spacing w:beforeLines="0" w:afterLine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团队实力</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0DC3D6E4">
            <w:pPr>
              <w:adjustRightInd w:val="0"/>
              <w:snapToGrid w:val="0"/>
              <w:spacing w:beforeLines="0" w:afterLines="0"/>
              <w:rPr>
                <w:rFonts w:hint="default" w:ascii="Times New Roman" w:hAnsi="Times New Roman" w:eastAsia="方正仿宋_GBK" w:cs="Times New Roman"/>
                <w:color w:val="auto"/>
                <w:sz w:val="21"/>
                <w:szCs w:val="21"/>
                <w:lang w:val="en" w:eastAsia="zh-CN"/>
              </w:rPr>
            </w:pPr>
            <w:r>
              <w:rPr>
                <w:rFonts w:hint="default" w:ascii="Times New Roman" w:hAnsi="Times New Roman" w:eastAsia="方正仿宋_GBK" w:cs="Times New Roman"/>
                <w:color w:val="auto"/>
                <w:sz w:val="21"/>
                <w:szCs w:val="21"/>
                <w:lang w:val="en" w:eastAsia="zh-CN"/>
              </w:rPr>
              <w:t>拟委派的技术人员（不含项目负责人）：</w:t>
            </w:r>
          </w:p>
          <w:p w14:paraId="40D11848">
            <w:pPr>
              <w:adjustRightInd w:val="0"/>
              <w:snapToGrid w:val="0"/>
              <w:spacing w:beforeLines="0" w:afterLines="0"/>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具备环保或相关专业副高及以上技术职称的，每1人得5分；具有环保或相关专业中级职称的，每1人得3分；具有环保或相关专业初级职称的，每1人得2分；否则不得分。</w:t>
            </w:r>
          </w:p>
          <w:p w14:paraId="29AA07D7">
            <w:pPr>
              <w:adjustRightInd w:val="0"/>
              <w:snapToGrid w:val="0"/>
              <w:spacing w:beforeLines="0" w:afterLines="0"/>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上述合计最高得20分，同一人员具备多个不同等级职称的，不重复计算得分。须提供上述人员相关职称证书复印件、以及上述人员与供应商签订的劳务合同复印件或由社保机构或税务部门出具的在本项目投标截止日前3个月内</w:t>
            </w:r>
            <w:r>
              <w:rPr>
                <w:rFonts w:hint="default" w:ascii="Times New Roman" w:hAnsi="Times New Roman" w:eastAsia="方正仿宋_GBK" w:cs="Times New Roman"/>
                <w:color w:val="auto"/>
                <w:sz w:val="21"/>
                <w:szCs w:val="21"/>
                <w:lang w:val="en" w:eastAsia="zh-CN"/>
              </w:rPr>
              <w:t>（202</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lang w:val="en" w:eastAsia="zh-CN"/>
              </w:rPr>
              <w:t>年</w:t>
            </w:r>
            <w:r>
              <w:rPr>
                <w:rFonts w:hint="default" w:ascii="Times New Roman" w:hAnsi="Times New Roman" w:eastAsia="方正仿宋_GBK" w:cs="Times New Roman"/>
                <w:color w:val="auto"/>
                <w:sz w:val="21"/>
                <w:szCs w:val="21"/>
                <w:lang w:val="en-US" w:eastAsia="zh-CN"/>
              </w:rPr>
              <w:t>1</w:t>
            </w:r>
            <w:r>
              <w:rPr>
                <w:rFonts w:hint="default" w:ascii="Times New Roman" w:hAnsi="Times New Roman" w:eastAsia="方正仿宋_GBK" w:cs="Times New Roman"/>
                <w:color w:val="auto"/>
                <w:sz w:val="21"/>
                <w:szCs w:val="21"/>
                <w:lang w:val="en" w:eastAsia="zh-CN"/>
              </w:rPr>
              <w:t>月至202</w:t>
            </w:r>
            <w:r>
              <w:rPr>
                <w:rFonts w:hint="default" w:ascii="Times New Roman" w:hAnsi="Times New Roman" w:eastAsia="方正仿宋_GBK" w:cs="Times New Roman"/>
                <w:color w:val="auto"/>
                <w:sz w:val="21"/>
                <w:szCs w:val="21"/>
                <w:lang w:val="en-US" w:eastAsia="zh-CN"/>
              </w:rPr>
              <w:t>5</w:t>
            </w:r>
            <w:r>
              <w:rPr>
                <w:rFonts w:hint="default" w:ascii="Times New Roman" w:hAnsi="Times New Roman" w:eastAsia="方正仿宋_GBK" w:cs="Times New Roman"/>
                <w:color w:val="auto"/>
                <w:sz w:val="21"/>
                <w:szCs w:val="21"/>
                <w:lang w:val="en" w:eastAsia="zh-CN"/>
              </w:rPr>
              <w:t>年</w:t>
            </w:r>
            <w:r>
              <w:rPr>
                <w:rFonts w:hint="default" w:ascii="Times New Roman" w:hAnsi="Times New Roman" w:eastAsia="方正仿宋_GBK" w:cs="Times New Roman"/>
                <w:color w:val="auto"/>
                <w:sz w:val="21"/>
                <w:szCs w:val="21"/>
                <w:lang w:val="en-US" w:eastAsia="zh-CN"/>
              </w:rPr>
              <w:t>3</w:t>
            </w:r>
            <w:r>
              <w:rPr>
                <w:rFonts w:hint="default" w:ascii="Times New Roman" w:hAnsi="Times New Roman" w:eastAsia="方正仿宋_GBK" w:cs="Times New Roman"/>
                <w:color w:val="auto"/>
                <w:sz w:val="21"/>
                <w:szCs w:val="21"/>
                <w:lang w:val="en" w:eastAsia="zh-CN"/>
              </w:rPr>
              <w:t>月）任意</w:t>
            </w:r>
            <w:r>
              <w:rPr>
                <w:rFonts w:hint="default" w:ascii="Times New Roman" w:hAnsi="Times New Roman" w:eastAsia="方正仿宋_GBK" w:cs="Times New Roman"/>
                <w:color w:val="auto"/>
                <w:sz w:val="21"/>
                <w:szCs w:val="21"/>
                <w:lang w:val="en-US" w:eastAsia="zh-CN"/>
              </w:rPr>
              <w:t>1</w:t>
            </w:r>
            <w:r>
              <w:rPr>
                <w:rFonts w:hint="default" w:ascii="Times New Roman" w:hAnsi="Times New Roman" w:eastAsia="方正仿宋_GBK" w:cs="Times New Roman"/>
                <w:color w:val="auto"/>
                <w:sz w:val="21"/>
                <w:szCs w:val="21"/>
                <w:lang w:val="en" w:eastAsia="zh-CN"/>
              </w:rPr>
              <w:t>个月</w:t>
            </w:r>
            <w:r>
              <w:rPr>
                <w:rFonts w:hint="default" w:ascii="Times New Roman" w:hAnsi="Times New Roman" w:eastAsia="方正仿宋_GBK" w:cs="Times New Roman"/>
                <w:color w:val="auto"/>
                <w:sz w:val="21"/>
                <w:szCs w:val="21"/>
                <w:lang w:val="en-US" w:eastAsia="zh-CN"/>
              </w:rPr>
              <w:t>的由供应商为其购买的社保证明加盖供应商公章，无或缺项或未按要求递交证明材料的不得分。</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3EB0660C">
            <w:pPr>
              <w:adjustRightInd w:val="0"/>
              <w:snapToGrid w:val="0"/>
              <w:spacing w:beforeLines="0" w:afterLine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20</w:t>
            </w:r>
          </w:p>
        </w:tc>
        <w:tc>
          <w:tcPr>
            <w:tcW w:w="969" w:type="dxa"/>
            <w:tcBorders>
              <w:top w:val="single" w:color="auto" w:sz="6" w:space="0"/>
              <w:left w:val="single" w:color="auto" w:sz="6" w:space="0"/>
              <w:bottom w:val="single" w:color="auto" w:sz="6" w:space="0"/>
              <w:right w:val="single" w:color="auto" w:sz="6" w:space="0"/>
            </w:tcBorders>
            <w:noWrap w:val="0"/>
            <w:vAlign w:val="top"/>
          </w:tcPr>
          <w:p w14:paraId="714AD108">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684B4025">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2414EF77">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r>
      <w:tr w14:paraId="37DE8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4045" w:type="dxa"/>
            <w:gridSpan w:val="7"/>
            <w:tcBorders>
              <w:top w:val="single" w:color="auto" w:sz="6" w:space="0"/>
              <w:left w:val="single" w:color="auto" w:sz="12" w:space="0"/>
              <w:bottom w:val="single" w:color="auto" w:sz="6" w:space="0"/>
              <w:right w:val="single" w:color="auto" w:sz="6" w:space="0"/>
            </w:tcBorders>
            <w:noWrap w:val="0"/>
            <w:vAlign w:val="center"/>
          </w:tcPr>
          <w:p w14:paraId="70914A48">
            <w:pPr>
              <w:adjustRightInd w:val="0"/>
              <w:snapToGrid w:val="0"/>
              <w:spacing w:beforeLines="0" w:afterLines="0"/>
              <w:jc w:val="left"/>
              <w:rPr>
                <w:rFonts w:hint="default" w:ascii="Times New Roman" w:hAnsi="Times New Roman" w:eastAsia="方正黑体_GBK" w:cs="Times New Roman"/>
                <w:color w:val="auto"/>
                <w:sz w:val="21"/>
                <w:szCs w:val="21"/>
                <w:lang w:val="en-US" w:eastAsia="zh-CN"/>
              </w:rPr>
            </w:pPr>
            <w:r>
              <w:rPr>
                <w:rFonts w:hint="default" w:ascii="Times New Roman" w:hAnsi="Times New Roman" w:eastAsia="方正黑体_GBK" w:cs="Times New Roman"/>
                <w:color w:val="auto"/>
                <w:kern w:val="0"/>
                <w:sz w:val="21"/>
                <w:szCs w:val="21"/>
                <w:lang w:val="en-US" w:eastAsia="zh-CN"/>
              </w:rPr>
              <w:t>三、价格部分（15分）</w:t>
            </w:r>
          </w:p>
        </w:tc>
      </w:tr>
      <w:tr w14:paraId="545D9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905" w:type="dxa"/>
            <w:tcBorders>
              <w:top w:val="single" w:color="auto" w:sz="6" w:space="0"/>
              <w:left w:val="single" w:color="auto" w:sz="12" w:space="0"/>
              <w:bottom w:val="single" w:color="auto" w:sz="6" w:space="0"/>
              <w:right w:val="single" w:color="auto" w:sz="6" w:space="0"/>
            </w:tcBorders>
            <w:noWrap w:val="0"/>
            <w:vAlign w:val="center"/>
          </w:tcPr>
          <w:p w14:paraId="68665217">
            <w:pPr>
              <w:autoSpaceDE w:val="0"/>
              <w:autoSpaceDN w:val="0"/>
              <w:adjustRightInd w:val="0"/>
              <w:snapToGrid w:val="0"/>
              <w:spacing w:line="30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（六）</w:t>
            </w:r>
          </w:p>
        </w:tc>
        <w:tc>
          <w:tcPr>
            <w:tcW w:w="754" w:type="dxa"/>
            <w:tcBorders>
              <w:top w:val="single" w:color="auto" w:sz="6" w:space="0"/>
              <w:left w:val="single" w:color="auto" w:sz="6" w:space="0"/>
              <w:bottom w:val="single" w:color="auto" w:sz="6" w:space="0"/>
              <w:right w:val="single" w:color="auto" w:sz="6" w:space="0"/>
            </w:tcBorders>
            <w:noWrap w:val="0"/>
            <w:vAlign w:val="center"/>
          </w:tcPr>
          <w:p w14:paraId="5DEB6541">
            <w:pPr>
              <w:autoSpaceDE w:val="0"/>
              <w:autoSpaceDN w:val="0"/>
              <w:adjustRightInd w:val="0"/>
              <w:snapToGrid w:val="0"/>
              <w:spacing w:beforeLines="0" w:afterLines="0"/>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价格得分</w:t>
            </w:r>
          </w:p>
        </w:tc>
        <w:tc>
          <w:tcPr>
            <w:tcW w:w="8726" w:type="dxa"/>
            <w:tcBorders>
              <w:top w:val="single" w:color="auto" w:sz="6" w:space="0"/>
              <w:left w:val="single" w:color="auto" w:sz="6" w:space="0"/>
              <w:bottom w:val="single" w:color="auto" w:sz="6" w:space="0"/>
              <w:right w:val="single" w:color="auto" w:sz="6" w:space="0"/>
            </w:tcBorders>
            <w:noWrap w:val="0"/>
            <w:vAlign w:val="center"/>
          </w:tcPr>
          <w:p w14:paraId="28F10074">
            <w:pPr>
              <w:adjustRightInd w:val="0"/>
              <w:snapToGrid w:val="0"/>
              <w:spacing w:beforeLines="0" w:afterLines="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价格分应当采用低价优先法计算，即满足采购需求且报价最低的为基准价，该项价格得分为满分。其他供应商的价格得分统一按照下列公式计算：供应商价格得分=(基准价／报价)×</w:t>
            </w:r>
            <w:r>
              <w:rPr>
                <w:rFonts w:hint="default" w:ascii="Times New Roman" w:hAnsi="Times New Roman" w:eastAsia="方正仿宋_GBK" w:cs="Times New Roman"/>
                <w:color w:val="auto"/>
                <w:sz w:val="21"/>
                <w:szCs w:val="21"/>
                <w:lang w:val="en-US" w:eastAsia="zh-CN"/>
              </w:rPr>
              <w:t>15</w:t>
            </w:r>
            <w:r>
              <w:rPr>
                <w:rFonts w:hint="default" w:ascii="Times New Roman" w:hAnsi="Times New Roman" w:eastAsia="方正仿宋_GBK" w:cs="Times New Roman"/>
                <w:color w:val="auto"/>
                <w:sz w:val="21"/>
                <w:szCs w:val="21"/>
              </w:rPr>
              <w:t>，价格得分四舍五入后保留小数点后两位有效数。</w:t>
            </w:r>
            <w:r>
              <w:rPr>
                <w:rFonts w:hint="default" w:ascii="Times New Roman" w:hAnsi="Times New Roman" w:eastAsia="方正仿宋_GBK" w:cs="Times New Roman"/>
                <w:b/>
                <w:bCs/>
                <w:color w:val="auto"/>
                <w:sz w:val="21"/>
                <w:szCs w:val="21"/>
              </w:rPr>
              <w:t>（对符合规定的小型和微型企业（监狱企业、残疾人福利单位视同小型、微型企业）报价给予10%的价格扣除。）</w:t>
            </w:r>
          </w:p>
        </w:tc>
        <w:tc>
          <w:tcPr>
            <w:tcW w:w="751" w:type="dxa"/>
            <w:tcBorders>
              <w:top w:val="single" w:color="auto" w:sz="6" w:space="0"/>
              <w:left w:val="single" w:color="auto" w:sz="6" w:space="0"/>
              <w:bottom w:val="single" w:color="auto" w:sz="6" w:space="0"/>
              <w:right w:val="single" w:color="auto" w:sz="6" w:space="0"/>
            </w:tcBorders>
            <w:noWrap w:val="0"/>
            <w:vAlign w:val="center"/>
          </w:tcPr>
          <w:p w14:paraId="3FC828CB">
            <w:pPr>
              <w:adjustRightInd w:val="0"/>
              <w:snapToGrid w:val="0"/>
              <w:spacing w:beforeLines="0" w:afterLines="0"/>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15</w:t>
            </w:r>
          </w:p>
        </w:tc>
        <w:tc>
          <w:tcPr>
            <w:tcW w:w="969" w:type="dxa"/>
            <w:tcBorders>
              <w:top w:val="single" w:color="auto" w:sz="6" w:space="0"/>
              <w:left w:val="single" w:color="auto" w:sz="6" w:space="0"/>
              <w:bottom w:val="single" w:color="auto" w:sz="6" w:space="0"/>
              <w:right w:val="single" w:color="auto" w:sz="6" w:space="0"/>
            </w:tcBorders>
            <w:noWrap w:val="0"/>
            <w:vAlign w:val="top"/>
          </w:tcPr>
          <w:p w14:paraId="082EE7F3">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193A4B15">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noWrap w:val="0"/>
            <w:vAlign w:val="top"/>
          </w:tcPr>
          <w:p w14:paraId="5CE76A37">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color w:val="auto"/>
                <w:kern w:val="0"/>
                <w:sz w:val="21"/>
                <w:szCs w:val="21"/>
              </w:rPr>
            </w:pPr>
          </w:p>
        </w:tc>
      </w:tr>
      <w:tr w14:paraId="651E7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385" w:type="dxa"/>
            <w:gridSpan w:val="3"/>
            <w:tcBorders>
              <w:top w:val="single" w:color="auto" w:sz="6" w:space="0"/>
              <w:left w:val="single" w:color="auto" w:sz="12" w:space="0"/>
              <w:bottom w:val="single" w:color="auto" w:sz="12" w:space="0"/>
              <w:right w:val="single" w:color="auto" w:sz="6" w:space="0"/>
            </w:tcBorders>
            <w:noWrap w:val="0"/>
            <w:vAlign w:val="center"/>
          </w:tcPr>
          <w:p w14:paraId="34EDA63F">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合计</w:t>
            </w:r>
          </w:p>
        </w:tc>
        <w:tc>
          <w:tcPr>
            <w:tcW w:w="751" w:type="dxa"/>
            <w:tcBorders>
              <w:top w:val="single" w:color="auto" w:sz="6" w:space="0"/>
              <w:left w:val="single" w:color="auto" w:sz="6" w:space="0"/>
              <w:bottom w:val="single" w:color="auto" w:sz="12" w:space="0"/>
              <w:right w:val="single" w:color="auto" w:sz="6" w:space="0"/>
            </w:tcBorders>
            <w:noWrap w:val="0"/>
            <w:vAlign w:val="center"/>
          </w:tcPr>
          <w:p w14:paraId="3F770639">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 xml:space="preserve">100 </w:t>
            </w:r>
          </w:p>
        </w:tc>
        <w:tc>
          <w:tcPr>
            <w:tcW w:w="969" w:type="dxa"/>
            <w:tcBorders>
              <w:top w:val="single" w:color="auto" w:sz="6" w:space="0"/>
              <w:left w:val="single" w:color="auto" w:sz="6" w:space="0"/>
              <w:bottom w:val="single" w:color="auto" w:sz="12" w:space="0"/>
              <w:right w:val="single" w:color="auto" w:sz="6" w:space="0"/>
            </w:tcBorders>
            <w:noWrap w:val="0"/>
            <w:vAlign w:val="top"/>
          </w:tcPr>
          <w:p w14:paraId="06CFB7BF">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b/>
                <w:color w:val="auto"/>
                <w:kern w:val="0"/>
                <w:sz w:val="21"/>
                <w:szCs w:val="21"/>
              </w:rPr>
            </w:pPr>
          </w:p>
        </w:tc>
        <w:tc>
          <w:tcPr>
            <w:tcW w:w="970" w:type="dxa"/>
            <w:tcBorders>
              <w:top w:val="single" w:color="auto" w:sz="6" w:space="0"/>
              <w:left w:val="single" w:color="auto" w:sz="6" w:space="0"/>
              <w:bottom w:val="single" w:color="auto" w:sz="12" w:space="0"/>
              <w:right w:val="single" w:color="auto" w:sz="6" w:space="0"/>
            </w:tcBorders>
            <w:noWrap w:val="0"/>
            <w:vAlign w:val="top"/>
          </w:tcPr>
          <w:p w14:paraId="330D04B7">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b/>
                <w:color w:val="auto"/>
                <w:kern w:val="0"/>
                <w:sz w:val="21"/>
                <w:szCs w:val="21"/>
              </w:rPr>
            </w:pPr>
          </w:p>
        </w:tc>
        <w:tc>
          <w:tcPr>
            <w:tcW w:w="970" w:type="dxa"/>
            <w:tcBorders>
              <w:top w:val="single" w:color="auto" w:sz="6" w:space="0"/>
              <w:left w:val="single" w:color="auto" w:sz="6" w:space="0"/>
              <w:bottom w:val="single" w:color="auto" w:sz="12" w:space="0"/>
              <w:right w:val="single" w:color="auto" w:sz="6" w:space="0"/>
            </w:tcBorders>
            <w:noWrap w:val="0"/>
            <w:vAlign w:val="top"/>
          </w:tcPr>
          <w:p w14:paraId="7B30F417">
            <w:pPr>
              <w:autoSpaceDE w:val="0"/>
              <w:autoSpaceDN w:val="0"/>
              <w:adjustRightInd w:val="0"/>
              <w:snapToGrid w:val="0"/>
              <w:spacing w:line="300" w:lineRule="exact"/>
              <w:ind w:left="-111" w:leftChars="-37" w:right="-105" w:rightChars="-35"/>
              <w:jc w:val="center"/>
              <w:rPr>
                <w:rFonts w:hint="default" w:ascii="Times New Roman" w:hAnsi="Times New Roman" w:eastAsia="方正仿宋_GBK" w:cs="Times New Roman"/>
                <w:b/>
                <w:color w:val="auto"/>
                <w:kern w:val="0"/>
                <w:sz w:val="21"/>
                <w:szCs w:val="21"/>
              </w:rPr>
            </w:pPr>
          </w:p>
        </w:tc>
      </w:tr>
    </w:tbl>
    <w:p w14:paraId="7ADC8B42">
      <w:pPr>
        <w:spacing w:line="400" w:lineRule="exact"/>
        <w:jc w:val="left"/>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注：1、以上提供的响应资料需在中标后提供原件核查，如经核查后存在弄虚作假行为的，将取消服务资格。</w:t>
      </w:r>
    </w:p>
    <w:p w14:paraId="09C947EC">
      <w:pPr>
        <w:spacing w:line="400" w:lineRule="exact"/>
        <w:ind w:firstLine="482" w:firstLineChars="200"/>
        <w:jc w:val="left"/>
      </w:pPr>
      <w:r>
        <w:rPr>
          <w:rFonts w:hint="default" w:ascii="Times New Roman" w:hAnsi="Times New Roman" w:eastAsia="方正仿宋_GBK" w:cs="Times New Roman"/>
          <w:b/>
          <w:color w:val="auto"/>
          <w:sz w:val="24"/>
        </w:rPr>
        <w:t>2、请投标人在投标文件中标注以上评分项目证明资料对应的页码。</w:t>
      </w:r>
    </w:p>
    <w:sectPr>
      <w:pgSz w:w="16838" w:h="11906" w:orient="landscape"/>
      <w:pgMar w:top="1463" w:right="1440" w:bottom="14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77547"/>
    <w:rsid w:val="1477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after="200" w:line="276" w:lineRule="auto"/>
      <w:ind w:firstLine="420"/>
      <w:jc w:val="left"/>
      <w:textAlignment w:val="baseline"/>
    </w:pPr>
    <w:rPr>
      <w:rFonts w:ascii="宋体" w:hAnsi="Times New Roman" w:eastAsia="Calibri"/>
      <w:kern w:val="0"/>
      <w:sz w:val="3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2025-04-28T01:07:00Z</dcterms:created>
  <dc:creator>李耀明</dc:creator>
  <cp:lastModifiedBy>李耀明</cp:lastModifiedBy>
  <dcterms:modified xsi:type="dcterms:W3CDTF">2025-04-28T01:08:58Z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0C154DCB86F24E2EBF536182595E77B6_11</vt:lpwstr>
  </property>
  <property fmtid="{D5CDD505-2E9C-101B-9397-08002B2CF9AE}" pid="4" name="KSOTemplateDocerSaveRecord">
    <vt:lpwstr>eyJoZGlkIjoiMDM3NGU3YmU1ODYyYjdmN2E3ZWRhMmM0MjY3M2IwZTIifQ==</vt:lpwstr>
  </property>
</Properties>
</file>