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both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2</w:t>
      </w:r>
    </w:p>
    <w:p>
      <w:pPr>
        <w:spacing w:before="138" w:line="219" w:lineRule="auto"/>
        <w:jc w:val="both"/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承接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企业安全生产三级标准化定级组织单位评分表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 w:firstLine="469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</w:t>
            </w:r>
            <w:r>
              <w:rPr>
                <w:rFonts w:hint="default" w:ascii="仿宋" w:hAnsi="仿宋" w:eastAsia="仿宋" w:cs="仿宋"/>
                <w:b/>
                <w:bCs/>
                <w:spacing w:val="-3"/>
                <w:sz w:val="24"/>
                <w:szCs w:val="24"/>
              </w:rPr>
              <w:t>不通过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会组织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</w:t>
            </w:r>
            <w:r>
              <w:rPr>
                <w:rFonts w:hint="default" w:ascii="仿宋" w:hAnsi="仿宋" w:eastAsia="仿宋" w:cs="仿宋"/>
                <w:spacing w:val="-1"/>
                <w:sz w:val="24"/>
                <w:szCs w:val="24"/>
              </w:rPr>
              <w:t>或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相关行业3年内出现违法违规行为</w:t>
            </w:r>
          </w:p>
        </w:tc>
        <w:tc>
          <w:tcPr>
            <w:tcW w:w="858" w:type="dxa"/>
            <w:vAlign w:val="center"/>
          </w:tcPr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内部管理制度 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信息公开制度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民主监督制度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依法缴纳税收(1分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(1分)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center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具有承接职能的设 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995" w:tblpY="-28"/>
        <w:tblOverlap w:val="never"/>
        <w:tblW w:w="9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193"/>
        <w:gridCol w:w="919"/>
        <w:gridCol w:w="1874"/>
        <w:gridCol w:w="1114"/>
        <w:gridCol w:w="1267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firstLine="744" w:firstLineChars="30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1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.人员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 w:firstLine="234" w:firstLineChars="1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配有3名以上(含3名)相关领域专职专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家(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配有专职工作人员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 w:right="130" w:firstLine="5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建有相关领域安全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生产专家库(4分)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2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实现行业自律管理，具有很高的社会公信度。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7"/>
                <w:sz w:val="24"/>
                <w:szCs w:val="24"/>
              </w:rPr>
              <w:t>8(5分为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起点)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61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三、实施工作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方案可行性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(3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21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11.承接工作方案可行性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12.开展工作标准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和程序及内部质量控制制度的初步方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13.可接受政府绩效评估的指标、标准和程序。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四、其他条件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14.曾接受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提供相关业绩证</w:t>
            </w:r>
            <w:r>
              <w:rPr>
                <w:rFonts w:hint="default" w:ascii="仿宋" w:hAnsi="仿宋" w:eastAsia="仿宋" w:cs="仿宋"/>
                <w:spacing w:val="-1"/>
                <w:sz w:val="24"/>
                <w:szCs w:val="24"/>
              </w:rPr>
              <w:t>明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材料，每个业绩1分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3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15.获得损赠税前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扣除资格和非营利组织免税资格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16.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五、报价(10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17.综合评分。取所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价，价格得分=10×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2025年     月     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1B7F8FA6"/>
    <w:rsid w:val="1BBF0FAF"/>
    <w:rsid w:val="4BF9D312"/>
    <w:rsid w:val="57E1A80A"/>
    <w:rsid w:val="57FD624F"/>
    <w:rsid w:val="5D17EC50"/>
    <w:rsid w:val="5F7F6D7B"/>
    <w:rsid w:val="5FF7C345"/>
    <w:rsid w:val="6F679A9C"/>
    <w:rsid w:val="74FF5EB4"/>
    <w:rsid w:val="7580770C"/>
    <w:rsid w:val="7D7F7E6C"/>
    <w:rsid w:val="A15BAE67"/>
    <w:rsid w:val="A5FF6889"/>
    <w:rsid w:val="A9FFDBE2"/>
    <w:rsid w:val="CFBFC311"/>
    <w:rsid w:val="CFBFDC3C"/>
    <w:rsid w:val="CFD16637"/>
    <w:rsid w:val="D1F7757D"/>
    <w:rsid w:val="DDFD9409"/>
    <w:rsid w:val="E3B53392"/>
    <w:rsid w:val="E4D5AFD1"/>
    <w:rsid w:val="EBFF87AC"/>
    <w:rsid w:val="EFFF11AB"/>
    <w:rsid w:val="F76F4364"/>
    <w:rsid w:val="F7BE9B8A"/>
    <w:rsid w:val="FA7EF407"/>
    <w:rsid w:val="FE2B7B2E"/>
    <w:rsid w:val="FEFE29F1"/>
    <w:rsid w:val="FF2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7</TotalTime>
  <ScaleCrop>false</ScaleCrop>
  <LinksUpToDate>false</LinksUpToDate>
  <CharactersWithSpaces>881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2023-04-26T01:04:00Z</dcterms:created>
  <dc:creator>uos</dc:creator>
  <cp:lastModifiedBy>greatwall</cp:lastModifiedBy>
  <dcterms:modified xsi:type="dcterms:W3CDTF">2025-03-06T10:36:47Z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4AF31C35E3B64E8ABDB2086CB7A68963</vt:lpwstr>
  </property>
</Properties>
</file>