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企业商业秘密保护管理员管理办法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（参考模板）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第一章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总则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eastAsia="仿宋_GB2312"/>
          <w:sz w:val="32"/>
          <w:szCs w:val="32"/>
        </w:rPr>
        <w:t>为了加强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商业秘密保护管理员的管理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提高保密管理员的业务能力和专业素养，提升企业</w:t>
      </w:r>
      <w:r>
        <w:rPr>
          <w:rFonts w:hint="eastAsia" w:ascii="仿宋_GB2312" w:eastAsia="仿宋_GB2312"/>
          <w:sz w:val="32"/>
          <w:szCs w:val="32"/>
        </w:rPr>
        <w:t>商业秘密保护能力，维护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的核心竞争力和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合法权益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反不正当竞争法</w:t>
      </w:r>
      <w:r>
        <w:rPr>
          <w:rFonts w:hint="eastAsia" w:ascii="仿宋_GB2312" w:eastAsia="仿宋_GB2312"/>
          <w:sz w:val="32"/>
          <w:szCs w:val="32"/>
          <w:lang w:eastAsia="zh-CN"/>
        </w:rPr>
        <w:t>》《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保守国家秘密法》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民法典》《劳动合同法》等相关法律法规，</w:t>
      </w:r>
      <w:r>
        <w:rPr>
          <w:rFonts w:hint="eastAsia" w:ascii="仿宋_GB2312" w:eastAsia="仿宋_GB2312"/>
          <w:sz w:val="32"/>
          <w:szCs w:val="32"/>
        </w:rPr>
        <w:t>制定本办法。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适用范围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】本办法适用于企业内所有从事商业秘密保密工作的联络员。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角色定义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】商业秘密保护管理员是企业中负责商业秘密保护工作的专职员，应具有高度的责任心、保密意识和专业知识，能够熟练掌握保密法律法规，根据法律法规要求制定和执行相应的保密政策和措施，能够独立、有效地协调、执行商业秘密保护工作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设置要求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】企业应</w:t>
      </w:r>
      <w:r>
        <w:rPr>
          <w:rFonts w:hint="eastAsia" w:ascii="仿宋_GB2312" w:eastAsia="仿宋_GB2312"/>
          <w:sz w:val="32"/>
          <w:szCs w:val="32"/>
        </w:rPr>
        <w:t>根据实际情况，结合自身的经营模式、研发重点、市场比例、商业价值、竞争优势、主要风险等，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在各部门</w:t>
      </w:r>
      <w:r>
        <w:rPr>
          <w:rFonts w:hint="eastAsia" w:ascii="仿宋_GB2312" w:eastAsia="仿宋_GB2312"/>
          <w:sz w:val="32"/>
          <w:szCs w:val="32"/>
        </w:rPr>
        <w:t>配备专职或兼职的商业秘密管理人员负责商业秘密管理工作。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工作职责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第五条【工作职责】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助制定、执行、监督完善商业秘密保护管理制度，传达公司关于商业秘密管理的决策和要求，统筹协调部门间的商业秘密管理工作。推动商业秘密保护措施的落实，监督企业保密工作的执行情况，对商业秘密的使用和保管情况，及时发现和纠正违规行为。协助制定商业秘密泄密或被侵权的应急处置预案，</w:t>
      </w:r>
      <w:r>
        <w:rPr>
          <w:rFonts w:hint="eastAsia" w:ascii="仿宋_GB2312" w:eastAsia="仿宋_GB2312"/>
          <w:sz w:val="32"/>
          <w:szCs w:val="32"/>
        </w:rPr>
        <w:t>建立紧急应对流程，将危害控制在最小范围内。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（二）配合行政、信息、硬件维护等部门开展商业秘密信息、涉密物品、涉密载体、涉密人员、涉密区域等的识别和管理，以标记、分类、隔离、加密、封存、限制能够接触或者获取的人员范围等方式，</w:t>
      </w:r>
      <w:r>
        <w:rPr>
          <w:rFonts w:hint="eastAsia" w:ascii="仿宋_GB2312" w:eastAsia="仿宋_GB2312"/>
          <w:sz w:val="32"/>
          <w:szCs w:val="32"/>
        </w:rPr>
        <w:t>对商业秘密载体进行区分和管理，配合实施涉密载体的制作、收发、传递、使用、复制、保存、维修、销毁等的全生命周期管理。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（三）做好涉密人员和商业秘密保护工作的月度自查、保密检查准备工作，定期向公司领导汇报本部门的商业秘密管理情况，如：</w:t>
      </w:r>
      <w:r>
        <w:rPr>
          <w:rFonts w:hint="eastAsia" w:ascii="仿宋_GB2312" w:eastAsia="仿宋_GB2312"/>
          <w:sz w:val="32"/>
          <w:szCs w:val="32"/>
        </w:rPr>
        <w:t>建立涉密人员清单，并在岗位变动时及时更新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审核检查</w:t>
      </w:r>
      <w:r>
        <w:rPr>
          <w:rFonts w:hint="eastAsia" w:ascii="仿宋_GB2312" w:eastAsia="仿宋_GB2312"/>
          <w:sz w:val="32"/>
          <w:szCs w:val="32"/>
        </w:rPr>
        <w:t>新入职的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员工所</w:t>
      </w:r>
      <w:r>
        <w:rPr>
          <w:rFonts w:hint="eastAsia" w:ascii="仿宋_GB2312" w:eastAsia="仿宋_GB2312"/>
          <w:sz w:val="32"/>
          <w:szCs w:val="32"/>
        </w:rPr>
        <w:t>签订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保密协议或在劳动合同中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是否有</w:t>
      </w:r>
      <w:r>
        <w:rPr>
          <w:rFonts w:hint="eastAsia" w:ascii="仿宋_GB2312" w:eastAsia="仿宋_GB2312"/>
          <w:sz w:val="32"/>
          <w:szCs w:val="32"/>
        </w:rPr>
        <w:t>约定保密义务及违约责任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等。有针对性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提出改进建议，及时报告和处理保密工作中的问题和隐患。</w:t>
      </w:r>
    </w:p>
    <w:p>
      <w:pPr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协助配合有关职能部门对泄密事件的内部处理和法律维权。配合职能部门启动内部调查程序，确定泄密情况和范围。针对情况采取必要措施制止泄密行为，保护商业秘密的安全性。对于涉嫌泄密的员工，进行协助调查并采取相应的纪律处分。</w:t>
      </w:r>
      <w:r>
        <w:rPr>
          <w:rFonts w:hint="eastAsia" w:ascii="仿宋_GB2312" w:eastAsia="仿宋_GB2312"/>
          <w:sz w:val="32"/>
          <w:szCs w:val="32"/>
        </w:rPr>
        <w:t>构成侵权的，要求侵权人承担经济赔偿责任，赔偿企业因泄密事件造成的损失。对于严重的泄密行为构成侵犯商业秘密罪的，可以向法院提起诉讼，要求侵权人承担法律责任。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（五）协助配合有关职能部门对外合作过程中的商业秘密管理，配合建立对外发布信息的保密审查机制，对</w:t>
      </w:r>
      <w:r>
        <w:rPr>
          <w:rFonts w:hint="eastAsia" w:ascii="仿宋_GB2312" w:eastAsia="仿宋_GB2312"/>
          <w:sz w:val="32"/>
          <w:szCs w:val="32"/>
        </w:rPr>
        <w:t>发布的信息、保密审查记录进行留存和备案，经常性检查和追踪；在商务活动中，协助相关部门与相对方签署保密协议，通过合同方式明确商业秘密的内容及归属，妥善保存相关数据、技术资料等原始材料及其交接记录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（六）配合</w:t>
      </w:r>
      <w:r>
        <w:rPr>
          <w:rFonts w:hint="eastAsia" w:ascii="仿宋_GB2312" w:eastAsia="仿宋_GB2312"/>
          <w:sz w:val="32"/>
          <w:szCs w:val="32"/>
        </w:rPr>
        <w:t>人力资源部门定期组织企业员工的保密宣传和培训，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提高企业员工的商业秘密保护意识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协助组织和指导商业秘密保护培训工作，根据员工的实际情况和需求，采用适合的培训形式，确保员工对商业秘密保护的意识始终保持高度警惕，并及时总结和反馈，使得培训效果最大化。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其他与商业秘密保护相关事项。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第三章  培训机制</w:t>
      </w:r>
    </w:p>
    <w:p>
      <w:pPr>
        <w:ind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第六条【培训机制的建立】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企业应组织专门的保密管理员培训团队机构，负责制定和执行培养计划，开展有针对性的培训，提高其专业素质和能力；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培训计划应具有完整的体系，应包括培训内容、课程体系、培养路径和时间表等，培训内容应包括但不限于商业秘密法律法规、保密管理制度、保密技术应用以及案例分析等，确保培训工作的系统性和连贯性。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（三）培养方式多样化，包括线上课程、线下培训、实践锻炼等多种形式，以满足不同保密管理员的需求。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【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培训机制的执行与监督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】</w:t>
      </w:r>
    </w:p>
    <w:p>
      <w:pPr>
        <w:spacing w:after="0"/>
        <w:ind w:firstLine="640" w:firstLineChars="200"/>
        <w:jc w:val="both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一）培训计划应由专业的培训团队凭借其深厚的专业知识和技能，围绕企业的战略目标并结合实际需求制定。符合企业实际情况的培训计划。在培训计划的实施过程中，需充分发挥其组织、协调和管理职能，积极整合各方资源，确保各项培训活动能够有序、高效地进行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建立考核机制，为确保保密管理员的学习成果和工作表现得到客观、全面的评价，需要建立一套完善的考核机制。这一机制应涵盖保密管理员在培训期间的学习成果评估，以及在实际工作中保密工作能力的考核。通过定期考核和不定期抽查相结合的方式，可以全面了解保密管理员的掌握程度和实际应用能力，对于表现不佳的人员需进行必要的辅导和整改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建立监督与反馈机制，通过设立专门的监督机构或指定专人负责，对保密管理员的学习进度、工作表现以及培训效果进行实时跟踪和评估。同时，建立畅通的反馈渠道，鼓励保密管理员积极提出自己的意见和建议，及时发现和解决培养过程中的问题和不足，以便对培养方案进行持续优化和改进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培养制度的完善与革新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】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为适应新形势下的保密需求变化，企业应定期对保密管理员培养制度进行评估和优化。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应积极引入先进理念和技术手段，不断提升保密管理员的培养质量和效率。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第四章  支持与配合</w:t>
      </w:r>
    </w:p>
    <w:p>
      <w:pPr>
        <w:ind w:firstLine="643" w:firstLineChars="200"/>
        <w:jc w:val="both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第七条【部门配合】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商业秘密保密管理员在执行商业秘密保护工作时，各部门应该提供必要的协助和配合，确保保密管理员履行职责不受阻碍。对于商业秘密保密管理员提出的改进建议和要求，各部门应认真对待，积极采纳并落实，共同推动商业秘密保护工作的持续改进。</w:t>
      </w:r>
    </w:p>
    <w:p>
      <w:pPr>
        <w:ind w:firstLine="642"/>
        <w:jc w:val="both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领导支持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】  公司商业秘密管理委员会、部门负责人应定期听取商业秘密保密管理员的工作汇报，了解商业秘密保护情况，并提供必要的支持和资源。</w:t>
      </w:r>
    </w:p>
    <w:p>
      <w:pPr>
        <w:numPr>
          <w:ilvl w:val="0"/>
          <w:numId w:val="0"/>
        </w:num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第五章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附则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第九条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本制度自发布之日起实施，由企业商业秘密管理委员会负责解释和修订。</w:t>
      </w:r>
    </w:p>
    <w:p>
      <w:pPr>
        <w:ind w:firstLine="643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第十条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本制度如有修改，修改后的制度应按照相应程序进行审批和发布。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jVjNDdiZWNmN2Y3NjgyZGYyOTg3NmRlMTE5MmUifQ=="/>
  </w:docVars>
  <w:rsids>
    <w:rsidRoot w:val="0E207F69"/>
    <w:rsid w:val="0265159A"/>
    <w:rsid w:val="03880764"/>
    <w:rsid w:val="044C0C16"/>
    <w:rsid w:val="06827BB3"/>
    <w:rsid w:val="089A3F15"/>
    <w:rsid w:val="0D9F44AC"/>
    <w:rsid w:val="0E207F69"/>
    <w:rsid w:val="15EF4D78"/>
    <w:rsid w:val="1739056D"/>
    <w:rsid w:val="18DC65B5"/>
    <w:rsid w:val="1CD66AF1"/>
    <w:rsid w:val="1DEF28E6"/>
    <w:rsid w:val="22693D11"/>
    <w:rsid w:val="2288155B"/>
    <w:rsid w:val="255B2F70"/>
    <w:rsid w:val="26412EF1"/>
    <w:rsid w:val="271D27C1"/>
    <w:rsid w:val="276F1DCA"/>
    <w:rsid w:val="29F158AE"/>
    <w:rsid w:val="2C2E0A7D"/>
    <w:rsid w:val="34BF705E"/>
    <w:rsid w:val="35CE6E2D"/>
    <w:rsid w:val="3A4818A4"/>
    <w:rsid w:val="3F6251B6"/>
    <w:rsid w:val="43E32348"/>
    <w:rsid w:val="453E5B03"/>
    <w:rsid w:val="475C2F0B"/>
    <w:rsid w:val="490E5A67"/>
    <w:rsid w:val="4B3A0D95"/>
    <w:rsid w:val="4C714C8A"/>
    <w:rsid w:val="4D326539"/>
    <w:rsid w:val="4F93316A"/>
    <w:rsid w:val="53000B16"/>
    <w:rsid w:val="53334B5C"/>
    <w:rsid w:val="58F650E7"/>
    <w:rsid w:val="59D145A3"/>
    <w:rsid w:val="5A29599B"/>
    <w:rsid w:val="5ABF5EF0"/>
    <w:rsid w:val="5DB81686"/>
    <w:rsid w:val="5DDA7514"/>
    <w:rsid w:val="63D27965"/>
    <w:rsid w:val="66A03D4A"/>
    <w:rsid w:val="6C717017"/>
    <w:rsid w:val="752415E7"/>
    <w:rsid w:val="795A0630"/>
    <w:rsid w:val="97B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1979</Words>
  <Characters>1979</Characters>
  <Lines>0</Lines>
  <Paragraphs>0</Paragraphs>
  <TotalTime>0</TotalTime>
  <ScaleCrop>false</ScaleCrop>
  <LinksUpToDate>false</LinksUpToDate>
  <CharactersWithSpaces>2001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2024-03-29T17:20:00Z</dcterms:created>
  <dc:creator>PC</dc:creator>
  <cp:lastModifiedBy>张秋月</cp:lastModifiedBy>
  <dcterms:modified xsi:type="dcterms:W3CDTF">2024-06-28T00:43:49Z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B7599EE5F8144581999C5D70E3A838F5</vt:lpwstr>
  </property>
</Properties>
</file>