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FF2E2">
      <w:pPr>
        <w:spacing w:line="560" w:lineRule="exact"/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方正黑体_GBK" w:cs="Times New Roman"/>
          <w:color w:val="000000"/>
          <w:sz w:val="32"/>
          <w:szCs w:val="32"/>
          <w:lang w:val="en-US" w:eastAsia="zh-CN"/>
        </w:rPr>
        <w:t>2：</w:t>
      </w:r>
    </w:p>
    <w:p w14:paraId="4D52BBBD">
      <w:pPr>
        <w:spacing w:line="560" w:lineRule="exact"/>
        <w:rPr>
          <w:rFonts w:hint="default" w:ascii="Times New Roman" w:hAnsi="Times New Roman" w:eastAsia="仿宋_GB2312"/>
          <w:color w:val="000000"/>
          <w:sz w:val="32"/>
          <w:szCs w:val="32"/>
          <w:lang w:val="en-US" w:eastAsia="zh-CN"/>
        </w:rPr>
      </w:pPr>
    </w:p>
    <w:p w14:paraId="70487076">
      <w:pPr>
        <w:spacing w:line="500" w:lineRule="exact"/>
        <w:jc w:val="center"/>
        <w:rPr>
          <w:rFonts w:hint="default" w:ascii="Times New Roman" w:hAnsi="Times New Roman" w:eastAsia="方正大标宋_GBK" w:cs="Times New Roman"/>
          <w:sz w:val="36"/>
          <w:szCs w:val="36"/>
          <w:lang w:eastAsia="zh-CN"/>
        </w:rPr>
      </w:pPr>
      <w:bookmarkStart w:id="0" w:name="_GoBack"/>
      <w:r>
        <w:rPr>
          <w:rFonts w:hint="default" w:ascii="Times New Roman" w:hAnsi="Times New Roman" w:eastAsia="方正大标宋_GBK" w:cs="Times New Roman"/>
          <w:sz w:val="36"/>
          <w:szCs w:val="36"/>
        </w:rPr>
        <w:t>评分</w:t>
      </w:r>
      <w:r>
        <w:rPr>
          <w:rFonts w:hint="default" w:ascii="Times New Roman" w:hAnsi="Times New Roman" w:eastAsia="方正大标宋_GBK" w:cs="Times New Roman"/>
          <w:sz w:val="36"/>
          <w:szCs w:val="36"/>
          <w:lang w:eastAsia="zh-CN"/>
        </w:rPr>
        <w:t>表</w:t>
      </w:r>
    </w:p>
    <w:bookmarkEnd w:id="0"/>
    <w:tbl>
      <w:tblPr>
        <w:tblStyle w:val="3"/>
        <w:tblW w:w="9506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6"/>
        <w:gridCol w:w="1245"/>
        <w:gridCol w:w="1276"/>
        <w:gridCol w:w="5766"/>
        <w:gridCol w:w="613"/>
      </w:tblGrid>
      <w:tr w14:paraId="188957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8891B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0"/>
                <w:szCs w:val="20"/>
              </w:rPr>
              <w:t>序号</w:t>
            </w:r>
          </w:p>
        </w:tc>
        <w:tc>
          <w:tcPr>
            <w:tcW w:w="1245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1BE223B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0"/>
                <w:szCs w:val="20"/>
              </w:rPr>
              <w:t>评审项目</w:t>
            </w:r>
          </w:p>
        </w:tc>
        <w:tc>
          <w:tcPr>
            <w:tcW w:w="127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CC053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0"/>
                <w:szCs w:val="20"/>
              </w:rPr>
              <w:t>评审内容</w:t>
            </w:r>
          </w:p>
        </w:tc>
        <w:tc>
          <w:tcPr>
            <w:tcW w:w="576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0484FB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0"/>
                <w:szCs w:val="20"/>
              </w:rPr>
              <w:t>评审准则</w:t>
            </w:r>
          </w:p>
        </w:tc>
        <w:tc>
          <w:tcPr>
            <w:tcW w:w="613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8F3511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黑体_GBK" w:cs="Times New Roman"/>
                <w:b w:val="0"/>
                <w:bCs w:val="0"/>
                <w:color w:val="0C0C0C"/>
                <w:kern w:val="0"/>
                <w:sz w:val="20"/>
                <w:szCs w:val="20"/>
              </w:rPr>
              <w:t>分值</w:t>
            </w:r>
          </w:p>
        </w:tc>
      </w:tr>
      <w:tr w14:paraId="561F62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D43464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245" w:type="dxa"/>
            <w:vMerge w:val="restart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4807B7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服务响应情况评分（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30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分）</w:t>
            </w:r>
          </w:p>
        </w:tc>
        <w:tc>
          <w:tcPr>
            <w:tcW w:w="127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B0291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提供微信公众号推送策划方案</w:t>
            </w:r>
          </w:p>
        </w:tc>
        <w:tc>
          <w:tcPr>
            <w:tcW w:w="576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4BB9FB4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）提供方案的推送内容能紧贴生态环境保护理念与国家方针，版面设计优秀的，得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20分；</w:t>
            </w:r>
          </w:p>
          <w:p w14:paraId="2AF14F0E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）提供方案的推送内容能围绕生态环境保护理念与国家方针，版面设计良好的，得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15分；</w:t>
            </w:r>
          </w:p>
          <w:p w14:paraId="0EC8BEE9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）提供方案的推送内容围绕生态环境保护理念与国家方针不紧密，版面设计一般的，得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10分；</w:t>
            </w:r>
          </w:p>
          <w:p w14:paraId="6898C686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）未提供策划方案的，该项不得分。</w:t>
            </w:r>
          </w:p>
        </w:tc>
        <w:tc>
          <w:tcPr>
            <w:tcW w:w="613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C89CB8D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 w14:paraId="295EDF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5" w:hRule="atLeast"/>
          <w:jc w:val="center"/>
        </w:trPr>
        <w:tc>
          <w:tcPr>
            <w:tcW w:w="60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F0ED73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1245" w:type="dxa"/>
            <w:vMerge w:val="continue"/>
            <w:shd w:val="clear" w:color="auto" w:fill="FFFFFF"/>
            <w:noWrap w:val="0"/>
            <w:vAlign w:val="center"/>
          </w:tcPr>
          <w:p w14:paraId="5AAABEF1">
            <w:pPr>
              <w:widowControl/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2EA7B9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服务计划响应情况</w:t>
            </w:r>
          </w:p>
        </w:tc>
        <w:tc>
          <w:tcPr>
            <w:tcW w:w="576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79859B57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服务计划完善、切合实际，利于项目开展工作，便于实施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，在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2小时（含2小时）内响应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分；</w:t>
            </w:r>
          </w:p>
          <w:p w14:paraId="12DE4822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服务计划基本可行、基本满足实际需求，可以开展工作，可以实施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，在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2-4小时（含4小时）响应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8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分；</w:t>
            </w:r>
          </w:p>
          <w:p w14:paraId="466B71F1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服务计划一般、与实际情况有所出入，基本可以开展工作，实施效果一般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，在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4小时后响应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的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分；</w:t>
            </w:r>
          </w:p>
          <w:p w14:paraId="54A60399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未提供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服务计划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的，该项不得分。</w:t>
            </w:r>
          </w:p>
        </w:tc>
        <w:tc>
          <w:tcPr>
            <w:tcW w:w="613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0CBACF9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</w:tr>
      <w:tr w14:paraId="4D6AF0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B89BFA6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1245" w:type="dxa"/>
            <w:vMerge w:val="restart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9D73D68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商务评分（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50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分）</w:t>
            </w:r>
          </w:p>
        </w:tc>
        <w:tc>
          <w:tcPr>
            <w:tcW w:w="127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C61930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企业综合实力</w:t>
            </w:r>
          </w:p>
        </w:tc>
        <w:tc>
          <w:tcPr>
            <w:tcW w:w="576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9347E5C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）配备专业采编团队，拥有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1名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专业采编人员得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3分，每增加1名采编人员得3分，最高不超过9分；</w:t>
            </w:r>
          </w:p>
          <w:p w14:paraId="35BC9B6B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（2）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在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）提供的人员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中有获得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专业采编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资格证等与项目执行环节相关专业人员的，1名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分，本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小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项最高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分。</w:t>
            </w:r>
          </w:p>
          <w:p w14:paraId="36D36779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说明：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须提供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相关人员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开标前三个月内任意一个月的社保证明，社保缴纳单位须与投标主体一致或属其子、母公司；获得相关专业资格证书的人员需提供对应证件的扫描件，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没有提供或提供无效证明材料的不得分。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13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16D19C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</w:tr>
      <w:tr w14:paraId="339080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FA5C22A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1245" w:type="dxa"/>
            <w:vMerge w:val="continue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1BE64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B44EE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宣传渠道资源</w:t>
            </w:r>
          </w:p>
        </w:tc>
        <w:tc>
          <w:tcPr>
            <w:tcW w:w="576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0EF861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C0C0C"/>
                <w:kern w:val="0"/>
                <w:sz w:val="20"/>
              </w:rPr>
              <w:t>渠道数量要素评价：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能提供活动所需的宣传发布渠道资源（客户端、微信公众号或微博等），自有宣传渠道每个得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分，合作宣传渠道每个得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。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该要素评价项最高得分不超过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分。</w:t>
            </w:r>
          </w:p>
          <w:p w14:paraId="6791F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color w:val="0C0C0C"/>
                <w:kern w:val="0"/>
                <w:sz w:val="20"/>
              </w:rPr>
              <w:t>渠道质量要素评价：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提供的渠道粉丝量（或客户端下载量）累计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超过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10万的得3分，超过30万的得6分，超过50万的得8分，超过80万的得9分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eastAsia="zh-CN"/>
              </w:rPr>
              <w:t>（此项数量为所有渠道的合计数，不针对单个渠道分别计分）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。该要素评价项最高得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9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分。</w:t>
            </w:r>
          </w:p>
          <w:p w14:paraId="517DE1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left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</w:rPr>
              <w:t>（说明：本项总得分=渠道数量要素评价得分+渠道质量要素评价得分。自有渠道需提供相关认证截图或同一主体证明材料，合作宣传渠道需提供相关授权或合作证明材料。没有提供或提供无效证明材料，该项不得分。）</w:t>
            </w:r>
          </w:p>
        </w:tc>
        <w:tc>
          <w:tcPr>
            <w:tcW w:w="613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F93D4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lang w:val="en-US" w:eastAsia="zh-CN"/>
              </w:rPr>
              <w:t>15</w:t>
            </w:r>
          </w:p>
        </w:tc>
      </w:tr>
      <w:tr w14:paraId="048B8EA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0116CB5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1245" w:type="dxa"/>
            <w:vMerge w:val="continue"/>
            <w:shd w:val="clear" w:color="auto" w:fill="FFFFFF"/>
            <w:noWrap w:val="0"/>
            <w:vAlign w:val="center"/>
          </w:tcPr>
          <w:p w14:paraId="593737B8">
            <w:pPr>
              <w:widowControl/>
              <w:spacing w:line="500" w:lineRule="exact"/>
              <w:jc w:val="left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171224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同类项目业绩</w:t>
            </w:r>
          </w:p>
        </w:tc>
        <w:tc>
          <w:tcPr>
            <w:tcW w:w="576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5236229B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提供自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2021年以来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投标人独立承办的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新媒体运营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服务项目案例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、宣传视频制作案例或公益广告投放案例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，每个得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分，最高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不超过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分。</w:t>
            </w:r>
          </w:p>
          <w:p w14:paraId="592B5BDB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说明：须提供合同关键页扫描件，相关项目实施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  <w:t>效果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照片。</w:t>
            </w:r>
          </w:p>
        </w:tc>
        <w:tc>
          <w:tcPr>
            <w:tcW w:w="613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69260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  <w:tr w14:paraId="0E45F4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0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C317B7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2521" w:type="dxa"/>
            <w:gridSpan w:val="2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163CDEE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价格评分（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分）</w:t>
            </w:r>
          </w:p>
        </w:tc>
        <w:tc>
          <w:tcPr>
            <w:tcW w:w="5766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top"/>
          </w:tcPr>
          <w:p w14:paraId="29780ED7">
            <w:pPr>
              <w:widowControl/>
              <w:spacing w:line="500" w:lineRule="exact"/>
              <w:jc w:val="both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</w:rPr>
              <w:t>满足招标文件要求且价格最低的投标价为基准价，其价格分为满分。其他投标人的价格分统一按照下列公式计算：价格分=(基准价／投标报价)×价格权值×100[对符合规定的小型和微型企业（监狱企业、残疾人福利单位视同小型、微型企业）报价给予10%的价格扣除。]</w:t>
            </w:r>
          </w:p>
        </w:tc>
        <w:tc>
          <w:tcPr>
            <w:tcW w:w="613" w:type="dxa"/>
            <w:shd w:val="clear" w:color="auto" w:fill="FFFFFF"/>
            <w:noWrap w:val="0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687F75F">
            <w:pPr>
              <w:widowControl/>
              <w:spacing w:line="500" w:lineRule="exact"/>
              <w:jc w:val="center"/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/>
              </w:rPr>
            </w:pPr>
            <w:r>
              <w:rPr>
                <w:rFonts w:hint="default" w:ascii="Times New Roman" w:hAnsi="Times New Roman" w:eastAsia="方正仿宋_GBK" w:cs="Times New Roman"/>
                <w:color w:val="0C0C0C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</w:tr>
    </w:tbl>
    <w:p w14:paraId="662BD8B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870351"/>
    <w:rsid w:val="7D870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2025-04-09T09:29:00Z</dcterms:created>
  <dc:creator>李耀明</dc:creator>
  <cp:lastModifiedBy>李耀明</cp:lastModifiedBy>
  <dcterms:modified xsi:type="dcterms:W3CDTF">2025-04-09T09:29:38Z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FF4DF80B3BD941179CA79D966505451D_11</vt:lpwstr>
  </property>
  <property fmtid="{D5CDD505-2E9C-101B-9397-08002B2CF9AE}" pid="4" name="KSOTemplateDocerSaveRecord">
    <vt:lpwstr>eyJoZGlkIjoiMDM3NGU3YmU1ODYyYjdmN2E3ZWRhMmM0MjY3M2IwZTIifQ==</vt:lpwstr>
  </property>
</Properties>
</file>