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bCs/>
          <w:sz w:val="28"/>
          <w:szCs w:val="28"/>
        </w:rPr>
      </w:pPr>
      <w:r>
        <w:rPr>
          <w:rFonts w:hint="eastAsia"/>
          <w:b/>
          <w:bCs/>
          <w:sz w:val="28"/>
          <w:szCs w:val="28"/>
        </w:rPr>
        <w:t>江门市新会公路局养护中心养护工程砂石材料采购评选办法</w:t>
      </w:r>
    </w:p>
    <w:p>
      <w:pPr>
        <w:spacing w:line="560" w:lineRule="exact"/>
        <w:ind w:firstLine="560"/>
        <w:jc w:val="left"/>
        <w:rPr>
          <w:b/>
          <w:bCs/>
          <w:sz w:val="24"/>
        </w:rPr>
      </w:pPr>
      <w:r>
        <w:rPr>
          <w:rFonts w:hint="eastAsia"/>
          <w:b/>
          <w:bCs/>
          <w:sz w:val="24"/>
        </w:rPr>
        <w:t>一、本采购项目采用综合评分选取方式</w:t>
      </w:r>
    </w:p>
    <w:p>
      <w:pPr>
        <w:spacing w:line="560" w:lineRule="exact"/>
        <w:ind w:firstLine="560"/>
        <w:jc w:val="left"/>
        <w:rPr>
          <w:sz w:val="24"/>
        </w:rPr>
      </w:pPr>
      <w:r>
        <w:rPr>
          <w:rFonts w:hint="eastAsia"/>
          <w:sz w:val="24"/>
        </w:rPr>
        <w:t>本次采购采用综合评选的方式确定中选单位。采购评选小组先对投标单位进行初步评审；然后对满足初步评审要求的投标单位各品目的报价进行加权得分计算，按照报价加权总得分由低到高顺序推荐最多三家为中标候选人，如两家以上（含两家）报价单位得分相同，则由评审小组商议确定报价单位顺位。</w:t>
      </w:r>
    </w:p>
    <w:p>
      <w:pPr>
        <w:numPr>
          <w:ilvl w:val="0"/>
          <w:numId w:val="1"/>
        </w:numPr>
        <w:spacing w:line="560" w:lineRule="exact"/>
        <w:ind w:firstLine="560"/>
        <w:jc w:val="left"/>
        <w:rPr>
          <w:b/>
          <w:bCs/>
          <w:sz w:val="24"/>
        </w:rPr>
      </w:pPr>
      <w:r>
        <w:rPr>
          <w:rFonts w:hint="eastAsia"/>
          <w:b/>
          <w:bCs/>
          <w:sz w:val="24"/>
        </w:rPr>
        <w:t>初步评审</w:t>
      </w:r>
    </w:p>
    <w:tbl>
      <w:tblPr>
        <w:tblStyle w:val="6"/>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2399"/>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gridSpan w:val="2"/>
            <w:vAlign w:val="center"/>
          </w:tcPr>
          <w:p>
            <w:pPr>
              <w:spacing w:line="560" w:lineRule="exact"/>
              <w:jc w:val="center"/>
              <w:rPr>
                <w:sz w:val="24"/>
              </w:rPr>
            </w:pPr>
            <w:r>
              <w:rPr>
                <w:rFonts w:hint="eastAsia"/>
                <w:sz w:val="24"/>
              </w:rPr>
              <w:t>评审因素与评分值</w:t>
            </w:r>
          </w:p>
        </w:tc>
        <w:tc>
          <w:tcPr>
            <w:tcW w:w="6851" w:type="dxa"/>
            <w:vMerge w:val="restart"/>
            <w:vAlign w:val="center"/>
          </w:tcPr>
          <w:p>
            <w:pPr>
              <w:spacing w:line="560" w:lineRule="exact"/>
              <w:jc w:val="center"/>
              <w:rPr>
                <w:sz w:val="24"/>
              </w:rPr>
            </w:pPr>
            <w:r>
              <w:rPr>
                <w:rFonts w:hint="eastAsia"/>
                <w:sz w:val="24"/>
              </w:rPr>
              <w:t>初评标准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82" w:type="dxa"/>
            <w:vAlign w:val="center"/>
          </w:tcPr>
          <w:p>
            <w:pPr>
              <w:spacing w:line="560" w:lineRule="exact"/>
              <w:jc w:val="center"/>
              <w:rPr>
                <w:sz w:val="24"/>
              </w:rPr>
            </w:pPr>
            <w:r>
              <w:rPr>
                <w:rFonts w:hint="eastAsia"/>
                <w:sz w:val="24"/>
              </w:rPr>
              <w:t>评审因素</w:t>
            </w:r>
          </w:p>
        </w:tc>
        <w:tc>
          <w:tcPr>
            <w:tcW w:w="2399" w:type="dxa"/>
            <w:vAlign w:val="center"/>
          </w:tcPr>
          <w:p>
            <w:pPr>
              <w:spacing w:line="560" w:lineRule="exact"/>
              <w:jc w:val="center"/>
              <w:rPr>
                <w:sz w:val="24"/>
              </w:rPr>
            </w:pPr>
            <w:r>
              <w:rPr>
                <w:rFonts w:hint="eastAsia"/>
                <w:sz w:val="24"/>
              </w:rPr>
              <w:t>各评审因素细项</w:t>
            </w:r>
          </w:p>
        </w:tc>
        <w:tc>
          <w:tcPr>
            <w:tcW w:w="6851" w:type="dxa"/>
            <w:vMerge w:val="continue"/>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Merge w:val="restart"/>
            <w:vAlign w:val="center"/>
          </w:tcPr>
          <w:p>
            <w:pPr>
              <w:spacing w:line="560" w:lineRule="exact"/>
              <w:jc w:val="center"/>
              <w:rPr>
                <w:sz w:val="24"/>
              </w:rPr>
            </w:pPr>
            <w:r>
              <w:rPr>
                <w:rFonts w:hint="eastAsia"/>
                <w:sz w:val="24"/>
              </w:rPr>
              <w:t>初步评审</w:t>
            </w:r>
          </w:p>
        </w:tc>
        <w:tc>
          <w:tcPr>
            <w:tcW w:w="2399" w:type="dxa"/>
            <w:vAlign w:val="center"/>
          </w:tcPr>
          <w:p>
            <w:pPr>
              <w:spacing w:line="500" w:lineRule="exact"/>
              <w:jc w:val="center"/>
              <w:rPr>
                <w:sz w:val="24"/>
              </w:rPr>
            </w:pPr>
            <w:r>
              <w:rPr>
                <w:rFonts w:hint="eastAsia"/>
                <w:sz w:val="24"/>
              </w:rPr>
              <w:t>满足《中华人民共和国政府采购法》第二十二条规定</w:t>
            </w:r>
          </w:p>
        </w:tc>
        <w:tc>
          <w:tcPr>
            <w:tcW w:w="6851" w:type="dxa"/>
            <w:vAlign w:val="center"/>
          </w:tcPr>
          <w:p>
            <w:pPr>
              <w:numPr>
                <w:ilvl w:val="0"/>
                <w:numId w:val="2"/>
              </w:numPr>
              <w:spacing w:line="500" w:lineRule="exact"/>
              <w:jc w:val="left"/>
              <w:rPr>
                <w:sz w:val="24"/>
              </w:rPr>
            </w:pPr>
            <w:r>
              <w:rPr>
                <w:rFonts w:hint="eastAsia"/>
                <w:sz w:val="24"/>
              </w:rPr>
              <w:t>具有独立承担民事责任的能力；</w:t>
            </w:r>
          </w:p>
          <w:p>
            <w:pPr>
              <w:numPr>
                <w:ilvl w:val="0"/>
                <w:numId w:val="2"/>
              </w:numPr>
              <w:spacing w:line="500" w:lineRule="exact"/>
              <w:jc w:val="left"/>
              <w:rPr>
                <w:sz w:val="24"/>
              </w:rPr>
            </w:pPr>
            <w:r>
              <w:rPr>
                <w:rFonts w:hint="eastAsia"/>
                <w:sz w:val="24"/>
              </w:rPr>
              <w:t>具有良好的商业信誉和健全的财务会计制度；</w:t>
            </w:r>
          </w:p>
          <w:p>
            <w:pPr>
              <w:numPr>
                <w:ilvl w:val="0"/>
                <w:numId w:val="2"/>
              </w:numPr>
              <w:spacing w:line="500" w:lineRule="exact"/>
              <w:jc w:val="left"/>
              <w:rPr>
                <w:sz w:val="24"/>
              </w:rPr>
            </w:pPr>
            <w:r>
              <w:rPr>
                <w:rFonts w:hint="eastAsia"/>
                <w:sz w:val="24"/>
              </w:rPr>
              <w:t>具有履行合同所必需的设备和专业技术能力；</w:t>
            </w:r>
          </w:p>
          <w:p>
            <w:pPr>
              <w:numPr>
                <w:ilvl w:val="0"/>
                <w:numId w:val="2"/>
              </w:numPr>
              <w:spacing w:line="500" w:lineRule="exact"/>
              <w:jc w:val="left"/>
              <w:rPr>
                <w:sz w:val="24"/>
              </w:rPr>
            </w:pPr>
            <w:r>
              <w:rPr>
                <w:rFonts w:hint="eastAsia"/>
                <w:sz w:val="24"/>
              </w:rPr>
              <w:t>有依法缴纳税收和社会保障资金的良好记录；</w:t>
            </w:r>
          </w:p>
          <w:p>
            <w:pPr>
              <w:numPr>
                <w:ilvl w:val="0"/>
                <w:numId w:val="2"/>
              </w:numPr>
              <w:spacing w:line="500" w:lineRule="exact"/>
              <w:jc w:val="left"/>
              <w:rPr>
                <w:sz w:val="24"/>
              </w:rPr>
            </w:pPr>
            <w:r>
              <w:rPr>
                <w:rFonts w:hint="eastAsia"/>
                <w:sz w:val="24"/>
              </w:rPr>
              <w:t>参加政府采购活动前三年内，在经营活动中没有重大违法记录；</w:t>
            </w:r>
          </w:p>
          <w:p>
            <w:pPr>
              <w:numPr>
                <w:ilvl w:val="0"/>
                <w:numId w:val="2"/>
              </w:numPr>
              <w:spacing w:line="500" w:lineRule="exact"/>
              <w:jc w:val="left"/>
              <w:rPr>
                <w:sz w:val="24"/>
              </w:rPr>
            </w:pPr>
            <w:r>
              <w:rPr>
                <w:rFonts w:hint="eastAsia"/>
                <w:sz w:val="24"/>
              </w:rPr>
              <w:t>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2" w:type="dxa"/>
            <w:vMerge w:val="continue"/>
            <w:vAlign w:val="center"/>
          </w:tcPr>
          <w:p>
            <w:pPr>
              <w:spacing w:line="560" w:lineRule="exact"/>
              <w:jc w:val="center"/>
              <w:rPr>
                <w:sz w:val="24"/>
              </w:rPr>
            </w:pPr>
          </w:p>
        </w:tc>
        <w:tc>
          <w:tcPr>
            <w:tcW w:w="2399" w:type="dxa"/>
            <w:vAlign w:val="center"/>
          </w:tcPr>
          <w:p>
            <w:pPr>
              <w:spacing w:line="500" w:lineRule="exact"/>
              <w:jc w:val="center"/>
              <w:rPr>
                <w:sz w:val="24"/>
              </w:rPr>
            </w:pPr>
            <w:r>
              <w:rPr>
                <w:rFonts w:hint="eastAsia"/>
                <w:sz w:val="24"/>
              </w:rPr>
              <w:t>经营范围</w:t>
            </w:r>
          </w:p>
        </w:tc>
        <w:tc>
          <w:tcPr>
            <w:tcW w:w="6851" w:type="dxa"/>
            <w:vAlign w:val="center"/>
          </w:tcPr>
          <w:p>
            <w:pPr>
              <w:spacing w:line="500" w:lineRule="exact"/>
              <w:jc w:val="left"/>
              <w:rPr>
                <w:sz w:val="24"/>
              </w:rPr>
            </w:pPr>
            <w:r>
              <w:rPr>
                <w:rFonts w:hint="eastAsia"/>
                <w:sz w:val="24"/>
              </w:rPr>
              <w:t>砂、石材料生产或销售。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Merge w:val="continue"/>
            <w:vAlign w:val="center"/>
          </w:tcPr>
          <w:p>
            <w:pPr>
              <w:spacing w:line="560" w:lineRule="exact"/>
              <w:jc w:val="center"/>
              <w:rPr>
                <w:sz w:val="24"/>
              </w:rPr>
            </w:pPr>
          </w:p>
        </w:tc>
        <w:tc>
          <w:tcPr>
            <w:tcW w:w="2399" w:type="dxa"/>
            <w:vAlign w:val="center"/>
          </w:tcPr>
          <w:p>
            <w:pPr>
              <w:spacing w:line="500" w:lineRule="exact"/>
              <w:jc w:val="center"/>
              <w:rPr>
                <w:sz w:val="24"/>
              </w:rPr>
            </w:pPr>
            <w:r>
              <w:rPr>
                <w:rFonts w:hint="eastAsia"/>
                <w:sz w:val="24"/>
              </w:rPr>
              <w:t>企业信用</w:t>
            </w:r>
          </w:p>
        </w:tc>
        <w:tc>
          <w:tcPr>
            <w:tcW w:w="6851" w:type="dxa"/>
            <w:vAlign w:val="center"/>
          </w:tcPr>
          <w:p>
            <w:pPr>
              <w:spacing w:line="500" w:lineRule="exact"/>
              <w:rPr>
                <w:sz w:val="24"/>
              </w:rPr>
            </w:pPr>
            <w:r>
              <w:rPr>
                <w:rFonts w:hint="eastAsia"/>
                <w:sz w:val="24"/>
              </w:rPr>
              <w:t>无不良记录，不处于中国政府采购网“政府采购严重违法失信行为信息记录”的名单中。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2" w:type="dxa"/>
            <w:vMerge w:val="continue"/>
            <w:vAlign w:val="center"/>
          </w:tcPr>
          <w:p>
            <w:pPr>
              <w:spacing w:line="560" w:lineRule="exact"/>
              <w:jc w:val="center"/>
              <w:rPr>
                <w:sz w:val="24"/>
              </w:rPr>
            </w:pPr>
          </w:p>
        </w:tc>
        <w:tc>
          <w:tcPr>
            <w:tcW w:w="2399" w:type="dxa"/>
            <w:vAlign w:val="center"/>
          </w:tcPr>
          <w:p>
            <w:pPr>
              <w:spacing w:line="500" w:lineRule="exact"/>
              <w:jc w:val="center"/>
              <w:rPr>
                <w:sz w:val="24"/>
              </w:rPr>
            </w:pPr>
            <w:r>
              <w:rPr>
                <w:rFonts w:hint="eastAsia" w:ascii="宋体" w:hAnsi="宋体" w:eastAsia="宋体" w:cs="宋体"/>
                <w:sz w:val="24"/>
              </w:rPr>
              <w:t>材料要求</w:t>
            </w:r>
          </w:p>
        </w:tc>
        <w:tc>
          <w:tcPr>
            <w:tcW w:w="6851" w:type="dxa"/>
            <w:vAlign w:val="center"/>
          </w:tcPr>
          <w:p>
            <w:pPr>
              <w:spacing w:line="500" w:lineRule="exact"/>
              <w:jc w:val="left"/>
              <w:rPr>
                <w:sz w:val="24"/>
              </w:rPr>
            </w:pPr>
            <w:r>
              <w:rPr>
                <w:rFonts w:hint="eastAsia"/>
                <w:sz w:val="24"/>
              </w:rPr>
              <w:t>工程用砂：中河砂；碎石：花岗岩材质；石屑：一级石粉。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2" w:type="dxa"/>
            <w:vMerge w:val="continue"/>
            <w:vAlign w:val="center"/>
          </w:tcPr>
          <w:p>
            <w:pPr>
              <w:spacing w:line="560" w:lineRule="exact"/>
              <w:jc w:val="center"/>
              <w:rPr>
                <w:sz w:val="24"/>
              </w:rPr>
            </w:pPr>
          </w:p>
        </w:tc>
        <w:tc>
          <w:tcPr>
            <w:tcW w:w="2399" w:type="dxa"/>
            <w:shd w:val="clear" w:color="auto" w:fill="auto"/>
            <w:vAlign w:val="center"/>
          </w:tcPr>
          <w:p>
            <w:pPr>
              <w:spacing w:line="500" w:lineRule="exact"/>
              <w:jc w:val="center"/>
              <w:rPr>
                <w:sz w:val="24"/>
              </w:rPr>
            </w:pPr>
            <w:r>
              <w:rPr>
                <w:rFonts w:hint="eastAsia"/>
                <w:sz w:val="24"/>
              </w:rPr>
              <w:t>联合投标</w:t>
            </w:r>
          </w:p>
        </w:tc>
        <w:tc>
          <w:tcPr>
            <w:tcW w:w="6851" w:type="dxa"/>
            <w:shd w:val="clear" w:color="auto" w:fill="auto"/>
            <w:vAlign w:val="center"/>
          </w:tcPr>
          <w:p>
            <w:pPr>
              <w:spacing w:line="500" w:lineRule="exact"/>
              <w:jc w:val="left"/>
              <w:rPr>
                <w:sz w:val="24"/>
              </w:rPr>
            </w:pPr>
            <w:r>
              <w:rPr>
                <w:rFonts w:hint="eastAsia"/>
                <w:sz w:val="24"/>
              </w:rPr>
              <w:t>不接受联合投标</w:t>
            </w:r>
          </w:p>
        </w:tc>
      </w:tr>
    </w:tbl>
    <w:p>
      <w:pPr>
        <w:spacing w:line="560" w:lineRule="exact"/>
        <w:jc w:val="left"/>
        <w:rPr>
          <w:b/>
          <w:bCs/>
          <w:sz w:val="24"/>
        </w:rPr>
      </w:pPr>
    </w:p>
    <w:p>
      <w:pPr>
        <w:spacing w:line="560" w:lineRule="exact"/>
        <w:jc w:val="left"/>
        <w:rPr>
          <w:b/>
          <w:bCs/>
          <w:sz w:val="24"/>
        </w:rPr>
      </w:pPr>
    </w:p>
    <w:p>
      <w:pPr>
        <w:spacing w:line="560" w:lineRule="exact"/>
        <w:jc w:val="left"/>
        <w:rPr>
          <w:b/>
          <w:bCs/>
          <w:sz w:val="24"/>
        </w:rPr>
      </w:pPr>
    </w:p>
    <w:p>
      <w:pPr>
        <w:numPr>
          <w:ilvl w:val="0"/>
          <w:numId w:val="1"/>
        </w:numPr>
        <w:spacing w:line="560" w:lineRule="exact"/>
        <w:ind w:firstLine="560"/>
        <w:jc w:val="left"/>
        <w:rPr>
          <w:b/>
          <w:bCs/>
          <w:sz w:val="24"/>
        </w:rPr>
      </w:pPr>
      <w:r>
        <w:rPr>
          <w:rFonts w:hint="eastAsia"/>
          <w:b/>
          <w:bCs/>
          <w:sz w:val="24"/>
        </w:rPr>
        <w:t>详细评审</w:t>
      </w:r>
    </w:p>
    <w:p>
      <w:pPr>
        <w:spacing w:line="560" w:lineRule="exact"/>
        <w:ind w:left="480"/>
        <w:jc w:val="left"/>
        <w:rPr>
          <w:sz w:val="24"/>
        </w:rPr>
      </w:pPr>
      <w:r>
        <w:rPr>
          <w:rFonts w:hint="eastAsia"/>
          <w:sz w:val="24"/>
        </w:rPr>
        <w:t>报价加权得分计算</w:t>
      </w:r>
    </w:p>
    <w:p>
      <w:pPr>
        <w:spacing w:line="400" w:lineRule="exact"/>
        <w:jc w:val="left"/>
        <w:rPr>
          <w:rFonts w:ascii="宋体" w:hAnsi="宋体" w:eastAsia="宋体" w:cs="宋体"/>
          <w:sz w:val="24"/>
        </w:rPr>
      </w:pPr>
    </w:p>
    <w:tbl>
      <w:tblPr>
        <w:tblStyle w:val="5"/>
        <w:tblW w:w="9696" w:type="dxa"/>
        <w:tblInd w:w="93" w:type="dxa"/>
        <w:tblLayout w:type="fixed"/>
        <w:tblCellMar>
          <w:top w:w="0" w:type="dxa"/>
          <w:left w:w="108" w:type="dxa"/>
          <w:bottom w:w="0" w:type="dxa"/>
          <w:right w:w="108" w:type="dxa"/>
        </w:tblCellMar>
      </w:tblPr>
      <w:tblGrid>
        <w:gridCol w:w="615"/>
        <w:gridCol w:w="1895"/>
        <w:gridCol w:w="1728"/>
        <w:gridCol w:w="1166"/>
        <w:gridCol w:w="834"/>
        <w:gridCol w:w="700"/>
        <w:gridCol w:w="633"/>
        <w:gridCol w:w="2125"/>
      </w:tblGrid>
      <w:tr>
        <w:tblPrEx>
          <w:tblCellMar>
            <w:top w:w="0" w:type="dxa"/>
            <w:left w:w="108" w:type="dxa"/>
            <w:bottom w:w="0" w:type="dxa"/>
            <w:right w:w="108" w:type="dxa"/>
          </w:tblCellMar>
        </w:tblPrEx>
        <w:trPr>
          <w:trHeight w:val="18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报价单位</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材料品目</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报价</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（元/t）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权值</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加权值</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得分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加权值</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总得分</w:t>
            </w:r>
          </w:p>
        </w:tc>
        <w:tc>
          <w:tcPr>
            <w:tcW w:w="2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tblPrEx>
          <w:tblCellMar>
            <w:top w:w="0" w:type="dxa"/>
            <w:left w:w="108" w:type="dxa"/>
            <w:bottom w:w="0" w:type="dxa"/>
            <w:right w:w="108" w:type="dxa"/>
          </w:tblCellMar>
        </w:tblPrEx>
        <w:trPr>
          <w:trHeight w:val="1207" w:hRule="atLeast"/>
        </w:trPr>
        <w:tc>
          <w:tcPr>
            <w:tcW w:w="615" w:type="dxa"/>
            <w:vMerge w:val="restart"/>
            <w:tcBorders>
              <w:top w:val="nil"/>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1</w:t>
            </w:r>
          </w:p>
        </w:tc>
        <w:tc>
          <w:tcPr>
            <w:tcW w:w="1895"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728"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工程用砂</w:t>
            </w:r>
          </w:p>
        </w:tc>
        <w:tc>
          <w:tcPr>
            <w:tcW w:w="1166"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83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0.45</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633" w:type="dxa"/>
            <w:vMerge w:val="restart"/>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125" w:type="dxa"/>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numPr>
                <w:ilvl w:val="0"/>
                <w:numId w:val="3"/>
              </w:numPr>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加权值总得分计算公式：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加权值得分＝报价×权值。</w:t>
            </w:r>
          </w:p>
          <w:p>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加权值得分为各加权值得分之和。</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二、中选条件：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1.同等条件下</w:t>
            </w:r>
            <w:bookmarkStart w:id="0" w:name="_GoBack"/>
            <w:bookmarkEnd w:id="0"/>
            <w:r>
              <w:rPr>
                <w:rFonts w:hint="eastAsia" w:ascii="宋体" w:hAnsi="宋体" w:eastAsia="宋体" w:cs="宋体"/>
                <w:color w:val="000000"/>
                <w:kern w:val="0"/>
                <w:sz w:val="22"/>
                <w:szCs w:val="22"/>
                <w:lang w:bidi="ar"/>
              </w:rPr>
              <w:t>，加权值总得分最低者为推荐中选第一顺位；</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2.如有两家（或以上）单位加权值总得分相同，则由评选小组商议确定顺位。</w:t>
            </w:r>
          </w:p>
        </w:tc>
      </w:tr>
      <w:tr>
        <w:tblPrEx>
          <w:tblCellMar>
            <w:top w:w="0" w:type="dxa"/>
            <w:left w:w="108" w:type="dxa"/>
            <w:bottom w:w="0" w:type="dxa"/>
            <w:right w:w="108" w:type="dxa"/>
          </w:tblCellMar>
        </w:tblPrEx>
        <w:trPr>
          <w:trHeight w:val="1074" w:hRule="atLeast"/>
        </w:trPr>
        <w:tc>
          <w:tcPr>
            <w:tcW w:w="615"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895"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5mm碎石</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0.30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633"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2"/>
                <w:szCs w:val="22"/>
              </w:rPr>
            </w:pPr>
          </w:p>
        </w:tc>
      </w:tr>
      <w:tr>
        <w:tblPrEx>
          <w:tblCellMar>
            <w:top w:w="0" w:type="dxa"/>
            <w:left w:w="108" w:type="dxa"/>
            <w:bottom w:w="0" w:type="dxa"/>
            <w:right w:w="108" w:type="dxa"/>
          </w:tblCellMar>
        </w:tblPrEx>
        <w:trPr>
          <w:trHeight w:val="1114" w:hRule="atLeast"/>
        </w:trPr>
        <w:tc>
          <w:tcPr>
            <w:tcW w:w="615"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895"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10-30mm碎石</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sz w:val="24"/>
              </w:rPr>
              <w:t>0.1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633"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2"/>
                <w:szCs w:val="22"/>
              </w:rPr>
            </w:pPr>
          </w:p>
        </w:tc>
      </w:tr>
      <w:tr>
        <w:tblPrEx>
          <w:tblCellMar>
            <w:top w:w="0" w:type="dxa"/>
            <w:left w:w="108" w:type="dxa"/>
            <w:bottom w:w="0" w:type="dxa"/>
            <w:right w:w="108" w:type="dxa"/>
          </w:tblCellMar>
        </w:tblPrEx>
        <w:trPr>
          <w:trHeight w:val="1125" w:hRule="atLeast"/>
        </w:trPr>
        <w:tc>
          <w:tcPr>
            <w:tcW w:w="615"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895"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≤8mm石屑</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sz w:val="24"/>
              </w:rPr>
              <w:t>0.15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633"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tcPr>
          <w:p>
            <w:pPr>
              <w:jc w:val="left"/>
              <w:rPr>
                <w:rFonts w:ascii="宋体" w:hAnsi="宋体" w:eastAsia="宋体" w:cs="宋体"/>
                <w:color w:val="000000"/>
                <w:sz w:val="22"/>
                <w:szCs w:val="22"/>
              </w:rPr>
            </w:pPr>
          </w:p>
        </w:tc>
      </w:tr>
    </w:tbl>
    <w:p>
      <w:pPr>
        <w:spacing w:line="560" w:lineRule="exact"/>
        <w:jc w:val="right"/>
        <w:rPr>
          <w:rFonts w:ascii="宋体" w:hAnsi="宋体" w:eastAsia="宋体" w:cs="宋体"/>
          <w:sz w:val="24"/>
        </w:rPr>
      </w:pPr>
    </w:p>
    <w:p>
      <w:pPr>
        <w:spacing w:line="560" w:lineRule="exact"/>
        <w:jc w:val="right"/>
        <w:rPr>
          <w:rFonts w:ascii="宋体" w:hAnsi="宋体" w:eastAsia="宋体" w:cs="宋体"/>
          <w:sz w:val="24"/>
        </w:rPr>
      </w:pPr>
    </w:p>
    <w:p>
      <w:pPr>
        <w:spacing w:line="560" w:lineRule="exact"/>
        <w:jc w:val="right"/>
        <w:rPr>
          <w:rFonts w:ascii="宋体" w:hAnsi="宋体" w:eastAsia="宋体" w:cs="宋体"/>
          <w:sz w:val="24"/>
        </w:rPr>
      </w:pPr>
      <w:r>
        <w:rPr>
          <w:rFonts w:hint="eastAsia" w:ascii="宋体" w:hAnsi="宋体" w:eastAsia="宋体" w:cs="宋体"/>
          <w:sz w:val="24"/>
        </w:rPr>
        <w:t>招标人：江门市新会公路局养护中心</w:t>
      </w:r>
    </w:p>
    <w:p>
      <w:pPr>
        <w:spacing w:line="560" w:lineRule="exact"/>
        <w:jc w:val="center"/>
        <w:rPr>
          <w:rFonts w:ascii="宋体" w:hAnsi="宋体" w:eastAsia="宋体" w:cs="宋体"/>
          <w:color w:val="FF0000"/>
          <w:sz w:val="24"/>
        </w:rPr>
      </w:pPr>
      <w:r>
        <w:rPr>
          <w:rFonts w:hint="eastAsia" w:ascii="宋体" w:hAnsi="宋体" w:eastAsia="宋体" w:cs="宋体"/>
          <w:sz w:val="24"/>
        </w:rPr>
        <w:t xml:space="preserve">                                        日  期：2025年1月</w:t>
      </w:r>
      <w:r>
        <w:rPr>
          <w:rFonts w:hint="eastAsia" w:ascii="宋体" w:hAnsi="宋体" w:eastAsia="宋体" w:cs="宋体"/>
          <w:sz w:val="24"/>
          <w:lang w:val="en-US" w:eastAsia="zh-CN"/>
        </w:rPr>
        <w:t>9</w:t>
      </w:r>
      <w:r>
        <w:rPr>
          <w:rFonts w:hint="eastAsia" w:ascii="宋体" w:hAnsi="宋体" w:eastAsia="宋体" w:cs="宋体"/>
          <w:sz w:val="24"/>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C7F4E"/>
    <w:multiLevelType w:val="singleLevel"/>
    <w:tmpl w:val="D25C7F4E"/>
    <w:lvl w:ilvl="0" w:tentative="0">
      <w:start w:val="1"/>
      <w:numFmt w:val="chineseCounting"/>
      <w:suff w:val="nothing"/>
      <w:lvlText w:val="（%1）"/>
      <w:lvlJc w:val="left"/>
      <w:rPr>
        <w:rFonts w:hint="eastAsia"/>
      </w:rPr>
    </w:lvl>
  </w:abstractNum>
  <w:abstractNum w:abstractNumId="1">
    <w:nsid w:val="E0D02EAA"/>
    <w:multiLevelType w:val="singleLevel"/>
    <w:tmpl w:val="E0D02EAA"/>
    <w:lvl w:ilvl="0" w:tentative="0">
      <w:start w:val="2"/>
      <w:numFmt w:val="chineseCounting"/>
      <w:suff w:val="nothing"/>
      <w:lvlText w:val="%1、"/>
      <w:lvlJc w:val="left"/>
      <w:rPr>
        <w:rFonts w:hint="eastAsia"/>
      </w:rPr>
    </w:lvl>
  </w:abstractNum>
  <w:abstractNum w:abstractNumId="2">
    <w:nsid w:val="6B16A9D0"/>
    <w:multiLevelType w:val="singleLevel"/>
    <w:tmpl w:val="6B16A9D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zkxYjFiMmFkYWNlOWMyMTc1NmU0ZmI1MjE4ODIifQ=="/>
  </w:docVars>
  <w:rsids>
    <w:rsidRoot w:val="0B7D4A0D"/>
    <w:rsid w:val="00056A68"/>
    <w:rsid w:val="00347F45"/>
    <w:rsid w:val="003B1C26"/>
    <w:rsid w:val="004B5441"/>
    <w:rsid w:val="004F043B"/>
    <w:rsid w:val="0074351F"/>
    <w:rsid w:val="007E7D0F"/>
    <w:rsid w:val="009C223A"/>
    <w:rsid w:val="00A33586"/>
    <w:rsid w:val="00B506CE"/>
    <w:rsid w:val="00B82116"/>
    <w:rsid w:val="00CC5576"/>
    <w:rsid w:val="00DC5072"/>
    <w:rsid w:val="00E17CF8"/>
    <w:rsid w:val="00EC58EF"/>
    <w:rsid w:val="00ED6C57"/>
    <w:rsid w:val="00FA775F"/>
    <w:rsid w:val="01635C49"/>
    <w:rsid w:val="04830723"/>
    <w:rsid w:val="05B0679A"/>
    <w:rsid w:val="0874152A"/>
    <w:rsid w:val="098849BD"/>
    <w:rsid w:val="0B7D4A0D"/>
    <w:rsid w:val="113D3447"/>
    <w:rsid w:val="12903B41"/>
    <w:rsid w:val="12A00B7B"/>
    <w:rsid w:val="12C910FC"/>
    <w:rsid w:val="12DB5F87"/>
    <w:rsid w:val="1383444A"/>
    <w:rsid w:val="13CF7A3A"/>
    <w:rsid w:val="14883EEC"/>
    <w:rsid w:val="182E2E69"/>
    <w:rsid w:val="18892D35"/>
    <w:rsid w:val="18B573A8"/>
    <w:rsid w:val="1F4D6497"/>
    <w:rsid w:val="1FD70B55"/>
    <w:rsid w:val="247D957F"/>
    <w:rsid w:val="25FBDF70"/>
    <w:rsid w:val="28524F22"/>
    <w:rsid w:val="28974D43"/>
    <w:rsid w:val="293D309F"/>
    <w:rsid w:val="29820EEF"/>
    <w:rsid w:val="2A052FDD"/>
    <w:rsid w:val="2BDF2325"/>
    <w:rsid w:val="2BFB7D24"/>
    <w:rsid w:val="2BFFC151"/>
    <w:rsid w:val="2FE9188B"/>
    <w:rsid w:val="306443BF"/>
    <w:rsid w:val="31781C5A"/>
    <w:rsid w:val="32C739DA"/>
    <w:rsid w:val="33B75670"/>
    <w:rsid w:val="34DFFFD4"/>
    <w:rsid w:val="367FFE88"/>
    <w:rsid w:val="37FFB1A7"/>
    <w:rsid w:val="38A24CCD"/>
    <w:rsid w:val="38FB4E4D"/>
    <w:rsid w:val="39F7ABB5"/>
    <w:rsid w:val="3AF45588"/>
    <w:rsid w:val="3B546B61"/>
    <w:rsid w:val="3D255BCB"/>
    <w:rsid w:val="3EE74E40"/>
    <w:rsid w:val="3FE61C4A"/>
    <w:rsid w:val="402B1A9F"/>
    <w:rsid w:val="41282F08"/>
    <w:rsid w:val="4715773F"/>
    <w:rsid w:val="47E10C42"/>
    <w:rsid w:val="4A6F69D9"/>
    <w:rsid w:val="4CFF54A1"/>
    <w:rsid w:val="4DBA685E"/>
    <w:rsid w:val="4E1A3BE8"/>
    <w:rsid w:val="4FDB698B"/>
    <w:rsid w:val="4FEE6915"/>
    <w:rsid w:val="527C7665"/>
    <w:rsid w:val="52904CED"/>
    <w:rsid w:val="53074AA3"/>
    <w:rsid w:val="573A4FED"/>
    <w:rsid w:val="584B2674"/>
    <w:rsid w:val="5BFFC73A"/>
    <w:rsid w:val="5E44187C"/>
    <w:rsid w:val="5EE0038C"/>
    <w:rsid w:val="644665CC"/>
    <w:rsid w:val="659842EF"/>
    <w:rsid w:val="65AC4B11"/>
    <w:rsid w:val="670E33AA"/>
    <w:rsid w:val="67BB51E4"/>
    <w:rsid w:val="6B054A88"/>
    <w:rsid w:val="6EC34B5F"/>
    <w:rsid w:val="6F8E370B"/>
    <w:rsid w:val="6FEF8099"/>
    <w:rsid w:val="6FF6EEFD"/>
    <w:rsid w:val="71FD0AC2"/>
    <w:rsid w:val="76434265"/>
    <w:rsid w:val="76EFB3A9"/>
    <w:rsid w:val="76FE9B15"/>
    <w:rsid w:val="77433A3A"/>
    <w:rsid w:val="77D63E86"/>
    <w:rsid w:val="79F5D7C4"/>
    <w:rsid w:val="7ADB2036"/>
    <w:rsid w:val="7D5D42EC"/>
    <w:rsid w:val="7D723DB3"/>
    <w:rsid w:val="7DEF0708"/>
    <w:rsid w:val="7E353E5F"/>
    <w:rsid w:val="7EDFD655"/>
    <w:rsid w:val="7F74B52C"/>
    <w:rsid w:val="7FFF247C"/>
    <w:rsid w:val="AFEF51B4"/>
    <w:rsid w:val="BDDD5508"/>
    <w:rsid w:val="BFCF58D1"/>
    <w:rsid w:val="C4F7F25F"/>
    <w:rsid w:val="C7FB540A"/>
    <w:rsid w:val="CAF6EC4A"/>
    <w:rsid w:val="CF5CE3BA"/>
    <w:rsid w:val="CFF6C37F"/>
    <w:rsid w:val="D2FBB765"/>
    <w:rsid w:val="D7FF2E81"/>
    <w:rsid w:val="DF5DF2EF"/>
    <w:rsid w:val="DF966BAD"/>
    <w:rsid w:val="DFEE3BE2"/>
    <w:rsid w:val="E87B54DD"/>
    <w:rsid w:val="EBCFD8B5"/>
    <w:rsid w:val="ED5F03D6"/>
    <w:rsid w:val="EFFF3E83"/>
    <w:rsid w:val="F70E1B2F"/>
    <w:rsid w:val="F777C342"/>
    <w:rsid w:val="F9FD011D"/>
    <w:rsid w:val="FA6FDB5A"/>
    <w:rsid w:val="FB7C592D"/>
    <w:rsid w:val="FBDF8AD5"/>
    <w:rsid w:val="FDDFA71A"/>
    <w:rsid w:val="FE6BF869"/>
    <w:rsid w:val="FFAF8C84"/>
    <w:rsid w:val="FFB70F1B"/>
    <w:rsid w:val="FFBE74BC"/>
    <w:rsid w:val="FFDDA231"/>
    <w:rsid w:val="FFFD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kern w:val="2"/>
      <w:sz w:val="18"/>
      <w:szCs w:val="18"/>
    </w:rPr>
  </w:style>
  <w:style w:type="character" w:customStyle="1" w:styleId="9">
    <w:name w:val="页脚 Char"/>
    <w:basedOn w:val="7"/>
    <w:link w:val="2"/>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江门市市公路事务中心</Company>
  <Pages>2</Pages>
  <Words>124</Words>
  <Characters>708</Characters>
  <Lines>5</Lines>
  <Paragraphs>1</Paragraphs>
  <TotalTime>33</TotalTime>
  <ScaleCrop>false</ScaleCrop>
  <LinksUpToDate>false</LinksUpToDate>
  <CharactersWithSpaces>831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2023-07-11T20:11:00Z</dcterms:created>
  <dc:creator>Administrator</dc:creator>
  <cp:lastModifiedBy>uos</cp:lastModifiedBy>
  <cp:lastPrinted>2023-07-19T15:46:00Z</cp:lastPrinted>
  <dcterms:modified xsi:type="dcterms:W3CDTF">2025-01-09T10:48:10Z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35005FD55F72484FB576A2B3A11A4523_13</vt:lpwstr>
  </property>
  <property fmtid="{D5CDD505-2E9C-101B-9397-08002B2CF9AE}" pid="4" name="KSOTemplateDocerSaveRecord">
    <vt:lpwstr>eyJoZGlkIjoiMjM3MzkxYjFiMmFkYWNlOWMyMTc1NmU0ZmI1MjE4ODIifQ==</vt:lpwstr>
  </property>
</Properties>
</file>