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jc w:val="left"/>
        <w:rPr>
          <w:rFonts w:hint="default" w:ascii="方正公文小标宋" w:hAnsi="方正公文小标宋" w:eastAsia="方正公文小标宋" w:cs="方正公文小标宋"/>
          <w:bCs/>
          <w:sz w:val="32"/>
          <w:szCs w:val="32"/>
          <w:lang w:eastAsia="zh-CN"/>
        </w:rPr>
      </w:pPr>
      <w:bookmarkStart w:id="0" w:name="_GoBack"/>
      <w:bookmarkEnd w:id="0"/>
      <w:r>
        <w:rPr>
          <w:rFonts w:hint="default" w:ascii="方正公文小标宋" w:hAnsi="方正公文小标宋" w:eastAsia="方正公文小标宋" w:cs="方正公文小标宋"/>
          <w:bCs/>
          <w:sz w:val="32"/>
          <w:szCs w:val="32"/>
          <w:lang w:eastAsia="zh-CN"/>
        </w:rPr>
        <w:t>附件1</w:t>
      </w:r>
    </w:p>
    <w:p>
      <w:pPr>
        <w:adjustRightInd w:val="0"/>
        <w:snapToGrid w:val="0"/>
        <w:spacing w:line="560" w:lineRule="exact"/>
        <w:ind w:firstLine="0" w:firstLineChars="0"/>
        <w:jc w:val="center"/>
        <w:rPr>
          <w:rFonts w:hint="default" w:ascii="方正公文小标宋" w:hAnsi="方正公文小标宋" w:eastAsia="方正公文小标宋" w:cs="方正公文小标宋"/>
          <w:bCs/>
          <w:sz w:val="44"/>
          <w:szCs w:val="44"/>
          <w:lang w:eastAsia="zh-CN"/>
        </w:rPr>
      </w:pPr>
    </w:p>
    <w:p>
      <w:pPr>
        <w:adjustRightInd w:val="0"/>
        <w:snapToGrid w:val="0"/>
        <w:spacing w:line="560" w:lineRule="exact"/>
        <w:ind w:firstLine="0" w:firstLineChars="0"/>
        <w:jc w:val="center"/>
        <w:rPr>
          <w:rFonts w:eastAsia="仿宋_GB2312"/>
          <w:sz w:val="32"/>
          <w:szCs w:val="32"/>
        </w:rPr>
      </w:pPr>
      <w:r>
        <w:rPr>
          <w:rFonts w:hint="default" w:ascii="方正公文小标宋" w:hAnsi="方正公文小标宋" w:eastAsia="方正公文小标宋" w:cs="方正公文小标宋"/>
          <w:bCs/>
          <w:sz w:val="44"/>
          <w:szCs w:val="44"/>
          <w:lang w:eastAsia="zh-CN"/>
        </w:rPr>
        <w:t>2025年市本级招聘会活动</w:t>
      </w: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评分标准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0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07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57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078" w:type="dxa"/>
            <w:vAlign w:val="center"/>
          </w:tcPr>
          <w:p>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578" w:type="dxa"/>
          </w:tcPr>
          <w:p>
            <w:pPr>
              <w:spacing w:line="460" w:lineRule="exact"/>
              <w:jc w:val="left"/>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078"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465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078" w:type="dxa"/>
            <w:vAlign w:val="center"/>
          </w:tcPr>
          <w:p>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p>
        </w:tc>
        <w:tc>
          <w:tcPr>
            <w:tcW w:w="4657" w:type="dxa"/>
            <w:vAlign w:val="center"/>
          </w:tcPr>
          <w:p>
            <w:pPr>
              <w:spacing w:line="4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本项目不接受联合体服务。</w:t>
            </w:r>
          </w:p>
        </w:tc>
        <w:tc>
          <w:tcPr>
            <w:tcW w:w="3078" w:type="dxa"/>
            <w:vAlign w:val="center"/>
          </w:tcPr>
          <w:p>
            <w:pPr>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jc w:val="left"/>
              <w:rPr>
                <w:rFonts w:hint="eastAsia" w:ascii="方正仿宋_GBK" w:hAnsi="方正仿宋_GBK" w:eastAsia="方正仿宋_GBK" w:cs="方正仿宋_GBK"/>
                <w:sz w:val="24"/>
                <w:szCs w:val="24"/>
                <w:highlight w:val="none"/>
              </w:rPr>
            </w:pPr>
          </w:p>
        </w:tc>
      </w:tr>
    </w:tbl>
    <w:p>
      <w:pPr>
        <w:numPr>
          <w:ilvl w:val="-1"/>
          <w:numId w:val="0"/>
        </w:numPr>
        <w:spacing w:line="560" w:lineRule="exact"/>
        <w:ind w:firstLine="0" w:firstLineChars="0"/>
        <w:rPr>
          <w:rFonts w:hint="eastAsia" w:ascii="黑体" w:hAnsi="黑体" w:eastAsia="黑体"/>
          <w:sz w:val="32"/>
          <w:szCs w:val="32"/>
          <w:lang w:val="en-US" w:eastAsia="zh-CN"/>
        </w:rPr>
      </w:pP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评审方法参照综合评分法进行，采购方从全部满足招标文件且全部实质性响应要求的供应商中，按照评审指标进行独立评分，评审结果按评审后得分由高到低顺序排列，评审得分最高的</w:t>
      </w:r>
      <w:r>
        <w:rPr>
          <w:rFonts w:hint="eastAsia" w:eastAsia="方正仿宋_GBK"/>
          <w:sz w:val="32"/>
          <w:szCs w:val="32"/>
          <w:lang w:val="en-US" w:eastAsia="zh-CN"/>
        </w:rPr>
        <w:t>供应商</w:t>
      </w:r>
      <w:r>
        <w:rPr>
          <w:rFonts w:hint="default" w:ascii="Times New Roman" w:hAnsi="Times New Roman" w:eastAsia="方正仿宋_GBK"/>
          <w:sz w:val="32"/>
          <w:szCs w:val="32"/>
          <w:lang w:val="en-US" w:eastAsia="zh-CN"/>
        </w:rPr>
        <w:t>为候选成交供应商。得分相同的，按报价由低到高顺序排列。得分且报价相同的，以评审因素量化指标得分最高的供应商为候选成交供应商。</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57"/>
        <w:gridCol w:w="763"/>
        <w:gridCol w:w="818"/>
        <w:gridCol w:w="543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957"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default"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14</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eastAsia" w:ascii="方正仿宋_GBK" w:hAnsi="方正仿宋_GBK" w:eastAsia="方正仿宋_GBK" w:cs="方正仿宋_GBK"/>
                <w:spacing w:val="-1"/>
                <w:sz w:val="24"/>
                <w:szCs w:val="24"/>
                <w:lang w:val="en-US" w:eastAsia="zh-CN"/>
              </w:rPr>
              <w:t>6</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13</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eastAsia" w:ascii="方正仿宋_GBK" w:hAnsi="方正仿宋_GBK" w:eastAsia="方正仿宋_GBK" w:cs="方正仿宋_GBK"/>
                <w:spacing w:val="-1"/>
                <w:sz w:val="24"/>
                <w:szCs w:val="24"/>
                <w:lang w:val="en-US" w:eastAsia="zh-CN"/>
              </w:rPr>
              <w:t>5</w:t>
            </w:r>
            <w:r>
              <w:rPr>
                <w:rFonts w:ascii="方正仿宋_GBK" w:hAnsi="方正仿宋_GBK" w:eastAsia="方正仿宋_GBK" w:cs="方正仿宋_GBK"/>
                <w:spacing w:val="-1"/>
                <w:sz w:val="24"/>
                <w:szCs w:val="24"/>
              </w:rPr>
              <w:t>分。</w:t>
            </w:r>
          </w:p>
          <w:p>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pPr>
              <w:wordWrap w:val="0"/>
              <w:spacing w:line="360" w:lineRule="exact"/>
              <w:ind w:left="102"/>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957"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的合理化程度高，合理化建议高效的，得</w:t>
            </w:r>
            <w:r>
              <w:rPr>
                <w:rFonts w:hint="eastAsia" w:eastAsia="方正仿宋_GBK" w:cs="Times New Roman"/>
                <w:spacing w:val="-1"/>
                <w:sz w:val="24"/>
                <w:szCs w:val="24"/>
                <w:lang w:val="en-US" w:eastAsia="zh-CN"/>
              </w:rPr>
              <w:t>14</w:t>
            </w:r>
            <w:r>
              <w:rPr>
                <w:rFonts w:hint="default" w:ascii="Times New Roman" w:hAnsi="Times New Roman" w:eastAsia="方正仿宋_GBK" w:cs="Times New Roman"/>
                <w:spacing w:val="-1"/>
                <w:sz w:val="24"/>
                <w:szCs w:val="24"/>
              </w:rPr>
              <w:t>～</w:t>
            </w:r>
            <w:r>
              <w:rPr>
                <w:rFonts w:hint="eastAsia" w:eastAsia="方正仿宋_GBK" w:cs="Times New Roman"/>
                <w:spacing w:val="-1"/>
                <w:sz w:val="24"/>
                <w:szCs w:val="24"/>
                <w:lang w:val="en-US" w:eastAsia="zh-CN"/>
              </w:rPr>
              <w:t>20</w:t>
            </w:r>
            <w:r>
              <w:rPr>
                <w:rFonts w:hint="default" w:ascii="Times New Roman" w:hAnsi="Times New Roman" w:eastAsia="方正仿宋_GBK" w:cs="Times New Roman"/>
                <w:spacing w:val="-1"/>
                <w:sz w:val="24"/>
                <w:szCs w:val="24"/>
              </w:rPr>
              <w:t>分。</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2.工作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的合理化程度一般，合理化建议一般的，得</w:t>
            </w:r>
            <w:r>
              <w:rPr>
                <w:rFonts w:hint="eastAsia" w:eastAsia="方正仿宋_GBK" w:cs="Times New Roman"/>
                <w:spacing w:val="-1"/>
                <w:sz w:val="24"/>
                <w:szCs w:val="24"/>
                <w:lang w:val="en-US" w:eastAsia="zh-CN"/>
              </w:rPr>
              <w:t>6</w:t>
            </w:r>
            <w:r>
              <w:rPr>
                <w:rFonts w:hint="default" w:ascii="Times New Roman" w:hAnsi="Times New Roman" w:eastAsia="方正仿宋_GBK" w:cs="Times New Roman"/>
                <w:spacing w:val="-1"/>
                <w:sz w:val="24"/>
                <w:szCs w:val="24"/>
              </w:rPr>
              <w:t>～</w:t>
            </w:r>
            <w:r>
              <w:rPr>
                <w:rFonts w:hint="eastAsia" w:eastAsia="方正仿宋_GBK" w:cs="Times New Roman"/>
                <w:spacing w:val="-1"/>
                <w:sz w:val="24"/>
                <w:szCs w:val="24"/>
                <w:lang w:val="en-US" w:eastAsia="zh-CN"/>
              </w:rPr>
              <w:t>13</w:t>
            </w:r>
            <w:r>
              <w:rPr>
                <w:rFonts w:hint="default" w:ascii="Times New Roman" w:hAnsi="Times New Roman" w:eastAsia="方正仿宋_GBK" w:cs="Times New Roman"/>
                <w:spacing w:val="-1"/>
                <w:sz w:val="24"/>
                <w:szCs w:val="24"/>
              </w:rPr>
              <w:t>分。</w:t>
            </w:r>
          </w:p>
          <w:p>
            <w:pPr>
              <w:wordWrap w:val="0"/>
              <w:spacing w:line="360" w:lineRule="exact"/>
              <w:ind w:left="0" w:leftChars="0"/>
              <w:jc w:val="left"/>
              <w:rPr>
                <w:rFonts w:hint="eastAsia" w:eastAsia="方正仿宋_GBK"/>
                <w:sz w:val="30"/>
                <w:szCs w:val="30"/>
                <w:lang w:eastAsia="zh-CN"/>
              </w:rPr>
            </w:pPr>
            <w:r>
              <w:rPr>
                <w:rFonts w:hint="eastAsia" w:eastAsia="方正仿宋_GBK" w:cs="Times New Roman"/>
                <w:spacing w:val="-1"/>
                <w:sz w:val="24"/>
                <w:szCs w:val="24"/>
                <w:lang w:val="en-US" w:eastAsia="zh-CN"/>
              </w:rPr>
              <w:t>3.</w:t>
            </w:r>
            <w:r>
              <w:rPr>
                <w:rFonts w:hint="default" w:ascii="Times New Roman" w:hAnsi="Times New Roman" w:eastAsia="方正仿宋_GBK" w:cs="Times New Roman"/>
                <w:spacing w:val="-1"/>
                <w:sz w:val="24"/>
                <w:szCs w:val="24"/>
              </w:rPr>
              <w:t>工作</w:t>
            </w:r>
            <w:r>
              <w:rPr>
                <w:rFonts w:hint="eastAsia" w:eastAsia="方正仿宋_GBK" w:cs="Times New Roman"/>
                <w:spacing w:val="-1"/>
                <w:sz w:val="24"/>
                <w:szCs w:val="24"/>
                <w:lang w:val="en-US" w:eastAsia="zh-CN"/>
              </w:rPr>
              <w:t>安排进度规划、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的合理化程度较差，合理化建议不适用的，得</w:t>
            </w:r>
            <w:r>
              <w:rPr>
                <w:rFonts w:hint="eastAsia" w:eastAsia="方正仿宋_GBK" w:cs="Times New Roman"/>
                <w:spacing w:val="-1"/>
                <w:sz w:val="24"/>
                <w:szCs w:val="24"/>
                <w:lang w:val="en-US" w:eastAsia="zh-CN"/>
              </w:rPr>
              <w:t>0</w:t>
            </w:r>
            <w:r>
              <w:rPr>
                <w:rFonts w:hint="default" w:ascii="Times New Roman" w:hAnsi="Times New Roman" w:eastAsia="方正仿宋_GBK" w:cs="Times New Roman"/>
                <w:spacing w:val="-1"/>
                <w:sz w:val="24"/>
                <w:szCs w:val="24"/>
              </w:rPr>
              <w:t>～</w:t>
            </w:r>
            <w:r>
              <w:rPr>
                <w:rFonts w:hint="eastAsia" w:eastAsia="方正仿宋_GBK" w:cs="Times New Roman"/>
                <w:spacing w:val="-1"/>
                <w:sz w:val="24"/>
                <w:szCs w:val="24"/>
                <w:lang w:val="en-US" w:eastAsia="zh-CN"/>
              </w:rPr>
              <w:t>5</w:t>
            </w:r>
            <w:r>
              <w:rPr>
                <w:rFonts w:hint="default" w:ascii="Times New Roman" w:hAnsi="Times New Roman" w:eastAsia="方正仿宋_GBK" w:cs="Times New Roman"/>
                <w:spacing w:val="-1"/>
                <w:sz w:val="24"/>
                <w:szCs w:val="24"/>
              </w:rPr>
              <w:t>分。</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957"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w:t>
            </w:r>
            <w:r>
              <w:rPr>
                <w:rFonts w:hint="default"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pPr>
              <w:autoSpaceDE w:val="0"/>
              <w:autoSpaceDN w:val="0"/>
              <w:adjustRightInd w:val="0"/>
              <w:snapToGrid w:val="0"/>
              <w:spacing w:line="300" w:lineRule="exact"/>
              <w:jc w:val="center"/>
              <w:rPr>
                <w:rFonts w:hint="default"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highlight w:val="none"/>
              </w:rPr>
              <w:t>有为政府部门或</w:t>
            </w:r>
            <w:r>
              <w:rPr>
                <w:rFonts w:hint="eastAsia" w:ascii="方正仿宋_GBK" w:hAnsi="方正仿宋_GBK" w:eastAsia="方正仿宋_GBK" w:cs="方正仿宋_GBK"/>
                <w:spacing w:val="-1"/>
                <w:sz w:val="24"/>
                <w:szCs w:val="24"/>
                <w:highlight w:val="none"/>
                <w:lang w:val="en-US" w:eastAsia="zh-CN"/>
              </w:rPr>
              <w:t>事业单位</w:t>
            </w:r>
            <w:r>
              <w:rPr>
                <w:rFonts w:ascii="方正仿宋_GBK" w:hAnsi="方正仿宋_GBK" w:eastAsia="方正仿宋_GBK" w:cs="方正仿宋_GBK"/>
                <w:spacing w:val="-1"/>
                <w:sz w:val="24"/>
                <w:szCs w:val="24"/>
                <w:highlight w:val="none"/>
              </w:rPr>
              <w:t>组织</w:t>
            </w:r>
            <w:r>
              <w:rPr>
                <w:rFonts w:hint="eastAsia" w:ascii="方正仿宋_GBK" w:hAnsi="方正仿宋_GBK" w:eastAsia="方正仿宋_GBK" w:cs="方正仿宋_GBK"/>
                <w:spacing w:val="-1"/>
                <w:sz w:val="24"/>
                <w:szCs w:val="24"/>
                <w:highlight w:val="none"/>
                <w:lang w:val="en-US" w:eastAsia="zh-CN"/>
              </w:rPr>
              <w:t>或协办</w:t>
            </w:r>
            <w:r>
              <w:rPr>
                <w:rFonts w:ascii="方正仿宋_GBK" w:hAnsi="方正仿宋_GBK" w:eastAsia="方正仿宋_GBK" w:cs="方正仿宋_GBK"/>
                <w:spacing w:val="-1"/>
                <w:sz w:val="24"/>
                <w:szCs w:val="24"/>
                <w:highlight w:val="none"/>
              </w:rPr>
              <w:t>招聘经验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w:t>
            </w:r>
            <w:r>
              <w:rPr>
                <w:rFonts w:hint="eastAsia" w:ascii="方正仿宋_GBK" w:hAnsi="方正仿宋_GBK" w:eastAsia="方正仿宋_GBK" w:cs="方正仿宋_GBK"/>
                <w:spacing w:val="-1"/>
                <w:sz w:val="24"/>
                <w:szCs w:val="24"/>
                <w:highlight w:val="none"/>
                <w:lang w:val="en-US" w:eastAsia="zh-CN"/>
              </w:rPr>
              <w:t>或协办</w:t>
            </w:r>
            <w:r>
              <w:rPr>
                <w:rFonts w:ascii="方正仿宋_GBK" w:hAnsi="方正仿宋_GBK" w:eastAsia="方正仿宋_GBK" w:cs="方正仿宋_GBK"/>
                <w:spacing w:val="-1"/>
                <w:sz w:val="24"/>
                <w:szCs w:val="24"/>
                <w:highlight w:val="none"/>
              </w:rPr>
              <w:t>过</w:t>
            </w:r>
            <w:r>
              <w:rPr>
                <w:rFonts w:hint="eastAsia" w:ascii="方正仿宋_GBK" w:hAnsi="方正仿宋_GBK" w:eastAsia="方正仿宋_GBK" w:cs="方正仿宋_GBK"/>
                <w:spacing w:val="-1"/>
                <w:sz w:val="24"/>
                <w:szCs w:val="24"/>
                <w:highlight w:val="none"/>
                <w:lang w:val="en-US" w:eastAsia="zh-CN"/>
              </w:rPr>
              <w:t>相关</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w:t>
            </w:r>
            <w:r>
              <w:rPr>
                <w:rFonts w:hint="eastAsia" w:ascii="方正仿宋_GBK" w:hAnsi="方正仿宋_GBK" w:eastAsia="方正仿宋_GBK" w:cs="方正仿宋_GBK"/>
                <w:spacing w:val="-1"/>
                <w:sz w:val="24"/>
                <w:szCs w:val="24"/>
                <w:highlight w:val="none"/>
                <w:lang w:val="en-US" w:eastAsia="zh-CN"/>
              </w:rPr>
              <w:t>场</w:t>
            </w:r>
            <w:r>
              <w:rPr>
                <w:rFonts w:hint="eastAsia" w:ascii="方正仿宋_GBK" w:hAnsi="方正仿宋_GBK" w:eastAsia="方正仿宋_GBK" w:cs="方正仿宋_GBK"/>
                <w:spacing w:val="-1"/>
                <w:sz w:val="24"/>
                <w:szCs w:val="24"/>
                <w:highlight w:val="none"/>
              </w:rPr>
              <w:t>次</w:t>
            </w:r>
            <w:r>
              <w:rPr>
                <w:rFonts w:ascii="方正仿宋_GBK" w:hAnsi="方正仿宋_GBK" w:eastAsia="方正仿宋_GBK" w:cs="方正仿宋_GBK"/>
                <w:spacing w:val="-1"/>
                <w:sz w:val="24"/>
                <w:szCs w:val="24"/>
                <w:highlight w:val="none"/>
              </w:rPr>
              <w:t>得</w:t>
            </w:r>
            <w:r>
              <w:rPr>
                <w:rFonts w:hint="default" w:ascii="方正仿宋_GBK" w:hAnsi="方正仿宋_GBK" w:eastAsia="方正仿宋_GBK" w:cs="方正仿宋_GBK"/>
                <w:spacing w:val="-1"/>
                <w:sz w:val="24"/>
                <w:szCs w:val="24"/>
                <w:highlight w:val="none"/>
              </w:rPr>
              <w:t>10</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本项最高得分为20分，</w:t>
            </w:r>
            <w:r>
              <w:rPr>
                <w:rFonts w:ascii="方正仿宋_GBK" w:hAnsi="方正仿宋_GBK" w:eastAsia="方正仿宋_GBK" w:cs="方正仿宋_GBK"/>
                <w:spacing w:val="-1"/>
                <w:sz w:val="24"/>
                <w:szCs w:val="24"/>
                <w:highlight w:val="none"/>
              </w:rPr>
              <w:t>不提供不得分。</w:t>
            </w:r>
          </w:p>
          <w:p>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val="en-US" w:eastAsia="zh-CN"/>
              </w:rPr>
              <w:t>或通知函方案</w:t>
            </w:r>
            <w:r>
              <w:rPr>
                <w:rFonts w:hint="eastAsia" w:ascii="方正仿宋_GBK" w:hAnsi="方正仿宋_GBK" w:eastAsia="方正仿宋_GBK" w:cs="方正仿宋_GBK"/>
                <w:spacing w:val="-1"/>
                <w:sz w:val="24"/>
                <w:szCs w:val="24"/>
                <w:highlight w:val="none"/>
                <w:lang w:eastAsia="zh-CN"/>
              </w:rPr>
              <w:t>或</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default" w:eastAsia="方正仿宋_GBK"/>
                <w:sz w:val="30"/>
                <w:szCs w:val="30"/>
                <w:lang w:eastAsia="zh-CN"/>
              </w:rPr>
              <w:t>4</w:t>
            </w:r>
          </w:p>
        </w:tc>
        <w:tc>
          <w:tcPr>
            <w:tcW w:w="957"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763"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hint="eastAsia"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1、服务团队成</w:t>
            </w:r>
            <w:r>
              <w:rPr>
                <w:rFonts w:hint="eastAsia" w:ascii="方正仿宋_GBK" w:hAnsi="方正仿宋_GBK" w:eastAsia="方正仿宋_GBK" w:cs="方正仿宋_GBK"/>
                <w:spacing w:val="-1"/>
                <w:sz w:val="24"/>
                <w:szCs w:val="24"/>
                <w:highlight w:val="none"/>
                <w:lang w:val="en-US" w:eastAsia="zh-CN"/>
              </w:rPr>
              <w:t>员为供应商全职工作人员，且具有人力资源方面证书（包括</w:t>
            </w:r>
            <w:r>
              <w:rPr>
                <w:rFonts w:hint="eastAsia" w:ascii="方正仿宋_GBK" w:hAnsi="方正仿宋_GBK" w:eastAsia="方正仿宋_GBK" w:cs="方正仿宋_GBK"/>
                <w:spacing w:val="-1"/>
                <w:sz w:val="24"/>
                <w:szCs w:val="24"/>
                <w:highlight w:val="none"/>
              </w:rPr>
              <w:t>人力资源管理师、</w:t>
            </w:r>
            <w:r>
              <w:rPr>
                <w:rFonts w:hint="default" w:ascii="方正仿宋_GBK" w:hAnsi="方正仿宋_GBK" w:eastAsia="方正仿宋_GBK" w:cs="方正仿宋_GBK"/>
                <w:spacing w:val="-1"/>
                <w:sz w:val="24"/>
                <w:szCs w:val="24"/>
                <w:highlight w:val="none"/>
              </w:rPr>
              <w:t>人力资源从业资格、</w:t>
            </w:r>
            <w:r>
              <w:rPr>
                <w:rFonts w:hint="eastAsia" w:ascii="方正仿宋_GBK" w:hAnsi="方正仿宋_GBK" w:eastAsia="方正仿宋_GBK" w:cs="方正仿宋_GBK"/>
                <w:spacing w:val="-1"/>
                <w:sz w:val="24"/>
                <w:szCs w:val="24"/>
                <w:highlight w:val="none"/>
                <w:lang w:val="en-US" w:eastAsia="zh-CN"/>
              </w:rPr>
              <w:t>职业</w:t>
            </w:r>
            <w:r>
              <w:rPr>
                <w:rFonts w:hint="default" w:ascii="方正仿宋_GBK" w:hAnsi="方正仿宋_GBK" w:eastAsia="方正仿宋_GBK" w:cs="方正仿宋_GBK"/>
                <w:spacing w:val="-1"/>
                <w:sz w:val="24"/>
                <w:szCs w:val="24"/>
                <w:highlight w:val="none"/>
                <w:lang w:eastAsia="zh-CN"/>
              </w:rPr>
              <w:t>介绍从业资格</w:t>
            </w:r>
            <w:r>
              <w:rPr>
                <w:rFonts w:hint="eastAsia" w:ascii="方正仿宋_GBK" w:hAnsi="方正仿宋_GBK" w:eastAsia="方正仿宋_GBK" w:cs="方正仿宋_GBK"/>
                <w:spacing w:val="-1"/>
                <w:sz w:val="24"/>
                <w:szCs w:val="24"/>
                <w:highlight w:val="none"/>
                <w:lang w:val="en-US" w:eastAsia="zh-CN"/>
              </w:rPr>
              <w:t>等），可随时根据采购方需求调配。每提供一名</w:t>
            </w:r>
            <w:r>
              <w:rPr>
                <w:rFonts w:hint="eastAsia"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hint="eastAsia"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本项</w:t>
            </w:r>
            <w:r>
              <w:rPr>
                <w:rFonts w:hint="eastAsia" w:ascii="方正仿宋_GBK" w:hAnsi="方正仿宋_GBK" w:eastAsia="方正仿宋_GBK" w:cs="方正仿宋_GBK"/>
                <w:spacing w:val="-1"/>
                <w:sz w:val="24"/>
                <w:szCs w:val="24"/>
                <w:highlight w:val="none"/>
              </w:rPr>
              <w:t>最高得</w:t>
            </w:r>
            <w:r>
              <w:rPr>
                <w:rFonts w:hint="eastAsia" w:ascii="方正仿宋_GBK" w:hAnsi="方正仿宋_GBK" w:eastAsia="方正仿宋_GBK" w:cs="方正仿宋_GBK"/>
                <w:spacing w:val="-1"/>
                <w:sz w:val="24"/>
                <w:szCs w:val="24"/>
                <w:highlight w:val="none"/>
                <w:lang w:val="en-US" w:eastAsia="zh-CN"/>
              </w:rPr>
              <w:t>1</w:t>
            </w:r>
            <w:r>
              <w:rPr>
                <w:rFonts w:hint="eastAsia" w:ascii="方正仿宋_GBK" w:hAnsi="方正仿宋_GBK" w:eastAsia="方正仿宋_GBK" w:cs="方正仿宋_GBK"/>
                <w:spacing w:val="-1"/>
                <w:sz w:val="24"/>
                <w:szCs w:val="24"/>
                <w:highlight w:val="none"/>
              </w:rPr>
              <w:t>0分。</w:t>
            </w:r>
          </w:p>
          <w:p>
            <w:pPr>
              <w:wordWrap w:val="0"/>
              <w:spacing w:line="360" w:lineRule="exact"/>
              <w:ind w:left="0" w:leftChars="0"/>
              <w:jc w:val="left"/>
              <w:rPr>
                <w:rFonts w:hint="default" w:eastAsia="方正仿宋_GBK"/>
                <w:sz w:val="30"/>
                <w:szCs w:val="30"/>
                <w:lang w:val="en-US" w:eastAsia="zh-CN"/>
              </w:rPr>
            </w:pPr>
            <w:r>
              <w:rPr>
                <w:rFonts w:hint="eastAsia" w:ascii="方正仿宋_GBK" w:hAnsi="方正仿宋_GBK" w:eastAsia="方正仿宋_GBK" w:cs="方正仿宋_GBK"/>
                <w:spacing w:val="-1"/>
                <w:sz w:val="24"/>
                <w:szCs w:val="24"/>
                <w:highlight w:val="none"/>
              </w:rPr>
              <w:t>注：</w:t>
            </w:r>
            <w:r>
              <w:rPr>
                <w:rFonts w:hint="eastAsia" w:ascii="方正仿宋_GBK" w:hAnsi="方正仿宋_GBK" w:eastAsia="方正仿宋_GBK" w:cs="方正仿宋_GBK"/>
                <w:spacing w:val="-1"/>
                <w:sz w:val="24"/>
                <w:szCs w:val="24"/>
                <w:highlight w:val="none"/>
                <w:lang w:val="en-US" w:eastAsia="zh-CN"/>
              </w:rPr>
              <w:t>需提供团队人员配置清单、相关资格证书复印件以及上述人员在投标截止时间前3个月任意一个月在供应商购买的社保证明复印件复印件，并加盖供应商单位公章，</w:t>
            </w:r>
            <w:r>
              <w:rPr>
                <w:rFonts w:hint="eastAsia" w:ascii="方正仿宋_GBK" w:hAnsi="方正仿宋_GBK" w:eastAsia="方正仿宋_GBK" w:cs="方正仿宋_GBK"/>
                <w:spacing w:val="-1"/>
                <w:sz w:val="24"/>
                <w:szCs w:val="24"/>
                <w:highlight w:val="none"/>
              </w:rPr>
              <w:t>同一人员获得证书的，不重复得分</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没有提供材料不得分。</w:t>
            </w:r>
            <w:r>
              <w:rPr>
                <w:rFonts w:hint="eastAsia" w:ascii="方正仿宋_GBK" w:hAnsi="方正仿宋_GBK" w:eastAsia="方正仿宋_GBK" w:cs="方正仿宋_GBK"/>
                <w:spacing w:val="-1"/>
                <w:sz w:val="24"/>
                <w:szCs w:val="24"/>
                <w:highlight w:val="none"/>
              </w:rPr>
              <w:br w:type="textWrapping"/>
            </w:r>
            <w:r>
              <w:rPr>
                <w:rFonts w:hint="eastAsia" w:ascii="方正仿宋_GBK" w:hAnsi="方正仿宋_GBK" w:eastAsia="方正仿宋_GBK" w:cs="方正仿宋_GBK"/>
                <w:spacing w:val="-1"/>
                <w:sz w:val="24"/>
                <w:szCs w:val="24"/>
                <w:highlight w:val="none"/>
                <w:lang w:val="en-US" w:eastAsia="zh-CN"/>
              </w:rPr>
              <w:t>2、项目负责人需为供应商的全职人员，且具备招聘服务管理工作经验</w:t>
            </w:r>
            <w:r>
              <w:rPr>
                <w:rFonts w:hint="eastAsia" w:ascii="方正仿宋_GBK" w:hAnsi="方正仿宋_GBK" w:eastAsia="方正仿宋_GBK" w:cs="方正仿宋_GBK"/>
                <w:spacing w:val="-1"/>
                <w:sz w:val="24"/>
                <w:szCs w:val="24"/>
                <w:lang w:val="en-US" w:eastAsia="zh-CN"/>
              </w:rPr>
              <w:t>，每具有一个合作项目得5分，本项最高得</w:t>
            </w:r>
            <w:r>
              <w:rPr>
                <w:rFonts w:hint="default" w:ascii="方正仿宋_GBK" w:hAnsi="方正仿宋_GBK" w:eastAsia="方正仿宋_GBK" w:cs="方正仿宋_GBK"/>
                <w:spacing w:val="-1"/>
                <w:sz w:val="24"/>
                <w:szCs w:val="24"/>
                <w:lang w:eastAsia="zh-CN"/>
              </w:rPr>
              <w:t>10</w:t>
            </w:r>
            <w:r>
              <w:rPr>
                <w:rFonts w:hint="eastAsia" w:ascii="方正仿宋_GBK" w:hAnsi="方正仿宋_GBK" w:eastAsia="方正仿宋_GBK" w:cs="方正仿宋_GBK"/>
                <w:spacing w:val="-1"/>
                <w:sz w:val="24"/>
                <w:szCs w:val="24"/>
                <w:lang w:val="en-US" w:eastAsia="zh-CN"/>
              </w:rPr>
              <w:t>分，无相关经验不得分。</w:t>
            </w:r>
            <w:r>
              <w:rPr>
                <w:rFonts w:hint="eastAsia" w:ascii="方正仿宋_GBK" w:hAnsi="方正仿宋_GBK" w:eastAsia="方正仿宋_GBK" w:cs="方正仿宋_GBK"/>
                <w:spacing w:val="-1"/>
                <w:sz w:val="24"/>
                <w:szCs w:val="24"/>
                <w:lang w:val="en-US" w:eastAsia="zh-CN"/>
              </w:rPr>
              <w:br w:type="textWrapping"/>
            </w:r>
            <w:r>
              <w:rPr>
                <w:rFonts w:hint="eastAsia" w:ascii="方正仿宋_GBK" w:hAnsi="方正仿宋_GBK" w:eastAsia="方正仿宋_GBK" w:cs="方正仿宋_GBK"/>
                <w:spacing w:val="-1"/>
                <w:sz w:val="24"/>
                <w:szCs w:val="24"/>
                <w:lang w:val="en-US" w:eastAsia="zh-CN"/>
              </w:rPr>
              <w:t>注：需提供项目负责人在投标截止时间前3个月任意一个月在供应商购买的社保证明复印件，签署合作合同或协议的关键页或提供项目需求方出具的证明材料（均需加盖供应商单位公章）</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没有提供材料不得分。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default" w:eastAsia="方正仿宋_GBK"/>
                <w:sz w:val="30"/>
                <w:szCs w:val="30"/>
                <w:lang w:eastAsia="zh-CN"/>
              </w:rPr>
              <w:t>5</w:t>
            </w:r>
          </w:p>
        </w:tc>
        <w:tc>
          <w:tcPr>
            <w:tcW w:w="1720"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的评标价中，取最低价为评标基准价，其价格为满分，其他</w:t>
            </w:r>
            <w:r>
              <w:rPr>
                <w:rFonts w:hint="eastAsia" w:ascii="方正仿宋_GBK" w:hAnsi="方正仿宋_GBK" w:eastAsia="方正仿宋_GBK" w:cs="方正仿宋_GBK"/>
                <w:spacing w:val="-1"/>
                <w:sz w:val="24"/>
                <w:szCs w:val="24"/>
                <w:lang w:eastAsia="zh-CN"/>
              </w:rPr>
              <w:t>供应商</w:t>
            </w:r>
            <w:r>
              <w:rPr>
                <w:rFonts w:ascii="方正仿宋_GBK" w:hAnsi="方正仿宋_GBK" w:eastAsia="方正仿宋_GBK" w:cs="方正仿宋_GBK"/>
                <w:spacing w:val="-1"/>
                <w:sz w:val="24"/>
                <w:szCs w:val="24"/>
              </w:rPr>
              <w:t>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pPr>
              <w:wordWrap w:val="0"/>
              <w:spacing w:line="360" w:lineRule="exact"/>
              <w:ind w:left="0"/>
              <w:jc w:val="left"/>
              <w:rPr>
                <w:rFonts w:eastAsia="方正仿宋_GBK"/>
                <w:sz w:val="24"/>
                <w:szCs w:val="24"/>
              </w:rPr>
            </w:pPr>
          </w:p>
        </w:tc>
      </w:tr>
    </w:tbl>
    <w:p>
      <w:pPr>
        <w:pStyle w:val="2"/>
        <w:numPr>
          <w:ilvl w:val="-1"/>
          <w:numId w:val="0"/>
        </w:numPr>
        <w:spacing w:line="240" w:lineRule="atLeast"/>
        <w:rPr>
          <w:sz w:val="18"/>
          <w:szCs w:val="18"/>
        </w:rPr>
      </w:pPr>
    </w:p>
    <w:p>
      <w:pPr>
        <w:pStyle w:val="2"/>
        <w:numPr>
          <w:ilvl w:val="-1"/>
          <w:numId w:val="0"/>
        </w:num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9FCE"/>
    <w:multiLevelType w:val="singleLevel"/>
    <w:tmpl w:val="244A9F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xN2IwMWMyYjk5MWRkODQ0YjgyYWYxMGJmNmQ5NzAifQ=="/>
  </w:docVars>
  <w:rsids>
    <w:rsidRoot w:val="00D679E9"/>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5E4444"/>
    <w:rsid w:val="005F65CD"/>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17737"/>
    <w:rsid w:val="00D679E9"/>
    <w:rsid w:val="00DB2CF1"/>
    <w:rsid w:val="00DE1F0F"/>
    <w:rsid w:val="00DF1221"/>
    <w:rsid w:val="00E24F68"/>
    <w:rsid w:val="00E7180C"/>
    <w:rsid w:val="00E7602F"/>
    <w:rsid w:val="00E92E15"/>
    <w:rsid w:val="00EA06F7"/>
    <w:rsid w:val="00F00B80"/>
    <w:rsid w:val="00F113A1"/>
    <w:rsid w:val="00F63813"/>
    <w:rsid w:val="00F76F0A"/>
    <w:rsid w:val="00FA4EEE"/>
    <w:rsid w:val="026B3007"/>
    <w:rsid w:val="034921BB"/>
    <w:rsid w:val="03DA48E8"/>
    <w:rsid w:val="040F4144"/>
    <w:rsid w:val="04EE6171"/>
    <w:rsid w:val="05C3041E"/>
    <w:rsid w:val="05C3315A"/>
    <w:rsid w:val="05C869C2"/>
    <w:rsid w:val="0659586C"/>
    <w:rsid w:val="06B41B98"/>
    <w:rsid w:val="06C9164C"/>
    <w:rsid w:val="06DF5D71"/>
    <w:rsid w:val="07506C6F"/>
    <w:rsid w:val="07F916A8"/>
    <w:rsid w:val="08247668"/>
    <w:rsid w:val="08A37B4C"/>
    <w:rsid w:val="09475E50"/>
    <w:rsid w:val="097035F9"/>
    <w:rsid w:val="09B01196"/>
    <w:rsid w:val="09C54508"/>
    <w:rsid w:val="0BC5416A"/>
    <w:rsid w:val="0C345C5B"/>
    <w:rsid w:val="0CE158BE"/>
    <w:rsid w:val="0D6B77D6"/>
    <w:rsid w:val="0DB241E0"/>
    <w:rsid w:val="0E06277D"/>
    <w:rsid w:val="106519DD"/>
    <w:rsid w:val="10B2209B"/>
    <w:rsid w:val="10CD1330"/>
    <w:rsid w:val="114928EB"/>
    <w:rsid w:val="11BA3663"/>
    <w:rsid w:val="11F33019"/>
    <w:rsid w:val="12DC4BFA"/>
    <w:rsid w:val="130305CB"/>
    <w:rsid w:val="133B6A25"/>
    <w:rsid w:val="14FC3F92"/>
    <w:rsid w:val="15325C06"/>
    <w:rsid w:val="154C263F"/>
    <w:rsid w:val="16790B9D"/>
    <w:rsid w:val="17103D25"/>
    <w:rsid w:val="174D4F79"/>
    <w:rsid w:val="175D0ABE"/>
    <w:rsid w:val="18420856"/>
    <w:rsid w:val="18502F73"/>
    <w:rsid w:val="18786026"/>
    <w:rsid w:val="18F25DD8"/>
    <w:rsid w:val="19067AD5"/>
    <w:rsid w:val="195F2D42"/>
    <w:rsid w:val="19706CFD"/>
    <w:rsid w:val="1B707E8E"/>
    <w:rsid w:val="1C626DD1"/>
    <w:rsid w:val="1E9D2342"/>
    <w:rsid w:val="1EAC7E14"/>
    <w:rsid w:val="1F29007A"/>
    <w:rsid w:val="1F2B6955"/>
    <w:rsid w:val="1F69738C"/>
    <w:rsid w:val="1FE60110"/>
    <w:rsid w:val="20452C91"/>
    <w:rsid w:val="208A2D9A"/>
    <w:rsid w:val="20955535"/>
    <w:rsid w:val="20FA7F20"/>
    <w:rsid w:val="21043C49"/>
    <w:rsid w:val="219854AE"/>
    <w:rsid w:val="21E43400"/>
    <w:rsid w:val="24423669"/>
    <w:rsid w:val="24B6415E"/>
    <w:rsid w:val="25D34CE2"/>
    <w:rsid w:val="265359DC"/>
    <w:rsid w:val="26943CDF"/>
    <w:rsid w:val="27B64475"/>
    <w:rsid w:val="27C45CD8"/>
    <w:rsid w:val="281F233A"/>
    <w:rsid w:val="28DA4193"/>
    <w:rsid w:val="292C263E"/>
    <w:rsid w:val="292D0766"/>
    <w:rsid w:val="29791BFE"/>
    <w:rsid w:val="29AC4D73"/>
    <w:rsid w:val="29B175E9"/>
    <w:rsid w:val="2A475CDD"/>
    <w:rsid w:val="2A581813"/>
    <w:rsid w:val="2A64465C"/>
    <w:rsid w:val="2B146082"/>
    <w:rsid w:val="2D085772"/>
    <w:rsid w:val="2D3A0B08"/>
    <w:rsid w:val="2D6920FF"/>
    <w:rsid w:val="2E045F3A"/>
    <w:rsid w:val="2EBA2A9C"/>
    <w:rsid w:val="2ECE41FD"/>
    <w:rsid w:val="2EFE3E38"/>
    <w:rsid w:val="2FEA73B1"/>
    <w:rsid w:val="2FF14225"/>
    <w:rsid w:val="30332B06"/>
    <w:rsid w:val="32680A94"/>
    <w:rsid w:val="327B529D"/>
    <w:rsid w:val="33067C5F"/>
    <w:rsid w:val="332C6155"/>
    <w:rsid w:val="332D7CE1"/>
    <w:rsid w:val="33D35064"/>
    <w:rsid w:val="342F4B63"/>
    <w:rsid w:val="34310DFF"/>
    <w:rsid w:val="3492540B"/>
    <w:rsid w:val="355552CD"/>
    <w:rsid w:val="3583585A"/>
    <w:rsid w:val="35B826C7"/>
    <w:rsid w:val="372E2279"/>
    <w:rsid w:val="382F0057"/>
    <w:rsid w:val="3971644D"/>
    <w:rsid w:val="39745159"/>
    <w:rsid w:val="39A54341"/>
    <w:rsid w:val="39E07108"/>
    <w:rsid w:val="39E430C3"/>
    <w:rsid w:val="39F74BA5"/>
    <w:rsid w:val="3A287454"/>
    <w:rsid w:val="3A897B7B"/>
    <w:rsid w:val="3BC431AC"/>
    <w:rsid w:val="3BC84C86"/>
    <w:rsid w:val="3BDD426E"/>
    <w:rsid w:val="3BE74C35"/>
    <w:rsid w:val="3CCA47F2"/>
    <w:rsid w:val="3CD72A6B"/>
    <w:rsid w:val="3D1B22FA"/>
    <w:rsid w:val="3DCC459A"/>
    <w:rsid w:val="3E6D4261"/>
    <w:rsid w:val="3ECD7114"/>
    <w:rsid w:val="3ECDB459"/>
    <w:rsid w:val="3F455687"/>
    <w:rsid w:val="3FAE21A9"/>
    <w:rsid w:val="3FF34060"/>
    <w:rsid w:val="401E76EE"/>
    <w:rsid w:val="403A57EB"/>
    <w:rsid w:val="417665CE"/>
    <w:rsid w:val="42B72203"/>
    <w:rsid w:val="42CD5B78"/>
    <w:rsid w:val="43706637"/>
    <w:rsid w:val="43A3196D"/>
    <w:rsid w:val="440A3A43"/>
    <w:rsid w:val="442073EE"/>
    <w:rsid w:val="44D34460"/>
    <w:rsid w:val="45156827"/>
    <w:rsid w:val="4565582E"/>
    <w:rsid w:val="46366A55"/>
    <w:rsid w:val="464A71CF"/>
    <w:rsid w:val="46F04E55"/>
    <w:rsid w:val="47D46525"/>
    <w:rsid w:val="498F4DFA"/>
    <w:rsid w:val="49D52AEE"/>
    <w:rsid w:val="4A5D2C7F"/>
    <w:rsid w:val="4B0A0F73"/>
    <w:rsid w:val="4DD0399E"/>
    <w:rsid w:val="4E925263"/>
    <w:rsid w:val="4FE623E8"/>
    <w:rsid w:val="52600EBD"/>
    <w:rsid w:val="52D51D30"/>
    <w:rsid w:val="53590226"/>
    <w:rsid w:val="54613836"/>
    <w:rsid w:val="54B202F2"/>
    <w:rsid w:val="55B54D72"/>
    <w:rsid w:val="56B07419"/>
    <w:rsid w:val="57967784"/>
    <w:rsid w:val="579F6BBB"/>
    <w:rsid w:val="57A1773B"/>
    <w:rsid w:val="580746F5"/>
    <w:rsid w:val="58214F74"/>
    <w:rsid w:val="5A160B2C"/>
    <w:rsid w:val="5A9A1850"/>
    <w:rsid w:val="5AC16DA7"/>
    <w:rsid w:val="5AD92379"/>
    <w:rsid w:val="5B0F43D2"/>
    <w:rsid w:val="5B773940"/>
    <w:rsid w:val="5BCA1CC1"/>
    <w:rsid w:val="5BFF1FA6"/>
    <w:rsid w:val="5C4C2DF1"/>
    <w:rsid w:val="5E7C711A"/>
    <w:rsid w:val="5E9C0989"/>
    <w:rsid w:val="5EF73AD8"/>
    <w:rsid w:val="5F1648C2"/>
    <w:rsid w:val="5F6A29BF"/>
    <w:rsid w:val="5FF7F321"/>
    <w:rsid w:val="60884E01"/>
    <w:rsid w:val="60A61681"/>
    <w:rsid w:val="614B11AE"/>
    <w:rsid w:val="62760C2D"/>
    <w:rsid w:val="634A1B55"/>
    <w:rsid w:val="63F61A8F"/>
    <w:rsid w:val="63FF7EA3"/>
    <w:rsid w:val="64137F7D"/>
    <w:rsid w:val="64406FC4"/>
    <w:rsid w:val="65962C14"/>
    <w:rsid w:val="661F0FEA"/>
    <w:rsid w:val="668E227E"/>
    <w:rsid w:val="677156E7"/>
    <w:rsid w:val="67874F0A"/>
    <w:rsid w:val="69D96597"/>
    <w:rsid w:val="69E10805"/>
    <w:rsid w:val="69F70DC0"/>
    <w:rsid w:val="6A5512F0"/>
    <w:rsid w:val="6A696F8C"/>
    <w:rsid w:val="6A7F2901"/>
    <w:rsid w:val="6A8B4D12"/>
    <w:rsid w:val="6C5C0714"/>
    <w:rsid w:val="6C613F7C"/>
    <w:rsid w:val="6D500DCC"/>
    <w:rsid w:val="6D5B6C1D"/>
    <w:rsid w:val="6D6A56E0"/>
    <w:rsid w:val="6D9E4D5C"/>
    <w:rsid w:val="6DAF27CD"/>
    <w:rsid w:val="6E6C6C08"/>
    <w:rsid w:val="6E7E3225"/>
    <w:rsid w:val="6EB43047"/>
    <w:rsid w:val="6FDB7514"/>
    <w:rsid w:val="70A7659A"/>
    <w:rsid w:val="70DF7B65"/>
    <w:rsid w:val="716167CC"/>
    <w:rsid w:val="722241AD"/>
    <w:rsid w:val="72901ADD"/>
    <w:rsid w:val="72F41507"/>
    <w:rsid w:val="730B48BA"/>
    <w:rsid w:val="746573CF"/>
    <w:rsid w:val="747F3E5A"/>
    <w:rsid w:val="749173C8"/>
    <w:rsid w:val="75907680"/>
    <w:rsid w:val="761A73D1"/>
    <w:rsid w:val="76A6575C"/>
    <w:rsid w:val="76DA32A9"/>
    <w:rsid w:val="7716147C"/>
    <w:rsid w:val="772C5186"/>
    <w:rsid w:val="7789232A"/>
    <w:rsid w:val="77941065"/>
    <w:rsid w:val="77B5517C"/>
    <w:rsid w:val="77F64930"/>
    <w:rsid w:val="780D6D66"/>
    <w:rsid w:val="793842B6"/>
    <w:rsid w:val="799A287B"/>
    <w:rsid w:val="7AE85868"/>
    <w:rsid w:val="7B331DF5"/>
    <w:rsid w:val="7B75029D"/>
    <w:rsid w:val="7BC40083"/>
    <w:rsid w:val="7C266648"/>
    <w:rsid w:val="7D692C90"/>
    <w:rsid w:val="7F9D4E73"/>
    <w:rsid w:val="7FEC26F3"/>
    <w:rsid w:val="95F3BC4A"/>
    <w:rsid w:val="99FD202C"/>
    <w:rsid w:val="AFFF1918"/>
    <w:rsid w:val="BF979E8A"/>
    <w:rsid w:val="CCBA3F81"/>
    <w:rsid w:val="CFFB17DD"/>
    <w:rsid w:val="DF7F841E"/>
    <w:rsid w:val="EFB6C823"/>
    <w:rsid w:val="F7612198"/>
    <w:rsid w:val="F9EB2B37"/>
    <w:rsid w:val="FA6E35F8"/>
    <w:rsid w:val="FAAF716C"/>
    <w:rsid w:val="FD573BDA"/>
    <w:rsid w:val="FD762D2E"/>
    <w:rsid w:val="FDCDD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rPr>
  </w:style>
  <w:style w:type="paragraph" w:styleId="9">
    <w:name w:val="Balloon Text"/>
    <w:basedOn w:val="1"/>
    <w:link w:val="27"/>
    <w:semiHidden/>
    <w:unhideWhenUsed/>
    <w:qFormat/>
    <w:uiPriority w:val="99"/>
    <w:rPr>
      <w:sz w:val="18"/>
      <w:szCs w:val="18"/>
    </w:rPr>
  </w:style>
  <w:style w:type="paragraph" w:styleId="10">
    <w:name w:val="footer"/>
    <w:basedOn w:val="1"/>
    <w:next w:val="11"/>
    <w:link w:val="22"/>
    <w:unhideWhenUsed/>
    <w:qFormat/>
    <w:uiPriority w:val="99"/>
    <w:pPr>
      <w:tabs>
        <w:tab w:val="center" w:pos="4153"/>
        <w:tab w:val="right" w:pos="8306"/>
      </w:tabs>
      <w:snapToGrid w:val="0"/>
      <w:jc w:val="left"/>
    </w:pPr>
    <w:rPr>
      <w:sz w:val="18"/>
      <w:szCs w:val="18"/>
    </w:rPr>
  </w:style>
  <w:style w:type="paragraph" w:customStyle="1" w:styleId="1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0"/>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1900</Words>
  <Characters>1972</Characters>
  <Lines>19</Lines>
  <Paragraphs>5</Paragraphs>
  <TotalTime>18</TotalTime>
  <ScaleCrop>false</ScaleCrop>
  <LinksUpToDate>false</LinksUpToDate>
  <CharactersWithSpaces>1972</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2022-03-23T20:29:00Z</dcterms:created>
  <dc:creator>Y XW</dc:creator>
  <cp:lastModifiedBy>陈政</cp:lastModifiedBy>
  <cp:lastPrinted>2024-04-16T02:22:00Z</cp:lastPrinted>
  <dcterms:modified xsi:type="dcterms:W3CDTF">2024-12-20T10:13:30Z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BDBBD6F2AB244887A9D94E9DD2B8D49C_13</vt:lpwstr>
  </property>
</Properties>
</file>