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center"/>
        <w:rPr>
          <w:rFonts w:ascii="宋体" w:hAnsi="宋体" w:eastAsia="宋体" w:cs="宋体"/>
          <w:b/>
          <w:bCs/>
          <w:sz w:val="36"/>
          <w:szCs w:val="36"/>
        </w:rPr>
      </w:pPr>
      <w:r>
        <w:rPr>
          <w:rFonts w:hint="eastAsia" w:ascii="宋体" w:hAnsi="宋体" w:eastAsia="宋体" w:cs="宋体"/>
          <w:b/>
          <w:bCs/>
          <w:sz w:val="36"/>
          <w:szCs w:val="36"/>
        </w:rPr>
        <w:t>江门市市区公路</w:t>
      </w:r>
      <w:r>
        <w:rPr>
          <w:rFonts w:hint="eastAsia" w:ascii="宋体" w:hAnsi="宋体" w:eastAsia="宋体" w:cs="宋体"/>
          <w:b/>
          <w:bCs/>
          <w:sz w:val="36"/>
          <w:szCs w:val="36"/>
          <w:lang w:eastAsia="zh-CN"/>
        </w:rPr>
        <w:t>局养护</w:t>
      </w:r>
      <w:r>
        <w:rPr>
          <w:rFonts w:hint="eastAsia" w:ascii="宋体" w:hAnsi="宋体" w:eastAsia="宋体" w:cs="宋体"/>
          <w:b/>
          <w:bCs/>
          <w:sz w:val="36"/>
          <w:szCs w:val="36"/>
        </w:rPr>
        <w:t>中心</w:t>
      </w:r>
      <w:r>
        <w:rPr>
          <w:rFonts w:hint="eastAsia" w:ascii="宋体" w:hAnsi="宋体" w:eastAsia="宋体" w:cs="宋体"/>
          <w:b/>
          <w:bCs/>
          <w:sz w:val="36"/>
          <w:szCs w:val="36"/>
          <w:lang w:val="en-US" w:eastAsia="zh-CN"/>
        </w:rPr>
        <w:t>2025年度</w:t>
      </w:r>
      <w:r>
        <w:rPr>
          <w:rFonts w:hint="eastAsia" w:ascii="宋体" w:hAnsi="宋体" w:eastAsia="宋体" w:cs="宋体"/>
          <w:b/>
          <w:bCs/>
          <w:sz w:val="36"/>
          <w:szCs w:val="36"/>
        </w:rPr>
        <w:t>职工食堂食材配送服务项目采购评分标准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综合评分相等时，评选小组视报名单位的情况综合比较，投票确定其名次。</w:t>
      </w:r>
    </w:p>
    <w:p>
      <w:pPr>
        <w:pStyle w:val="2"/>
      </w:pPr>
    </w:p>
    <w:p>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6"/>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tblPrEx>
          <w:tblCellMar>
            <w:top w:w="0" w:type="dxa"/>
            <w:left w:w="108" w:type="dxa"/>
            <w:bottom w:w="67" w:type="dxa"/>
            <w:right w:w="0" w:type="dxa"/>
          </w:tblCellMar>
        </w:tblPrEx>
        <w:trPr>
          <w:trHeight w:val="3817"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before="0" w:beforeAutospacing="0" w:after="0" w:afterAutospacing="0" w:line="720" w:lineRule="atLeast"/>
              <w:jc w:val="center"/>
              <w:textAlignment w:val="baseline"/>
              <w:rPr>
                <w:rFonts w:ascii="仿宋" w:hAnsi="仿宋" w:eastAsia="仿宋" w:cs="Times New Roman"/>
                <w:color w:val="000000"/>
              </w:rPr>
            </w:pPr>
            <w:r>
              <w:rPr>
                <w:rStyle w:val="8"/>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11" w:firstLineChars="196"/>
            </w:pPr>
            <w:r>
              <w:rPr>
                <w:rFonts w:hint="eastAsia"/>
              </w:rPr>
              <w:t>1.符合《中华人民共和国政府采购法》第二十二条和《中华人民共和国政府采购法实施条例》第十七条的规定；</w:t>
            </w:r>
          </w:p>
          <w:p>
            <w:pPr>
              <w:widowControl/>
              <w:spacing w:line="360" w:lineRule="exact"/>
              <w:ind w:right="108" w:firstLine="411" w:firstLineChars="196"/>
            </w:pPr>
            <w:r>
              <w:rPr>
                <w:rFonts w:hint="eastAsia"/>
              </w:rPr>
              <w:t>2.有经年检合格的营业执照和有效的食品经营许可；</w:t>
            </w:r>
          </w:p>
          <w:p>
            <w:pPr>
              <w:widowControl/>
              <w:spacing w:line="360" w:lineRule="exact"/>
              <w:ind w:right="108" w:firstLine="411" w:firstLineChars="196"/>
            </w:pPr>
            <w:r>
              <w:rPr>
                <w:rFonts w:hint="eastAsia"/>
              </w:rPr>
              <w:t>3.具有独立承担民事责任能力</w:t>
            </w:r>
            <w:r>
              <w:rPr>
                <w:rFonts w:hint="eastAsia"/>
                <w:lang w:eastAsia="zh-CN"/>
              </w:rPr>
              <w:t>：</w:t>
            </w:r>
            <w:r>
              <w:rPr>
                <w:rFonts w:hint="eastAsia"/>
              </w:rPr>
              <w:t>在中华人民共和国境内注册的法人</w:t>
            </w:r>
            <w:r>
              <w:rPr>
                <w:rFonts w:hint="eastAsia"/>
                <w:lang w:eastAsia="zh-CN"/>
              </w:rPr>
              <w:t>或其他组织或自然人</w:t>
            </w:r>
            <w:r>
              <w:rPr>
                <w:rFonts w:hint="eastAsia"/>
              </w:rPr>
              <w:t>；</w:t>
            </w:r>
          </w:p>
          <w:p>
            <w:pPr>
              <w:widowControl/>
              <w:spacing w:line="360" w:lineRule="exact"/>
              <w:ind w:right="108" w:firstLine="411" w:firstLineChars="196"/>
            </w:pPr>
            <w:r>
              <w:rPr>
                <w:rFonts w:hint="eastAsia"/>
              </w:rPr>
              <w:t>4.近三年内未被列入失信被执行人名单、重大税收违法案件当事人名单、政府采购严重违法失信行为记录名单，无受到政府采购行政处罚且相关信用惩戒期限未满情形</w:t>
            </w:r>
            <w:r>
              <w:rPr>
                <w:rFonts w:hint="eastAsia"/>
                <w:lang w:eastAsia="zh-CN"/>
              </w:rPr>
              <w:t>，需提供相关查询记录资料</w:t>
            </w:r>
            <w:r>
              <w:rPr>
                <w:rFonts w:hint="eastAsia"/>
              </w:rPr>
              <w:t>；</w:t>
            </w:r>
          </w:p>
          <w:p>
            <w:pPr>
              <w:widowControl/>
              <w:spacing w:line="360" w:lineRule="exact"/>
              <w:ind w:right="108" w:firstLine="411" w:firstLineChars="196"/>
              <w:rPr>
                <w:rFonts w:hint="eastAsia" w:eastAsiaTheme="minorEastAsia"/>
                <w:highlight w:val="none"/>
                <w:lang w:eastAsia="zh-CN"/>
              </w:rPr>
            </w:pPr>
            <w:r>
              <w:rPr>
                <w:rFonts w:hint="eastAsia"/>
                <w:highlight w:val="none"/>
              </w:rPr>
              <w:t>5.本项目不接受联合体供应商投标；不允许转包、分包</w:t>
            </w:r>
            <w:r>
              <w:rPr>
                <w:rFonts w:hint="eastAsia"/>
                <w:highlight w:val="none"/>
                <w:lang w:eastAsia="zh-CN"/>
              </w:rPr>
              <w:t>；</w:t>
            </w:r>
          </w:p>
          <w:p>
            <w:pPr>
              <w:pStyle w:val="2"/>
              <w:rPr>
                <w:rFonts w:hint="eastAsia" w:asciiTheme="minorHAnsi" w:hAnsiTheme="minorHAnsi" w:eastAsiaTheme="minorEastAsia"/>
                <w:kern w:val="2"/>
                <w:sz w:val="21"/>
                <w:szCs w:val="22"/>
                <w:lang w:val="en-US" w:eastAsia="zh-CN"/>
              </w:rPr>
            </w:pPr>
            <w:r>
              <w:rPr>
                <w:rFonts w:hint="eastAsia"/>
                <w:highlight w:val="none"/>
                <w:lang w:val="en-US" w:eastAsia="zh-CN"/>
              </w:rPr>
              <w:t xml:space="preserve">    </w:t>
            </w:r>
            <w:r>
              <w:rPr>
                <w:rFonts w:hint="eastAsia" w:asciiTheme="minorHAnsi" w:hAnsiTheme="minorHAnsi"/>
                <w:kern w:val="2"/>
                <w:sz w:val="21"/>
                <w:szCs w:val="22"/>
                <w:lang w:val="en-US" w:eastAsia="zh-CN"/>
              </w:rPr>
              <w:t>6.供应商应在江门市区有固定的配送场所、服务网点；</w:t>
            </w:r>
          </w:p>
          <w:p>
            <w:pPr>
              <w:pStyle w:val="2"/>
              <w:ind w:firstLine="420" w:firstLineChars="200"/>
            </w:pPr>
            <w:r>
              <w:rPr>
                <w:rFonts w:hint="eastAsia" w:asciiTheme="minorHAnsi" w:hAnsiTheme="minorHAnsi"/>
                <w:kern w:val="2"/>
                <w:sz w:val="21"/>
                <w:szCs w:val="22"/>
                <w:highlight w:val="none"/>
                <w:lang w:val="en-US" w:eastAsia="zh-CN"/>
              </w:rPr>
              <w:t>7</w:t>
            </w:r>
            <w:r>
              <w:rPr>
                <w:rFonts w:hint="eastAsia" w:asciiTheme="minorHAnsi" w:hAnsiTheme="minorHAnsi"/>
                <w:kern w:val="2"/>
                <w:sz w:val="21"/>
                <w:szCs w:val="22"/>
                <w:highlight w:val="none"/>
              </w:rPr>
              <w:t>.</w:t>
            </w:r>
            <w:r>
              <w:rPr>
                <w:rFonts w:hint="eastAsia" w:asciiTheme="minorHAnsi" w:hAnsiTheme="minorHAnsi"/>
                <w:kern w:val="2"/>
                <w:sz w:val="21"/>
                <w:szCs w:val="22"/>
                <w:highlight w:val="none"/>
                <w:lang w:eastAsia="zh-CN"/>
              </w:rPr>
              <w:t>有依法缴纳税收和社会报账资金的良好记录，需提供投标截止日前</w:t>
            </w:r>
            <w:r>
              <w:rPr>
                <w:rFonts w:hint="eastAsia" w:asciiTheme="minorHAnsi" w:hAnsiTheme="minorHAnsi"/>
                <w:kern w:val="2"/>
                <w:sz w:val="21"/>
                <w:szCs w:val="22"/>
                <w:highlight w:val="none"/>
                <w:lang w:val="en-US" w:eastAsia="zh-CN"/>
              </w:rPr>
              <w:t>6个月内任意1个月依法缴税和社保资金的相关材料</w:t>
            </w:r>
            <w:r>
              <w:rPr>
                <w:rFonts w:hint="eastAsia" w:asciiTheme="minorHAnsi" w:hAnsiTheme="minorHAnsi"/>
                <w:kern w:val="2"/>
                <w:sz w:val="21"/>
                <w:szCs w:val="22"/>
                <w:highlight w:val="none"/>
              </w:rPr>
              <w:t>。</w:t>
            </w:r>
          </w:p>
        </w:tc>
      </w:tr>
    </w:tbl>
    <w:p>
      <w:pPr>
        <w:spacing w:line="400" w:lineRule="exact"/>
        <w:ind w:left="-420" w:leftChars="-200" w:right="-313" w:rightChars="-149" w:firstLine="421" w:firstLineChars="200"/>
        <w:rPr>
          <w:rFonts w:ascii="宋体" w:hAnsi="宋体" w:eastAsia="宋体" w:cs="宋体"/>
          <w:b/>
          <w:bCs/>
          <w:szCs w:val="21"/>
        </w:rPr>
      </w:pPr>
    </w:p>
    <w:p>
      <w:pPr>
        <w:pStyle w:val="2"/>
      </w:pPr>
    </w:p>
    <w:p>
      <w:pPr>
        <w:pStyle w:val="2"/>
      </w:pPr>
    </w:p>
    <w:p>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6"/>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单项分数（分）</w:t>
            </w:r>
          </w:p>
        </w:tc>
      </w:tr>
      <w:tr>
        <w:tblPrEx>
          <w:tblCellMar>
            <w:top w:w="0" w:type="dxa"/>
            <w:left w:w="108" w:type="dxa"/>
            <w:bottom w:w="67" w:type="dxa"/>
            <w:right w:w="0" w:type="dxa"/>
          </w:tblCellMar>
        </w:tblPrEx>
        <w:trPr>
          <w:trHeight w:val="116" w:hRule="atLeast"/>
          <w:jc w:val="center"/>
        </w:trPr>
        <w:tc>
          <w:tcPr>
            <w:tcW w:w="655"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08" w:rightChars="0"/>
              <w:jc w:val="center"/>
              <w:rPr>
                <w:rFonts w:hint="eastAsia" w:ascii="仿宋" w:hAnsi="仿宋" w:eastAsia="仿宋" w:cs="Times New Roman"/>
                <w:color w:val="000000"/>
                <w:kern w:val="0"/>
                <w:sz w:val="24"/>
                <w:szCs w:val="24"/>
                <w:highlight w:val="none"/>
                <w:lang w:val="en-US" w:eastAsia="zh-CN" w:bidi="ar-SA"/>
              </w:rPr>
            </w:pPr>
            <w:r>
              <w:rPr>
                <w:rFonts w:hint="eastAsia" w:ascii="仿宋" w:hAnsi="仿宋" w:eastAsia="仿宋" w:cs="Times New Roman"/>
                <w:color w:val="000000"/>
                <w:kern w:val="0"/>
                <w:sz w:val="24"/>
                <w:szCs w:val="24"/>
                <w:highlight w:val="none"/>
              </w:rPr>
              <w:t>1</w:t>
            </w:r>
          </w:p>
        </w:tc>
        <w:tc>
          <w:tcPr>
            <w:tcW w:w="1797"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08" w:rightChars="0"/>
              <w:jc w:val="center"/>
              <w:rPr>
                <w:rFonts w:ascii="Times New Roman" w:hAnsi="Times New Roman" w:cs="Times New Roman" w:eastAsiaTheme="minorEastAsia"/>
                <w:b/>
                <w:bCs/>
                <w:kern w:val="2"/>
                <w:sz w:val="21"/>
                <w:szCs w:val="30"/>
                <w:highlight w:val="none"/>
                <w:lang w:val="en-US" w:eastAsia="zh-CN" w:bidi="ar-SA"/>
              </w:rPr>
            </w:pPr>
            <w:r>
              <w:rPr>
                <w:rStyle w:val="8"/>
                <w:rFonts w:ascii="仿宋" w:hAnsi="仿宋" w:eastAsia="仿宋" w:cs="Times New Roman"/>
                <w:sz w:val="24"/>
                <w:szCs w:val="24"/>
                <w:highlight w:val="none"/>
              </w:rPr>
              <w:t>实施方案</w:t>
            </w:r>
          </w:p>
        </w:tc>
        <w:tc>
          <w:tcPr>
            <w:tcW w:w="6134"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08" w:firstLine="411" w:firstLineChars="196"/>
            </w:pPr>
            <w:r>
              <w:rPr>
                <w:rFonts w:hint="eastAsia"/>
              </w:rPr>
              <w:t>总体评价：</w:t>
            </w:r>
          </w:p>
          <w:p>
            <w:pPr>
              <w:widowControl/>
              <w:spacing w:line="360" w:lineRule="exact"/>
              <w:ind w:right="108" w:firstLine="411" w:firstLineChars="196"/>
            </w:pPr>
            <w:r>
              <w:rPr>
                <w:rFonts w:hint="eastAsia"/>
              </w:rPr>
              <w:t>（1）优：实施方案全面、完善、合理，可行性和可操作性强，贴合实际需求的，具有完备的安全追溯制度，</w:t>
            </w:r>
            <w:r>
              <w:rPr>
                <w:rFonts w:hint="eastAsia"/>
                <w:lang w:val="en-US" w:eastAsia="zh-CN"/>
              </w:rPr>
              <w:t>20</w:t>
            </w:r>
            <w:r>
              <w:rPr>
                <w:rFonts w:hint="eastAsia"/>
              </w:rPr>
              <w:t>&lt;得分≤</w:t>
            </w:r>
            <w:r>
              <w:rPr>
                <w:rFonts w:hint="eastAsia"/>
                <w:lang w:val="en-US" w:eastAsia="zh-CN"/>
              </w:rPr>
              <w:t>25</w:t>
            </w:r>
            <w:r>
              <w:rPr>
                <w:rFonts w:hint="eastAsia"/>
              </w:rPr>
              <w:t>；</w:t>
            </w:r>
          </w:p>
          <w:p>
            <w:pPr>
              <w:widowControl/>
              <w:spacing w:line="360" w:lineRule="exact"/>
              <w:ind w:right="108" w:firstLine="411" w:firstLineChars="196"/>
            </w:pPr>
            <w:r>
              <w:rPr>
                <w:rFonts w:hint="eastAsia"/>
              </w:rPr>
              <w:t>（2）良：实施方案较全面、完善，可行性和可操作性较强，具有可行的安全追溯制度，</w:t>
            </w:r>
            <w:r>
              <w:rPr>
                <w:rFonts w:hint="eastAsia"/>
                <w:lang w:val="en-US" w:eastAsia="zh-CN"/>
              </w:rPr>
              <w:t>15</w:t>
            </w:r>
            <w:r>
              <w:rPr>
                <w:rFonts w:hint="eastAsia"/>
              </w:rPr>
              <w:t>&lt;得分≤</w:t>
            </w:r>
            <w:r>
              <w:rPr>
                <w:rFonts w:hint="eastAsia"/>
                <w:lang w:val="en-US" w:eastAsia="zh-CN"/>
              </w:rPr>
              <w:t>20</w:t>
            </w:r>
            <w:r>
              <w:rPr>
                <w:rFonts w:hint="eastAsia"/>
              </w:rPr>
              <w:t>；</w:t>
            </w:r>
          </w:p>
          <w:p>
            <w:pPr>
              <w:widowControl/>
              <w:spacing w:line="360" w:lineRule="exact"/>
              <w:ind w:right="108" w:firstLine="411" w:firstLineChars="196"/>
            </w:pPr>
            <w:r>
              <w:rPr>
                <w:rFonts w:hint="eastAsia"/>
              </w:rPr>
              <w:t>（3）中：实施方案较全面不够合理，可行性和可操作性一般，</w:t>
            </w:r>
            <w:r>
              <w:rPr>
                <w:rFonts w:hint="eastAsia"/>
                <w:lang w:val="en-US" w:eastAsia="zh-CN"/>
              </w:rPr>
              <w:t>10</w:t>
            </w:r>
            <w:r>
              <w:rPr>
                <w:rFonts w:hint="eastAsia"/>
              </w:rPr>
              <w:t>&lt;得分≤</w:t>
            </w:r>
            <w:r>
              <w:rPr>
                <w:rFonts w:hint="eastAsia"/>
                <w:lang w:val="en-US" w:eastAsia="zh-CN"/>
              </w:rPr>
              <w:t>15</w:t>
            </w:r>
            <w:r>
              <w:rPr>
                <w:rFonts w:hint="eastAsia"/>
              </w:rPr>
              <w:t>；</w:t>
            </w:r>
          </w:p>
          <w:p>
            <w:pPr>
              <w:widowControl/>
              <w:spacing w:line="360" w:lineRule="exact"/>
              <w:ind w:right="108" w:firstLine="411" w:firstLineChars="196"/>
            </w:pPr>
            <w:r>
              <w:rPr>
                <w:rFonts w:hint="eastAsia"/>
              </w:rPr>
              <w:t>（4）差：实施方案不全，可行性和可操作性较差，得分为</w:t>
            </w:r>
            <w:r>
              <w:rPr>
                <w:rFonts w:hint="eastAsia"/>
                <w:lang w:val="en-US" w:eastAsia="zh-CN"/>
              </w:rPr>
              <w:t>5</w:t>
            </w:r>
            <w:r>
              <w:rPr>
                <w:rFonts w:hint="eastAsia"/>
              </w:rPr>
              <w:t>。</w:t>
            </w:r>
          </w:p>
          <w:p>
            <w:pPr>
              <w:widowControl/>
              <w:spacing w:line="360" w:lineRule="exact"/>
              <w:ind w:right="108" w:firstLine="420" w:firstLineChars="200"/>
              <w:rPr>
                <w:rFonts w:hint="eastAsia"/>
                <w:highlight w:val="none"/>
                <w:lang w:val="en-US" w:eastAsia="zh-CN"/>
              </w:rPr>
            </w:pPr>
            <w:r>
              <w:rPr>
                <w:rFonts w:hint="eastAsia"/>
              </w:rPr>
              <w:t>注：供应商需针对本项目提供含服务体系、拟投入人员、应急预案、</w:t>
            </w:r>
            <w:r>
              <w:rPr>
                <w:rFonts w:hint="eastAsia"/>
                <w:lang w:eastAsia="zh-CN"/>
              </w:rPr>
              <w:t>退换货方案、</w:t>
            </w:r>
            <w:r>
              <w:rPr>
                <w:rFonts w:hint="eastAsia"/>
              </w:rPr>
              <w:t>质量控制措施的实施方案，不提供相关资料不得分。</w:t>
            </w:r>
          </w:p>
          <w:p>
            <w:pPr>
              <w:widowControl/>
              <w:spacing w:line="360" w:lineRule="exact"/>
              <w:ind w:right="108" w:firstLine="420" w:firstLineChars="200"/>
              <w:rPr>
                <w:rFonts w:hint="default" w:eastAsiaTheme="minorEastAsia"/>
                <w:highlight w:val="none"/>
                <w:lang w:val="en-US" w:eastAsia="zh-CN"/>
              </w:rPr>
            </w:pPr>
          </w:p>
        </w:tc>
        <w:tc>
          <w:tcPr>
            <w:tcW w:w="1440"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10"/>
              <w:jc w:val="center"/>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25</w:t>
            </w:r>
          </w:p>
        </w:tc>
      </w:tr>
      <w:tr>
        <w:tblPrEx>
          <w:tblCellMar>
            <w:top w:w="0" w:type="dxa"/>
            <w:left w:w="108" w:type="dxa"/>
            <w:bottom w:w="67" w:type="dxa"/>
            <w:right w:w="0" w:type="dxa"/>
          </w:tblCellMar>
        </w:tblPrEx>
        <w:trPr>
          <w:trHeight w:val="295" w:hRule="atLeast"/>
          <w:jc w:val="center"/>
        </w:trPr>
        <w:tc>
          <w:tcPr>
            <w:tcW w:w="655"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2</w:t>
            </w:r>
          </w:p>
        </w:tc>
        <w:tc>
          <w:tcPr>
            <w:tcW w:w="1797"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hint="default" w:ascii="仿宋" w:hAnsi="仿宋" w:eastAsia="仿宋" w:cs="Times New Roman"/>
                <w:sz w:val="24"/>
                <w:szCs w:val="24"/>
                <w:highlight w:val="none"/>
                <w:lang w:val="en-US" w:eastAsia="zh-CN"/>
              </w:rPr>
            </w:pPr>
            <w:r>
              <w:rPr>
                <w:rStyle w:val="8"/>
                <w:rFonts w:hint="eastAsia" w:ascii="仿宋" w:hAnsi="仿宋" w:eastAsia="仿宋" w:cs="Times New Roman"/>
                <w:sz w:val="24"/>
                <w:szCs w:val="24"/>
                <w:highlight w:val="none"/>
                <w:lang w:val="en-US" w:eastAsia="zh-CN"/>
              </w:rPr>
              <w:t>管理体系认证</w:t>
            </w:r>
          </w:p>
        </w:tc>
        <w:tc>
          <w:tcPr>
            <w:tcW w:w="6134"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rPr>
                <w:rFonts w:hint="eastAsia"/>
                <w:highlight w:val="none"/>
                <w:lang w:val="en-US" w:eastAsia="zh-CN"/>
              </w:rPr>
            </w:pPr>
            <w:r>
              <w:rPr>
                <w:rFonts w:hint="eastAsia"/>
                <w:highlight w:val="none"/>
                <w:lang w:val="en-US" w:eastAsia="zh-CN"/>
              </w:rPr>
              <w:t>具有在有效期内的以下证书：1.ISO9001质量管理体系认证；2.ISO14001环境管理体系认证； 3、ISO45001职业健康安全管理体系认证；全部满足得5分，任意一项不满足扣2分，扣完为止。</w:t>
            </w:r>
          </w:p>
          <w:p>
            <w:pPr>
              <w:widowControl/>
              <w:spacing w:line="360" w:lineRule="exact"/>
              <w:ind w:right="108" w:firstLine="420" w:firstLineChars="200"/>
              <w:rPr>
                <w:rFonts w:hint="eastAsia"/>
                <w:highlight w:val="none"/>
                <w:lang w:val="en-US" w:eastAsia="zh-CN"/>
              </w:rPr>
            </w:pPr>
            <w:r>
              <w:rPr>
                <w:rFonts w:hint="eastAsia"/>
                <w:highlight w:val="none"/>
                <w:lang w:val="en-US" w:eastAsia="zh-CN"/>
              </w:rPr>
              <w:t>注：需在投标文件中提供在有效期内的相关证书扫描件（或复印件），并加盖单位公章，否则不得分。并须同时提供在“全国认证认可信息公共服务平台”对体系证书的信息查询截图作为评审依据，已失效或撤销的不得分。</w:t>
            </w:r>
          </w:p>
        </w:tc>
        <w:tc>
          <w:tcPr>
            <w:tcW w:w="1440"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w:t>
            </w:r>
          </w:p>
        </w:tc>
      </w:tr>
      <w:tr>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highlight w:val="none"/>
              </w:rPr>
            </w:pPr>
            <w:r>
              <w:rPr>
                <w:rStyle w:val="8"/>
                <w:rFonts w:ascii="仿宋" w:hAnsi="仿宋" w:eastAsia="仿宋" w:cs="Times New Roman"/>
                <w:sz w:val="24"/>
                <w:szCs w:val="24"/>
                <w:highlight w:val="none"/>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wordWrap w:val="0"/>
              <w:spacing w:line="360" w:lineRule="auto"/>
              <w:jc w:val="left"/>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 xml:space="preserve">    </w:t>
            </w:r>
            <w:r>
              <w:rPr>
                <w:rFonts w:hint="eastAsia"/>
                <w:highlight w:val="none"/>
              </w:rPr>
              <w:t>近三年承接过同类食材配送项目业绩，每提供一项业绩，得1分，本项累计最高得5分。服务单位须附业绩合同关键页复印件，不提供相关证明不得分。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5</w:t>
            </w:r>
          </w:p>
        </w:tc>
      </w:tr>
      <w:tr>
        <w:tblPrEx>
          <w:tblCellMar>
            <w:top w:w="0" w:type="dxa"/>
            <w:left w:w="108" w:type="dxa"/>
            <w:bottom w:w="67" w:type="dxa"/>
            <w:right w:w="0" w:type="dxa"/>
          </w:tblCellMar>
        </w:tblPrEx>
        <w:trPr>
          <w:trHeight w:val="2363"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hint="eastAsia" w:ascii="仿宋" w:hAnsi="仿宋" w:eastAsia="仿宋" w:cs="Times New Roman"/>
                <w:sz w:val="24"/>
                <w:szCs w:val="24"/>
                <w:highlight w:val="none"/>
                <w:lang w:eastAsia="zh-CN"/>
              </w:rPr>
              <w:t>储存</w:t>
            </w:r>
            <w:r>
              <w:rPr>
                <w:rStyle w:val="8"/>
                <w:rFonts w:ascii="仿宋" w:hAnsi="仿宋" w:eastAsia="仿宋" w:cs="Times New Roman"/>
                <w:sz w:val="24"/>
                <w:szCs w:val="24"/>
                <w:highlight w:val="none"/>
              </w:rPr>
              <w:t>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rPr>
                <w:rFonts w:hint="eastAsia"/>
                <w:highlight w:val="none"/>
                <w:lang w:eastAsia="zh-CN"/>
              </w:rPr>
            </w:pPr>
            <w:r>
              <w:rPr>
                <w:rFonts w:hint="eastAsia"/>
                <w:highlight w:val="none"/>
              </w:rPr>
              <w:t>1.服务单位投入配送车辆，每1辆车得</w:t>
            </w:r>
            <w:r>
              <w:rPr>
                <w:rFonts w:hint="eastAsia"/>
                <w:highlight w:val="none"/>
                <w:lang w:val="en-US" w:eastAsia="zh-CN"/>
              </w:rPr>
              <w:t>2</w:t>
            </w:r>
            <w:r>
              <w:rPr>
                <w:rFonts w:hint="eastAsia"/>
                <w:highlight w:val="none"/>
              </w:rPr>
              <w:t>分，最高得</w:t>
            </w:r>
            <w:r>
              <w:rPr>
                <w:rFonts w:hint="eastAsia"/>
                <w:highlight w:val="none"/>
                <w:lang w:val="en-US" w:eastAsia="zh-CN"/>
              </w:rPr>
              <w:t>8</w:t>
            </w:r>
            <w:r>
              <w:rPr>
                <w:rFonts w:hint="eastAsia"/>
                <w:highlight w:val="none"/>
              </w:rPr>
              <w:t>分；配送车辆中含有冷藏车的，每1辆</w:t>
            </w:r>
            <w:r>
              <w:rPr>
                <w:rFonts w:hint="eastAsia"/>
                <w:highlight w:val="none"/>
                <w:lang w:eastAsia="zh-CN"/>
              </w:rPr>
              <w:t>加</w:t>
            </w:r>
            <w:r>
              <w:rPr>
                <w:rFonts w:hint="eastAsia"/>
                <w:highlight w:val="none"/>
                <w:lang w:val="en-US" w:eastAsia="zh-CN"/>
              </w:rPr>
              <w:t>1</w:t>
            </w:r>
            <w:r>
              <w:rPr>
                <w:rFonts w:hint="eastAsia"/>
                <w:highlight w:val="none"/>
              </w:rPr>
              <w:t>分，最高</w:t>
            </w:r>
            <w:r>
              <w:rPr>
                <w:rFonts w:hint="eastAsia"/>
                <w:highlight w:val="none"/>
                <w:lang w:eastAsia="zh-CN"/>
              </w:rPr>
              <w:t>加</w:t>
            </w:r>
            <w:r>
              <w:rPr>
                <w:rFonts w:hint="eastAsia"/>
                <w:highlight w:val="none"/>
                <w:lang w:val="en-US" w:eastAsia="zh-CN"/>
              </w:rPr>
              <w:t>2</w:t>
            </w:r>
            <w:r>
              <w:rPr>
                <w:rFonts w:hint="eastAsia"/>
                <w:highlight w:val="none"/>
              </w:rPr>
              <w:t>分。</w:t>
            </w:r>
            <w:r>
              <w:rPr>
                <w:rFonts w:hint="eastAsia"/>
                <w:highlight w:val="none"/>
                <w:lang w:eastAsia="zh-CN"/>
              </w:rPr>
              <w:t>配送车辆最高得分为</w:t>
            </w:r>
            <w:r>
              <w:rPr>
                <w:rFonts w:hint="eastAsia"/>
                <w:highlight w:val="none"/>
                <w:lang w:val="en-US" w:eastAsia="zh-CN"/>
              </w:rPr>
              <w:t>10</w:t>
            </w:r>
            <w:r>
              <w:rPr>
                <w:rFonts w:hint="eastAsia"/>
                <w:highlight w:val="none"/>
                <w:lang w:eastAsia="zh-CN"/>
              </w:rPr>
              <w:t>分。</w:t>
            </w:r>
          </w:p>
          <w:p>
            <w:pPr>
              <w:widowControl/>
              <w:spacing w:line="360" w:lineRule="exact"/>
              <w:ind w:right="108" w:firstLine="420" w:firstLineChars="200"/>
              <w:rPr>
                <w:rFonts w:hint="default"/>
                <w:highlight w:val="none"/>
                <w:lang w:val="en-US" w:eastAsia="zh-CN"/>
              </w:rPr>
            </w:pPr>
            <w:r>
              <w:rPr>
                <w:rFonts w:hint="eastAsia"/>
                <w:highlight w:val="none"/>
                <w:lang w:val="en-US" w:eastAsia="zh-CN"/>
              </w:rPr>
              <w:t>2.服务单位自有或租赁固定仓储场所的，得2分，仓储场所具有专门冷藏冰冻库的，加1分；本项最高得3分。</w:t>
            </w:r>
          </w:p>
          <w:p>
            <w:pPr>
              <w:widowControl/>
              <w:spacing w:line="360" w:lineRule="exact"/>
              <w:ind w:right="108" w:firstLine="420" w:firstLineChars="200"/>
              <w:rPr>
                <w:highlight w:val="none"/>
              </w:rPr>
            </w:pPr>
            <w:r>
              <w:rPr>
                <w:rFonts w:hint="eastAsia"/>
                <w:highlight w:val="none"/>
                <w:lang w:val="en-US" w:eastAsia="zh-CN"/>
              </w:rPr>
              <w:t>3</w:t>
            </w:r>
            <w:r>
              <w:rPr>
                <w:rFonts w:hint="eastAsia"/>
                <w:highlight w:val="none"/>
              </w:rPr>
              <w:t>.</w:t>
            </w:r>
            <w:r>
              <w:rPr>
                <w:rFonts w:hint="eastAsia"/>
                <w:highlight w:val="none"/>
                <w:lang w:eastAsia="zh-CN"/>
              </w:rPr>
              <w:t>储存仓库及</w:t>
            </w:r>
            <w:r>
              <w:rPr>
                <w:rFonts w:hint="eastAsia"/>
                <w:highlight w:val="none"/>
              </w:rPr>
              <w:t>配送车辆定期消毒清洗的，提供相关佐证材料的，</w:t>
            </w:r>
            <w:r>
              <w:rPr>
                <w:rFonts w:hint="eastAsia"/>
                <w:highlight w:val="none"/>
                <w:lang w:eastAsia="zh-CN"/>
              </w:rPr>
              <w:t>得</w:t>
            </w:r>
            <w:r>
              <w:rPr>
                <w:rFonts w:hint="eastAsia"/>
                <w:highlight w:val="none"/>
                <w:lang w:val="en-US" w:eastAsia="zh-CN"/>
              </w:rPr>
              <w:t>2</w:t>
            </w:r>
            <w:r>
              <w:rPr>
                <w:rFonts w:hint="eastAsia"/>
                <w:highlight w:val="none"/>
              </w:rPr>
              <w:t>分。不提供相关证明不</w:t>
            </w:r>
            <w:r>
              <w:rPr>
                <w:rFonts w:hint="eastAsia"/>
                <w:highlight w:val="none"/>
                <w:lang w:eastAsia="zh-CN"/>
              </w:rPr>
              <w:t>加</w:t>
            </w:r>
            <w:r>
              <w:rPr>
                <w:rFonts w:hint="eastAsia"/>
                <w:highlight w:val="none"/>
              </w:rPr>
              <w:t>分。</w:t>
            </w:r>
          </w:p>
          <w:p>
            <w:pPr>
              <w:widowControl/>
              <w:spacing w:line="360" w:lineRule="exact"/>
              <w:ind w:right="108" w:firstLine="411" w:firstLineChars="196"/>
              <w:rPr>
                <w:rFonts w:ascii="仿宋" w:hAnsi="仿宋" w:eastAsia="仿宋" w:cs="Times New Roman"/>
                <w:color w:val="000000"/>
                <w:kern w:val="0"/>
                <w:sz w:val="24"/>
                <w:szCs w:val="24"/>
                <w:highlight w:val="none"/>
              </w:rPr>
            </w:pPr>
            <w:r>
              <w:rPr>
                <w:rFonts w:hint="eastAsia"/>
                <w:highlight w:val="none"/>
              </w:rPr>
              <w:t>注：服务单位需提供配送车辆的车辆行驶证复印件及车辆照片（如为租赁车辆须提供租赁合同关键页复印件，租赁合同签订日期需早于公告发布日期，且合同期限不少于半年），不提供相关材料不得分。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15</w:t>
            </w:r>
          </w:p>
        </w:tc>
      </w:tr>
      <w:tr>
        <w:tblPrEx>
          <w:tblCellMar>
            <w:top w:w="0" w:type="dxa"/>
            <w:left w:w="108" w:type="dxa"/>
            <w:bottom w:w="67" w:type="dxa"/>
            <w:right w:w="0" w:type="dxa"/>
          </w:tblCellMar>
        </w:tblPrEx>
        <w:trPr>
          <w:trHeight w:val="85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ascii="仿宋" w:hAnsi="仿宋" w:eastAsia="仿宋" w:cs="Times New Roman"/>
                <w:sz w:val="24"/>
                <w:szCs w:val="24"/>
                <w:highlight w:val="none"/>
              </w:rPr>
              <w:t>食材</w:t>
            </w:r>
            <w:r>
              <w:rPr>
                <w:rStyle w:val="8"/>
                <w:rFonts w:hint="eastAsia" w:ascii="仿宋" w:hAnsi="仿宋" w:eastAsia="仿宋" w:cs="Times New Roman"/>
                <w:sz w:val="24"/>
                <w:szCs w:val="24"/>
                <w:highlight w:val="none"/>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rPr>
                <w:highlight w:val="none"/>
              </w:rPr>
            </w:pPr>
            <w:r>
              <w:rPr>
                <w:rFonts w:hint="eastAsia"/>
                <w:highlight w:val="none"/>
                <w:lang w:val="en-US" w:eastAsia="zh-CN"/>
              </w:rPr>
              <w:t>1</w:t>
            </w:r>
            <w:r>
              <w:rPr>
                <w:rFonts w:hint="eastAsia"/>
                <w:highlight w:val="none"/>
              </w:rPr>
              <w:t>.服务单位与当地经营大型农贸市场或与大型农贸市场有稳定合作关系，得5 分。(服务单位提供与有经营大型农贸市场或与大型农贸市场的合作协议或者合同复印件加盖投标人公章，不提供不得分。)</w:t>
            </w:r>
          </w:p>
          <w:p>
            <w:pPr>
              <w:widowControl/>
              <w:spacing w:line="360" w:lineRule="exact"/>
              <w:ind w:right="108" w:firstLine="420" w:firstLineChars="200"/>
              <w:rPr>
                <w:rFonts w:ascii="仿宋" w:hAnsi="仿宋" w:eastAsia="仿宋" w:cs="Times New Roman"/>
                <w:color w:val="000000"/>
                <w:kern w:val="0"/>
                <w:sz w:val="24"/>
                <w:szCs w:val="24"/>
                <w:highlight w:val="none"/>
              </w:rPr>
            </w:pPr>
            <w:r>
              <w:rPr>
                <w:rFonts w:hint="eastAsia"/>
                <w:highlight w:val="none"/>
                <w:lang w:val="en-US" w:eastAsia="zh-CN"/>
              </w:rPr>
              <w:t>2</w:t>
            </w:r>
            <w:r>
              <w:rPr>
                <w:rFonts w:hint="eastAsia"/>
                <w:highlight w:val="none"/>
              </w:rPr>
              <w:t>.服务单位自有或</w:t>
            </w:r>
            <w:r>
              <w:rPr>
                <w:rFonts w:hint="eastAsia"/>
                <w:highlight w:val="none"/>
                <w:lang w:eastAsia="zh-CN"/>
              </w:rPr>
              <w:t>相关资质企业合作</w:t>
            </w:r>
            <w:r>
              <w:rPr>
                <w:rFonts w:hint="eastAsia"/>
                <w:highlight w:val="none"/>
              </w:rPr>
              <w:t>原材料生产基地的，如蔬菜、肉类、粮食、水果、水产品、副食品等，每提供 1项得1 分，满分5分。(提供自有基地相关的产权证明复印件加盖投标人公章，如</w:t>
            </w:r>
            <w:r>
              <w:rPr>
                <w:rFonts w:hint="eastAsia"/>
                <w:highlight w:val="none"/>
                <w:lang w:eastAsia="zh-CN"/>
              </w:rPr>
              <w:t>合作</w:t>
            </w:r>
            <w:r>
              <w:rPr>
                <w:rFonts w:hint="eastAsia"/>
                <w:highlight w:val="none"/>
              </w:rPr>
              <w:t>原材料基地的提供</w:t>
            </w:r>
            <w:r>
              <w:rPr>
                <w:rFonts w:hint="eastAsia"/>
                <w:highlight w:val="none"/>
                <w:lang w:eastAsia="zh-CN"/>
              </w:rPr>
              <w:t>合作</w:t>
            </w:r>
            <w:r>
              <w:rPr>
                <w:rFonts w:hint="eastAsia"/>
                <w:highlight w:val="none"/>
              </w:rPr>
              <w:t>合同复印件</w:t>
            </w:r>
            <w:r>
              <w:rPr>
                <w:rFonts w:hint="eastAsia"/>
                <w:highlight w:val="none"/>
                <w:lang w:eastAsia="zh-CN"/>
              </w:rPr>
              <w:t>、合作企业的有效的营业执照或生产许可证复印件</w:t>
            </w:r>
            <w:r>
              <w:rPr>
                <w:rFonts w:hint="eastAsia"/>
                <w:highlight w:val="none"/>
              </w:rPr>
              <w:t>加盖公章，否则不得分。)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10</w:t>
            </w:r>
          </w:p>
        </w:tc>
      </w:tr>
      <w:tr>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6</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ascii="仿宋" w:hAnsi="仿宋" w:eastAsia="仿宋" w:cs="Times New Roman"/>
                <w:sz w:val="24"/>
                <w:szCs w:val="24"/>
                <w:highlight w:val="none"/>
              </w:rPr>
              <w:t>食材</w:t>
            </w:r>
            <w:r>
              <w:rPr>
                <w:rStyle w:val="8"/>
                <w:rFonts w:hint="eastAsia" w:ascii="仿宋" w:hAnsi="仿宋" w:eastAsia="仿宋" w:cs="Times New Roman"/>
                <w:sz w:val="24"/>
                <w:szCs w:val="24"/>
                <w:highlight w:val="none"/>
              </w:rPr>
              <w:t>安全</w:t>
            </w:r>
            <w:r>
              <w:rPr>
                <w:rStyle w:val="8"/>
                <w:rFonts w:ascii="仿宋" w:hAnsi="仿宋" w:eastAsia="仿宋" w:cs="Times New Roman"/>
                <w:sz w:val="24"/>
                <w:szCs w:val="24"/>
                <w:highlight w:val="none"/>
              </w:rPr>
              <w:t>保障</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20" w:firstLineChars="200"/>
              <w:rPr>
                <w:highlight w:val="none"/>
              </w:rPr>
            </w:pPr>
            <w:r>
              <w:rPr>
                <w:rFonts w:hint="eastAsia"/>
                <w:highlight w:val="none"/>
              </w:rPr>
              <w:t>1.服务单位提供</w:t>
            </w:r>
            <w:r>
              <w:rPr>
                <w:rFonts w:hint="eastAsia"/>
                <w:highlight w:val="none"/>
                <w:lang w:eastAsia="zh-CN"/>
              </w:rPr>
              <w:t>截至报名期限前</w:t>
            </w:r>
            <w:r>
              <w:rPr>
                <w:rFonts w:hint="eastAsia"/>
                <w:highlight w:val="none"/>
                <w:lang w:val="en-US" w:eastAsia="zh-CN"/>
              </w:rPr>
              <w:t>3个月</w:t>
            </w:r>
            <w:r>
              <w:rPr>
                <w:rFonts w:hint="eastAsia"/>
                <w:highlight w:val="none"/>
              </w:rPr>
              <w:t>获得政府行政管理部门或有资质的第三方检测机构出具的对主要食材米、粉、面、蔬菜、禽畜生肉、禽蛋、水产品、副食品等的检验合格质检报告，每提供一项原材料报告得</w:t>
            </w:r>
            <w:r>
              <w:rPr>
                <w:rFonts w:hint="eastAsia"/>
                <w:highlight w:val="none"/>
                <w:lang w:val="en-US" w:eastAsia="zh-CN"/>
              </w:rPr>
              <w:t>1</w:t>
            </w:r>
            <w:r>
              <w:rPr>
                <w:rFonts w:hint="eastAsia"/>
                <w:highlight w:val="none"/>
              </w:rPr>
              <w:t>分，最高得分为</w:t>
            </w:r>
            <w:r>
              <w:rPr>
                <w:rFonts w:hint="eastAsia"/>
                <w:highlight w:val="none"/>
                <w:lang w:val="en-US" w:eastAsia="zh-CN"/>
              </w:rPr>
              <w:t>5</w:t>
            </w:r>
            <w:r>
              <w:rPr>
                <w:rFonts w:hint="eastAsia"/>
                <w:highlight w:val="none"/>
              </w:rPr>
              <w:t>分。</w:t>
            </w:r>
          </w:p>
          <w:p>
            <w:pPr>
              <w:widowControl/>
              <w:ind w:firstLine="420" w:firstLineChars="200"/>
              <w:jc w:val="left"/>
              <w:rPr>
                <w:rFonts w:hint="eastAsia"/>
                <w:highlight w:val="none"/>
              </w:rPr>
            </w:pPr>
            <w:r>
              <w:rPr>
                <w:rFonts w:hint="eastAsia"/>
                <w:highlight w:val="none"/>
              </w:rPr>
              <w:t>2.服务单位对食品安全进行安全责任投保，投保金额不少于3000万元的，或单次赔保金额不少于300万元的，得10分；投保金额不少于1000万元的，或单次赔保金额不少于200万元的，得5分；投保金额不少于500万元的，或单次赔保金额不少于100万元的，得3分；投保金额不少于100万元的，或单次赔保金额不少于50万元的，得1分。服务单位需提供有效的食品安全责任保险合同，不提供相关证明不得分。</w:t>
            </w:r>
          </w:p>
          <w:p>
            <w:pPr>
              <w:pStyle w:val="2"/>
              <w:ind w:firstLine="420" w:firstLineChars="200"/>
              <w:rPr>
                <w:rFonts w:hint="default" w:asciiTheme="minorHAnsi" w:hAnsiTheme="minorHAnsi"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3.</w:t>
            </w:r>
            <w:r>
              <w:rPr>
                <w:rFonts w:hint="eastAsia" w:asciiTheme="minorHAnsi" w:hAnsiTheme="minorHAnsi" w:cstheme="minorBidi"/>
                <w:kern w:val="2"/>
                <w:sz w:val="21"/>
                <w:szCs w:val="22"/>
                <w:highlight w:val="none"/>
                <w:lang w:val="en-US" w:eastAsia="zh-CN" w:bidi="ar-SA"/>
              </w:rPr>
              <w:t>服务单位从业人员是否具备食品安全管理人员证（或考试合格证明）、食品检验证书，每提供一名持证人员得1分，最高得5分；需提供持证人员近半年在本单位的社保流水。</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20</w:t>
            </w:r>
          </w:p>
        </w:tc>
      </w:tr>
      <w:tr>
        <w:tblPrEx>
          <w:tblCellMar>
            <w:top w:w="0" w:type="dxa"/>
            <w:left w:w="108" w:type="dxa"/>
            <w:bottom w:w="67" w:type="dxa"/>
            <w:right w:w="0" w:type="dxa"/>
          </w:tblCellMar>
        </w:tblPrEx>
        <w:trPr>
          <w:trHeight w:val="1210" w:hRule="atLeast"/>
          <w:jc w:val="center"/>
        </w:trPr>
        <w:tc>
          <w:tcPr>
            <w:tcW w:w="655"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lang w:val="en-US" w:eastAsia="zh-CN"/>
              </w:rPr>
              <w:t>7</w:t>
            </w:r>
            <w:r>
              <w:rPr>
                <w:rFonts w:hint="eastAsia" w:ascii="仿宋" w:hAnsi="仿宋" w:eastAsia="仿宋" w:cs="Times New Roman"/>
                <w:color w:val="000000"/>
                <w:kern w:val="0"/>
                <w:sz w:val="24"/>
                <w:szCs w:val="24"/>
                <w:highlight w:val="none"/>
              </w:rPr>
              <w:t xml:space="preserve"> </w:t>
            </w:r>
          </w:p>
        </w:tc>
        <w:tc>
          <w:tcPr>
            <w:tcW w:w="1797"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hint="eastAsia" w:ascii="仿宋" w:hAnsi="仿宋" w:eastAsia="仿宋" w:cs="Times New Roman"/>
                <w:sz w:val="24"/>
                <w:szCs w:val="24"/>
                <w:highlight w:val="none"/>
              </w:rPr>
              <w:t>食材</w:t>
            </w:r>
            <w:r>
              <w:rPr>
                <w:rStyle w:val="8"/>
                <w:rFonts w:ascii="仿宋" w:hAnsi="仿宋" w:eastAsia="仿宋" w:cs="Times New Roman"/>
                <w:sz w:val="24"/>
                <w:szCs w:val="24"/>
                <w:highlight w:val="none"/>
              </w:rPr>
              <w:t>价格</w:t>
            </w:r>
          </w:p>
        </w:tc>
        <w:tc>
          <w:tcPr>
            <w:tcW w:w="6134" w:type="dxa"/>
            <w:tcBorders>
              <w:top w:val="single" w:color="000000" w:sz="4" w:space="0"/>
              <w:left w:val="single" w:color="000000" w:sz="4" w:space="0"/>
              <w:bottom w:val="single" w:color="auto" w:sz="4" w:space="0"/>
              <w:right w:val="single" w:color="000000" w:sz="4" w:space="0"/>
            </w:tcBorders>
            <w:vAlign w:val="center"/>
          </w:tcPr>
          <w:p>
            <w:pPr>
              <w:widowControl/>
              <w:ind w:firstLine="480"/>
              <w:jc w:val="left"/>
              <w:rPr>
                <w:rFonts w:hint="eastAsia" w:eastAsiaTheme="minorEastAsia"/>
                <w:highlight w:val="none"/>
                <w:lang w:eastAsia="zh-CN"/>
              </w:rPr>
            </w:pPr>
            <w:r>
              <w:rPr>
                <w:rFonts w:hint="eastAsia"/>
                <w:highlight w:val="none"/>
              </w:rPr>
              <w:t>以江门市发改局公布的江门市菜篮子价格为基准价格，供应商提供折扣率报价，折扣率为0不得分，折扣率每增加1%得1分，最高得分10分。</w:t>
            </w:r>
          </w:p>
        </w:tc>
        <w:tc>
          <w:tcPr>
            <w:tcW w:w="1440"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10</w:t>
            </w:r>
          </w:p>
        </w:tc>
      </w:tr>
      <w:tr>
        <w:tblPrEx>
          <w:tblCellMar>
            <w:top w:w="0" w:type="dxa"/>
            <w:left w:w="108" w:type="dxa"/>
            <w:bottom w:w="67" w:type="dxa"/>
            <w:right w:w="0" w:type="dxa"/>
          </w:tblCellMar>
        </w:tblPrEx>
        <w:trPr>
          <w:trHeight w:val="1675" w:hRule="atLeast"/>
          <w:jc w:val="center"/>
        </w:trPr>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rPr>
              <w:t>8</w:t>
            </w:r>
          </w:p>
        </w:tc>
        <w:tc>
          <w:tcPr>
            <w:tcW w:w="17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b/>
                <w:bCs/>
                <w:kern w:val="2"/>
                <w:sz w:val="24"/>
                <w:szCs w:val="24"/>
                <w:lang w:val="en-US" w:eastAsia="zh-CN" w:bidi="ar-SA"/>
              </w:rPr>
            </w:pPr>
            <w:r>
              <w:rPr>
                <w:rStyle w:val="8"/>
                <w:rFonts w:hint="eastAsia" w:ascii="仿宋" w:hAnsi="仿宋" w:eastAsia="仿宋" w:cs="Times New Roman"/>
                <w:sz w:val="24"/>
                <w:szCs w:val="24"/>
              </w:rPr>
              <w:t>现场调查</w:t>
            </w:r>
          </w:p>
        </w:tc>
        <w:tc>
          <w:tcPr>
            <w:tcW w:w="613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ind w:firstLine="420" w:firstLineChars="200"/>
              <w:rPr>
                <w:rFonts w:hint="default" w:asciiTheme="minorHAnsi" w:hAnsiTheme="minorHAnsi" w:eastAsiaTheme="minorEastAsia"/>
                <w:color w:val="auto"/>
                <w:kern w:val="2"/>
                <w:sz w:val="21"/>
                <w:szCs w:val="22"/>
                <w:lang w:val="en-US" w:eastAsia="zh-CN"/>
              </w:rPr>
            </w:pPr>
            <w:r>
              <w:rPr>
                <w:rFonts w:hint="eastAsia" w:asciiTheme="minorHAnsi" w:hAnsiTheme="minorHAnsi"/>
                <w:color w:val="auto"/>
                <w:kern w:val="2"/>
                <w:sz w:val="21"/>
                <w:szCs w:val="22"/>
                <w:lang w:eastAsia="zh-CN"/>
              </w:rPr>
              <w:t>对供应商的经营场所和仓储场所进行实地考察，综合评定等级，按照优、良、中、差等级分别得</w:t>
            </w:r>
            <w:r>
              <w:rPr>
                <w:rFonts w:hint="eastAsia" w:asciiTheme="minorHAnsi" w:hAnsiTheme="minorHAnsi"/>
                <w:color w:val="auto"/>
                <w:kern w:val="2"/>
                <w:sz w:val="21"/>
                <w:szCs w:val="22"/>
                <w:lang w:val="en-US" w:eastAsia="zh-CN"/>
              </w:rPr>
              <w:t>10、8、5、2分。发现涉及重大食品安全隐患的，经评分小组研究，直</w:t>
            </w:r>
            <w:bookmarkStart w:id="0" w:name="_GoBack"/>
            <w:bookmarkEnd w:id="0"/>
            <w:r>
              <w:rPr>
                <w:rFonts w:hint="eastAsia" w:asciiTheme="minorHAnsi" w:hAnsiTheme="minorHAnsi"/>
                <w:color w:val="auto"/>
                <w:kern w:val="2"/>
                <w:sz w:val="21"/>
                <w:szCs w:val="22"/>
                <w:lang w:val="en-US" w:eastAsia="zh-CN"/>
              </w:rPr>
              <w:t>接取消资格。</w:t>
            </w:r>
          </w:p>
          <w:p>
            <w:pPr>
              <w:pStyle w:val="2"/>
              <w:ind w:firstLine="420" w:firstLineChars="200"/>
              <w:rPr>
                <w:rFonts w:hint="eastAsia" w:asciiTheme="minorHAnsi" w:hAnsiTheme="minorHAnsi"/>
                <w:color w:val="auto"/>
                <w:kern w:val="2"/>
                <w:sz w:val="21"/>
                <w:szCs w:val="22"/>
                <w:lang w:eastAsia="zh-CN"/>
              </w:rPr>
            </w:pPr>
            <w:r>
              <w:rPr>
                <w:rFonts w:hint="eastAsia" w:asciiTheme="minorHAnsi" w:hAnsiTheme="minorHAnsi"/>
                <w:color w:val="auto"/>
                <w:kern w:val="2"/>
                <w:sz w:val="21"/>
                <w:szCs w:val="22"/>
              </w:rPr>
              <w:t>对供应商提供的方案以及现合作方（含甲方、乙方）进行</w:t>
            </w:r>
            <w:r>
              <w:rPr>
                <w:rFonts w:hint="eastAsia" w:asciiTheme="minorHAnsi" w:hAnsiTheme="minorHAnsi"/>
                <w:color w:val="auto"/>
                <w:kern w:val="2"/>
                <w:sz w:val="21"/>
                <w:szCs w:val="22"/>
                <w:lang w:eastAsia="zh-CN"/>
              </w:rPr>
              <w:t>现场</w:t>
            </w:r>
            <w:r>
              <w:rPr>
                <w:rFonts w:hint="eastAsia" w:asciiTheme="minorHAnsi" w:hAnsiTheme="minorHAnsi"/>
                <w:color w:val="auto"/>
                <w:kern w:val="2"/>
                <w:sz w:val="21"/>
                <w:szCs w:val="22"/>
              </w:rPr>
              <w:t>抽查，发现1起隐瞒、虚构、造假，扣2分，</w:t>
            </w:r>
            <w:r>
              <w:rPr>
                <w:rFonts w:hint="eastAsia" w:asciiTheme="minorHAnsi" w:hAnsiTheme="minorHAnsi"/>
                <w:color w:val="auto"/>
                <w:kern w:val="2"/>
                <w:sz w:val="21"/>
                <w:szCs w:val="22"/>
                <w:lang w:eastAsia="zh-CN"/>
              </w:rPr>
              <w:t>扣完本项应得分为止。</w:t>
            </w:r>
          </w:p>
          <w:p>
            <w:pPr>
              <w:pStyle w:val="2"/>
              <w:ind w:firstLine="420" w:firstLineChars="200"/>
              <w:rPr>
                <w:rFonts w:hint="eastAsia" w:asciiTheme="minorHAnsi" w:hAnsiTheme="minorHAnsi"/>
                <w:color w:val="auto"/>
                <w:kern w:val="2"/>
                <w:sz w:val="21"/>
                <w:szCs w:val="22"/>
                <w:lang w:val="en-US" w:eastAsia="zh-CN"/>
              </w:rPr>
            </w:pP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10" w:rightChars="0"/>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rPr>
              <w:t>10</w:t>
            </w:r>
          </w:p>
        </w:tc>
      </w:tr>
    </w:tbl>
    <w:p>
      <w:pPr>
        <w:spacing w:line="560" w:lineRule="exact"/>
        <w:ind w:firstLine="480" w:firstLineChars="200"/>
        <w:rPr>
          <w:rFonts w:ascii="仿宋" w:hAnsi="仿宋" w:eastAsia="仿宋" w:cs="Times New Roman"/>
          <w:sz w:val="24"/>
          <w:szCs w:val="24"/>
        </w:rPr>
      </w:pPr>
    </w:p>
    <w:p>
      <w:pPr>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dobe Fan Heiti Std B">
    <w:panose1 w:val="020B0700000000000000"/>
    <w:charset w:val="88"/>
    <w:family w:val="auto"/>
    <w:pitch w:val="default"/>
    <w:sig w:usb0="00000001" w:usb1="1A0F1900" w:usb2="00000016" w:usb3="00000000" w:csb0="00120005"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21040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ODdiMDBmZTA2YTRlYzkwYmIyM2MyYTRiNzkwZDQifQ=="/>
  </w:docVars>
  <w:rsids>
    <w:rsidRoot w:val="192F1C53"/>
    <w:rsid w:val="00027A97"/>
    <w:rsid w:val="0003446D"/>
    <w:rsid w:val="000A39DD"/>
    <w:rsid w:val="000E2E33"/>
    <w:rsid w:val="000E4B69"/>
    <w:rsid w:val="000F72EC"/>
    <w:rsid w:val="0011333C"/>
    <w:rsid w:val="00114905"/>
    <w:rsid w:val="001C00E7"/>
    <w:rsid w:val="001D7913"/>
    <w:rsid w:val="002159E3"/>
    <w:rsid w:val="00253497"/>
    <w:rsid w:val="002F2FAE"/>
    <w:rsid w:val="003C2D17"/>
    <w:rsid w:val="00444802"/>
    <w:rsid w:val="00516F57"/>
    <w:rsid w:val="00531394"/>
    <w:rsid w:val="005C24A7"/>
    <w:rsid w:val="005F6C58"/>
    <w:rsid w:val="006011E3"/>
    <w:rsid w:val="006B210B"/>
    <w:rsid w:val="00715E72"/>
    <w:rsid w:val="007448B4"/>
    <w:rsid w:val="00760CDA"/>
    <w:rsid w:val="00777AAB"/>
    <w:rsid w:val="0078481B"/>
    <w:rsid w:val="007F142F"/>
    <w:rsid w:val="00863270"/>
    <w:rsid w:val="008B7D05"/>
    <w:rsid w:val="008C75BA"/>
    <w:rsid w:val="008F49A7"/>
    <w:rsid w:val="009307A7"/>
    <w:rsid w:val="00955CC6"/>
    <w:rsid w:val="00983B5C"/>
    <w:rsid w:val="00A93BDA"/>
    <w:rsid w:val="00AD3527"/>
    <w:rsid w:val="00BA1A5A"/>
    <w:rsid w:val="00BF2CDA"/>
    <w:rsid w:val="00D91FAF"/>
    <w:rsid w:val="00F32136"/>
    <w:rsid w:val="09C4763F"/>
    <w:rsid w:val="192F1C53"/>
    <w:rsid w:val="19970CE7"/>
    <w:rsid w:val="1C1924C8"/>
    <w:rsid w:val="276B739B"/>
    <w:rsid w:val="299736CD"/>
    <w:rsid w:val="2EE9C8C2"/>
    <w:rsid w:val="31A830A5"/>
    <w:rsid w:val="32E40C59"/>
    <w:rsid w:val="485339CE"/>
    <w:rsid w:val="4F8C714C"/>
    <w:rsid w:val="57E984DE"/>
    <w:rsid w:val="5F9BE7A4"/>
    <w:rsid w:val="63BA198E"/>
    <w:rsid w:val="6DA8604A"/>
    <w:rsid w:val="731C41B1"/>
    <w:rsid w:val="749B21CD"/>
    <w:rsid w:val="76F870A1"/>
    <w:rsid w:val="77FE69B3"/>
    <w:rsid w:val="79FA6ECA"/>
    <w:rsid w:val="7B7A6232"/>
    <w:rsid w:val="7BAD1F02"/>
    <w:rsid w:val="7DD8EA00"/>
    <w:rsid w:val="7DFEC971"/>
    <w:rsid w:val="7F7BEE59"/>
    <w:rsid w:val="7FDF64B2"/>
    <w:rsid w:val="BB93DDBA"/>
    <w:rsid w:val="BFEDEA1A"/>
    <w:rsid w:val="DAEB4CB2"/>
    <w:rsid w:val="DFD53690"/>
    <w:rsid w:val="E9FD3F82"/>
    <w:rsid w:val="EBCB8C98"/>
    <w:rsid w:val="EF6A32E7"/>
    <w:rsid w:val="EFFF2498"/>
    <w:rsid w:val="F35F79C1"/>
    <w:rsid w:val="F5FFDF52"/>
    <w:rsid w:val="FD4FFABE"/>
    <w:rsid w:val="FD699213"/>
    <w:rsid w:val="FEB5B2D2"/>
    <w:rsid w:val="FFFF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paragraph" w:styleId="9">
    <w:name w:val="List Paragraph"/>
    <w:basedOn w:val="1"/>
    <w:unhideWhenUsed/>
    <w:qFormat/>
    <w:uiPriority w:val="99"/>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2464</Words>
  <Characters>2551</Characters>
  <Lines>13</Lines>
  <Paragraphs>3</Paragraphs>
  <TotalTime>10</TotalTime>
  <ScaleCrop>false</ScaleCrop>
  <LinksUpToDate>false</LinksUpToDate>
  <CharactersWithSpaces>2562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2023-09-18T16:30:00Z</dcterms:created>
  <dc:creator>李耀明</dc:creator>
  <cp:lastModifiedBy>uos</cp:lastModifiedBy>
  <cp:lastPrinted>2024-11-24T11:41:00Z</cp:lastPrinted>
  <dcterms:modified xsi:type="dcterms:W3CDTF">2024-12-16T09:12:08Z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ribbonExt">
    <vt:lpwstr>{"WPSExtOfficeTab":{"OnGetEnabled":false,"OnGetVisible":false}}</vt:lpwstr>
  </property>
  <property fmtid="{D5CDD505-2E9C-101B-9397-08002B2CF9AE}" pid="4" name="ICV">
    <vt:lpwstr>FD4961E42D532608C8F45B67E87F4722_43</vt:lpwstr>
  </property>
</Properties>
</file>