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E3481">
      <w:pPr>
        <w:jc w:val="left"/>
        <w:rPr>
          <w:rFonts w:hint="eastAsia" w:ascii="宋体" w:hAnsi="宋体" w:eastAsia="宋体"/>
          <w:sz w:val="24"/>
        </w:rPr>
      </w:pPr>
      <w:r>
        <w:rPr>
          <w:rFonts w:hint="eastAsia" w:ascii="宋体" w:hAnsi="宋体" w:eastAsia="宋体"/>
          <w:sz w:val="24"/>
        </w:rPr>
        <w:t>附件</w:t>
      </w:r>
      <w:r>
        <w:rPr>
          <w:rFonts w:hint="eastAsia" w:ascii="宋体" w:hAnsi="宋体" w:eastAsia="宋体"/>
          <w:sz w:val="24"/>
          <w:lang w:val="en-US" w:eastAsia="zh-CN"/>
        </w:rPr>
        <w:t>2</w:t>
      </w:r>
      <w:r>
        <w:rPr>
          <w:rFonts w:hint="eastAsia" w:ascii="宋体" w:hAnsi="宋体" w:eastAsia="宋体"/>
          <w:sz w:val="24"/>
        </w:rPr>
        <w:t>：</w:t>
      </w:r>
    </w:p>
    <w:p w14:paraId="6B39A76D">
      <w:pPr>
        <w:spacing w:line="500" w:lineRule="exact"/>
        <w:jc w:val="center"/>
        <w:rPr>
          <w:rFonts w:hint="eastAsia" w:ascii="方正小标宋简体" w:eastAsia="方正小标宋简体"/>
          <w:sz w:val="36"/>
          <w:szCs w:val="36"/>
        </w:rPr>
      </w:pPr>
      <w:r>
        <w:rPr>
          <w:rFonts w:hint="eastAsia" w:ascii="方正小标宋简体" w:hAnsi="华文仿宋" w:eastAsia="方正小标宋简体"/>
          <w:sz w:val="36"/>
          <w:szCs w:val="36"/>
          <w:lang w:val="en-US" w:eastAsia="zh-CN"/>
        </w:rPr>
        <w:t>省道273线K68~K85段路面挖补服务采购</w:t>
      </w:r>
      <w:r>
        <w:rPr>
          <w:rFonts w:hint="eastAsia" w:ascii="方正小标宋简体" w:hAnsi="华文仿宋" w:eastAsia="方正小标宋简体"/>
          <w:sz w:val="36"/>
          <w:szCs w:val="36"/>
        </w:rPr>
        <w:t>评分标准</w:t>
      </w:r>
    </w:p>
    <w:p w14:paraId="24343A2B">
      <w:pPr>
        <w:pStyle w:val="2"/>
        <w:rPr>
          <w:rFonts w:hint="eastAsia" w:hAnsi="宋体" w:cs="宋体"/>
        </w:rPr>
      </w:pPr>
    </w:p>
    <w:p w14:paraId="4206A63B">
      <w:pPr>
        <w:spacing w:line="360" w:lineRule="auto"/>
        <w:ind w:firstLine="480" w:firstLineChars="200"/>
        <w:rPr>
          <w:rFonts w:ascii="宋体" w:hAnsi="宋体" w:eastAsia="宋体" w:cs="宋体"/>
          <w:sz w:val="24"/>
        </w:rPr>
      </w:pPr>
      <w:r>
        <w:rPr>
          <w:rFonts w:hint="eastAsia" w:ascii="宋体" w:hAnsi="宋体" w:eastAsia="宋体" w:cs="宋体"/>
          <w:sz w:val="24"/>
        </w:rPr>
        <w:t>一、评分选取方式</w:t>
      </w:r>
    </w:p>
    <w:p w14:paraId="24EFD3DE">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本次采购【采用自行采购的综合选取】的方式确定中选机构。评分小组先对报名的中介机构进行初步评审；然后对满足初步评审要求的中介机构，按照详细评审规定的评分标准进行打分。</w:t>
      </w:r>
    </w:p>
    <w:p w14:paraId="045990EB">
      <w:pPr>
        <w:spacing w:line="360" w:lineRule="auto"/>
        <w:ind w:firstLine="480" w:firstLineChars="200"/>
        <w:rPr>
          <w:rFonts w:hint="eastAsia" w:ascii="宋体" w:hAnsi="宋体" w:eastAsia="宋体" w:cs="宋体"/>
          <w:sz w:val="24"/>
        </w:rPr>
      </w:pPr>
      <w:r>
        <w:rPr>
          <w:rFonts w:hint="eastAsia" w:ascii="宋体" w:hAnsi="宋体" w:eastAsia="宋体" w:cs="宋体"/>
          <w:sz w:val="24"/>
        </w:rPr>
        <w:t>评分小组成员对中介机构的详细评审各评审因素进行评分，计算出各评审因素的算术平均值后合计总和作为该中介机构的得分，并按得分由高到低顺序推荐中选机构。</w:t>
      </w:r>
    </w:p>
    <w:p w14:paraId="59C9A337">
      <w:pPr>
        <w:spacing w:line="360" w:lineRule="auto"/>
        <w:ind w:firstLine="480" w:firstLineChars="200"/>
        <w:rPr>
          <w:rFonts w:ascii="宋体" w:hAnsi="宋体" w:eastAsia="宋体" w:cs="宋体"/>
          <w:sz w:val="24"/>
        </w:rPr>
      </w:pPr>
      <w:r>
        <w:rPr>
          <w:rFonts w:hint="eastAsia" w:ascii="宋体" w:hAnsi="宋体" w:eastAsia="宋体"/>
          <w:sz w:val="24"/>
        </w:rPr>
        <w:t>如有两家或以上中介机构的综合得分相同且得分均为最高，</w:t>
      </w:r>
      <w:r>
        <w:rPr>
          <w:rFonts w:hint="eastAsia" w:ascii="宋体" w:hAnsi="宋体" w:eastAsia="宋体" w:cs="宋体"/>
          <w:sz w:val="24"/>
        </w:rPr>
        <w:t>评分小组视中介机构的情况综合比较，投票确定其名次。</w:t>
      </w:r>
    </w:p>
    <w:p w14:paraId="724BDE9B">
      <w:pPr>
        <w:spacing w:line="360" w:lineRule="auto"/>
        <w:ind w:firstLine="480" w:firstLineChars="200"/>
        <w:rPr>
          <w:rFonts w:hint="eastAsia" w:ascii="宋体" w:hAnsi="宋体" w:eastAsia="宋体"/>
          <w:sz w:val="24"/>
        </w:rPr>
      </w:pPr>
      <w:r>
        <w:rPr>
          <w:rFonts w:hint="eastAsia" w:ascii="宋体" w:hAnsi="宋体" w:eastAsia="宋体" w:cs="宋体"/>
          <w:sz w:val="24"/>
        </w:rPr>
        <w:t>二、初步评审</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713"/>
      </w:tblGrid>
      <w:tr w14:paraId="0233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809" w:type="dxa"/>
            <w:shd w:val="clear" w:color="auto" w:fill="auto"/>
            <w:noWrap w:val="0"/>
            <w:vAlign w:val="center"/>
          </w:tcPr>
          <w:p w14:paraId="766815AE">
            <w:pPr>
              <w:spacing w:line="360" w:lineRule="auto"/>
              <w:jc w:val="center"/>
              <w:rPr>
                <w:rFonts w:hint="eastAsia" w:ascii="宋体" w:hAnsi="宋体" w:eastAsia="宋体" w:cs="宋体"/>
                <w:b/>
                <w:sz w:val="24"/>
              </w:rPr>
            </w:pPr>
            <w:r>
              <w:rPr>
                <w:rFonts w:hint="eastAsia" w:ascii="宋体" w:hAnsi="宋体" w:eastAsia="宋体" w:cs="宋体"/>
                <w:b/>
                <w:sz w:val="24"/>
              </w:rPr>
              <w:t>评审因素</w:t>
            </w:r>
          </w:p>
        </w:tc>
        <w:tc>
          <w:tcPr>
            <w:tcW w:w="6713" w:type="dxa"/>
            <w:shd w:val="clear" w:color="auto" w:fill="auto"/>
            <w:noWrap w:val="0"/>
            <w:vAlign w:val="center"/>
          </w:tcPr>
          <w:p w14:paraId="6E69124A">
            <w:pPr>
              <w:spacing w:line="360" w:lineRule="auto"/>
              <w:jc w:val="center"/>
              <w:rPr>
                <w:rFonts w:ascii="宋体" w:hAnsi="宋体" w:eastAsia="宋体" w:cs="宋体"/>
                <w:b/>
                <w:sz w:val="24"/>
              </w:rPr>
            </w:pPr>
            <w:r>
              <w:rPr>
                <w:rFonts w:hint="eastAsia" w:ascii="宋体" w:hAnsi="宋体" w:eastAsia="宋体" w:cs="宋体"/>
                <w:b/>
                <w:sz w:val="24"/>
              </w:rPr>
              <w:t>评审标准</w:t>
            </w:r>
          </w:p>
        </w:tc>
      </w:tr>
      <w:tr w14:paraId="4CB6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1809" w:type="dxa"/>
            <w:shd w:val="clear" w:color="auto" w:fill="auto"/>
            <w:noWrap w:val="0"/>
            <w:vAlign w:val="center"/>
          </w:tcPr>
          <w:p w14:paraId="6E962DE1">
            <w:pPr>
              <w:spacing w:line="360" w:lineRule="auto"/>
              <w:jc w:val="center"/>
              <w:rPr>
                <w:rFonts w:ascii="宋体" w:hAnsi="宋体" w:eastAsia="宋体" w:cs="宋体"/>
                <w:sz w:val="24"/>
              </w:rPr>
            </w:pPr>
            <w:r>
              <w:rPr>
                <w:rFonts w:hint="eastAsia" w:ascii="宋体" w:hAnsi="宋体" w:eastAsia="宋体" w:cs="宋体"/>
                <w:sz w:val="24"/>
              </w:rPr>
              <w:t>资质</w:t>
            </w:r>
          </w:p>
        </w:tc>
        <w:tc>
          <w:tcPr>
            <w:tcW w:w="6713" w:type="dxa"/>
            <w:shd w:val="clear" w:color="auto" w:fill="auto"/>
            <w:noWrap w:val="0"/>
            <w:vAlign w:val="center"/>
          </w:tcPr>
          <w:p w14:paraId="21EE2FE2">
            <w:pPr>
              <w:spacing w:line="360" w:lineRule="auto"/>
              <w:rPr>
                <w:rFonts w:hint="eastAsia" w:ascii="宋体" w:hAnsi="宋体" w:eastAsia="宋体" w:cs="宋体"/>
                <w:sz w:val="24"/>
              </w:rPr>
            </w:pPr>
            <w:r>
              <w:rPr>
                <w:rFonts w:hint="eastAsia" w:ascii="宋体" w:hAnsi="宋体" w:eastAsia="宋体" w:cs="宋体"/>
                <w:sz w:val="24"/>
              </w:rPr>
              <w:t>（1）在中华人民共和国境内依法注册的具有合法经营资格的独立法人；</w:t>
            </w:r>
          </w:p>
          <w:p w14:paraId="73C79C32">
            <w:pPr>
              <w:spacing w:line="360" w:lineRule="auto"/>
              <w:rPr>
                <w:rFonts w:hint="eastAsia" w:ascii="宋体" w:hAnsi="宋体" w:eastAsia="宋体" w:cs="宋体"/>
                <w:sz w:val="24"/>
              </w:rPr>
            </w:pPr>
            <w:r>
              <w:rPr>
                <w:rFonts w:hint="eastAsia" w:ascii="宋体" w:hAnsi="宋体" w:eastAsia="宋体" w:cs="宋体"/>
                <w:sz w:val="24"/>
              </w:rPr>
              <w:t>（2）具备相应行业资质；</w:t>
            </w:r>
          </w:p>
          <w:p w14:paraId="7A18571A">
            <w:pPr>
              <w:spacing w:line="360" w:lineRule="auto"/>
              <w:rPr>
                <w:rFonts w:ascii="宋体" w:hAnsi="宋体" w:eastAsia="宋体" w:cs="宋体"/>
                <w:sz w:val="24"/>
              </w:rPr>
            </w:pPr>
            <w:r>
              <w:rPr>
                <w:rFonts w:hint="eastAsia" w:ascii="宋体" w:hAnsi="宋体" w:eastAsia="宋体" w:cs="宋体"/>
                <w:sz w:val="24"/>
              </w:rPr>
              <w:t>（3）不属于回避单位。</w:t>
            </w:r>
          </w:p>
        </w:tc>
      </w:tr>
      <w:tr w14:paraId="363D3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trPr>
        <w:tc>
          <w:tcPr>
            <w:tcW w:w="1809" w:type="dxa"/>
            <w:shd w:val="clear" w:color="auto" w:fill="auto"/>
            <w:noWrap w:val="0"/>
            <w:vAlign w:val="center"/>
          </w:tcPr>
          <w:p w14:paraId="19AE83DE">
            <w:pPr>
              <w:spacing w:line="360" w:lineRule="auto"/>
              <w:jc w:val="center"/>
              <w:rPr>
                <w:rFonts w:hint="eastAsia" w:ascii="宋体" w:hAnsi="宋体" w:eastAsia="宋体" w:cs="宋体"/>
                <w:sz w:val="24"/>
              </w:rPr>
            </w:pPr>
            <w:r>
              <w:rPr>
                <w:rFonts w:hint="eastAsia" w:ascii="宋体" w:hAnsi="宋体" w:eastAsia="宋体" w:cs="宋体"/>
                <w:sz w:val="24"/>
              </w:rPr>
              <w:t>信用</w:t>
            </w:r>
          </w:p>
        </w:tc>
        <w:tc>
          <w:tcPr>
            <w:tcW w:w="6713" w:type="dxa"/>
            <w:shd w:val="clear" w:color="auto" w:fill="auto"/>
            <w:noWrap w:val="0"/>
            <w:vAlign w:val="center"/>
          </w:tcPr>
          <w:p w14:paraId="7E753955">
            <w:pPr>
              <w:spacing w:line="360" w:lineRule="auto"/>
              <w:rPr>
                <w:rFonts w:hint="eastAsia" w:ascii="宋体" w:hAnsi="宋体" w:eastAsia="宋体" w:cs="宋体"/>
                <w:sz w:val="24"/>
              </w:rPr>
            </w:pPr>
            <w:r>
              <w:rPr>
                <w:rFonts w:hint="eastAsia" w:ascii="宋体" w:hAnsi="宋体" w:eastAsia="宋体" w:cs="宋体"/>
                <w:sz w:val="24"/>
              </w:rPr>
              <w:t>（1）中介机构在国家企业信用信息公示系统中未被列入严重违法失信企业名单；</w:t>
            </w:r>
          </w:p>
          <w:p w14:paraId="652FEB9A">
            <w:pPr>
              <w:spacing w:line="360" w:lineRule="auto"/>
              <w:rPr>
                <w:rFonts w:hint="eastAsia" w:ascii="宋体" w:hAnsi="宋体" w:eastAsia="宋体" w:cs="宋体"/>
                <w:sz w:val="24"/>
              </w:rPr>
            </w:pPr>
            <w:r>
              <w:rPr>
                <w:rFonts w:hint="eastAsia" w:ascii="宋体" w:hAnsi="宋体" w:eastAsia="宋体" w:cs="宋体"/>
                <w:sz w:val="24"/>
              </w:rPr>
              <w:t>（2）在“信用中国”网站或地方信用网站的信用信息报告无不良记录。</w:t>
            </w:r>
          </w:p>
          <w:p w14:paraId="5ED7D34C">
            <w:pPr>
              <w:spacing w:line="360" w:lineRule="auto"/>
              <w:rPr>
                <w:rFonts w:hint="eastAsia" w:ascii="宋体" w:hAnsi="宋体" w:eastAsia="宋体"/>
                <w:sz w:val="24"/>
              </w:rPr>
            </w:pPr>
            <w:r>
              <w:rPr>
                <w:rFonts w:hint="eastAsia" w:ascii="宋体" w:hAnsi="宋体" w:eastAsia="宋体" w:cs="宋体"/>
                <w:sz w:val="24"/>
              </w:rPr>
              <w:t>注：如中介机构未提交上述证明材料，则由评选小组核查；如中介机构为事业单位</w:t>
            </w:r>
            <w:bookmarkStart w:id="0" w:name="_GoBack"/>
            <w:bookmarkEnd w:id="0"/>
            <w:r>
              <w:rPr>
                <w:rFonts w:hint="eastAsia" w:ascii="宋体" w:hAnsi="宋体" w:eastAsia="宋体" w:cs="宋体"/>
                <w:sz w:val="24"/>
              </w:rPr>
              <w:t>，无法提供国家企业信用信息公示系统截图，则视作通过。</w:t>
            </w:r>
          </w:p>
        </w:tc>
      </w:tr>
      <w:tr w14:paraId="053E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1809" w:type="dxa"/>
            <w:shd w:val="clear" w:color="auto" w:fill="auto"/>
            <w:noWrap w:val="0"/>
            <w:vAlign w:val="center"/>
          </w:tcPr>
          <w:p w14:paraId="278D52DF">
            <w:pPr>
              <w:spacing w:line="360" w:lineRule="auto"/>
              <w:jc w:val="center"/>
              <w:rPr>
                <w:rFonts w:hint="eastAsia" w:ascii="宋体" w:hAnsi="宋体" w:eastAsia="宋体" w:cs="宋体"/>
                <w:sz w:val="24"/>
              </w:rPr>
            </w:pPr>
            <w:r>
              <w:rPr>
                <w:rFonts w:hint="eastAsia" w:ascii="宋体" w:hAnsi="宋体" w:eastAsia="宋体" w:cs="宋体"/>
                <w:sz w:val="24"/>
              </w:rPr>
              <w:t>报价</w:t>
            </w:r>
          </w:p>
        </w:tc>
        <w:tc>
          <w:tcPr>
            <w:tcW w:w="6713" w:type="dxa"/>
            <w:shd w:val="clear" w:color="auto" w:fill="auto"/>
            <w:noWrap w:val="0"/>
            <w:vAlign w:val="center"/>
          </w:tcPr>
          <w:p w14:paraId="181951AC">
            <w:pPr>
              <w:spacing w:line="360" w:lineRule="auto"/>
              <w:rPr>
                <w:rFonts w:hint="eastAsia" w:ascii="宋体" w:hAnsi="宋体" w:eastAsia="宋体" w:cs="宋体"/>
                <w:sz w:val="24"/>
              </w:rPr>
            </w:pPr>
            <w:r>
              <w:rPr>
                <w:rFonts w:ascii="宋体" w:hAnsi="宋体" w:eastAsia="宋体" w:cs="宋体"/>
                <w:sz w:val="24"/>
              </w:rPr>
              <w:t>报价</w:t>
            </w:r>
            <w:r>
              <w:rPr>
                <w:rFonts w:hint="eastAsia" w:ascii="宋体" w:hAnsi="宋体" w:eastAsia="宋体" w:cs="宋体"/>
                <w:sz w:val="24"/>
              </w:rPr>
              <w:t>金额</w:t>
            </w:r>
            <w:r>
              <w:rPr>
                <w:rFonts w:ascii="宋体" w:hAnsi="宋体" w:eastAsia="宋体" w:cs="宋体"/>
                <w:sz w:val="24"/>
              </w:rPr>
              <w:t>不超过该项采购</w:t>
            </w:r>
            <w:r>
              <w:rPr>
                <w:rFonts w:hint="eastAsia" w:ascii="宋体" w:hAnsi="宋体" w:eastAsia="宋体" w:cs="宋体"/>
                <w:sz w:val="24"/>
                <w:lang w:val="en-US" w:eastAsia="zh-CN"/>
              </w:rPr>
              <w:t>底价</w:t>
            </w:r>
            <w:r>
              <w:rPr>
                <w:rFonts w:ascii="宋体" w:hAnsi="宋体" w:eastAsia="宋体" w:cs="宋体"/>
                <w:sz w:val="24"/>
              </w:rPr>
              <w:t>。</w:t>
            </w:r>
          </w:p>
        </w:tc>
      </w:tr>
    </w:tbl>
    <w:p w14:paraId="5A1C5506">
      <w:pPr>
        <w:spacing w:line="360" w:lineRule="auto"/>
        <w:ind w:firstLine="480" w:firstLineChars="200"/>
        <w:rPr>
          <w:rFonts w:ascii="宋体" w:hAnsi="宋体" w:eastAsia="宋体"/>
          <w:sz w:val="24"/>
        </w:rPr>
      </w:pPr>
      <w:r>
        <w:rPr>
          <w:rFonts w:hint="eastAsia" w:ascii="宋体" w:hAnsi="宋体" w:eastAsia="宋体" w:cs="宋体"/>
          <w:sz w:val="24"/>
        </w:rPr>
        <w:t>三、详细评审</w:t>
      </w:r>
    </w:p>
    <w:tbl>
      <w:tblPr>
        <w:tblStyle w:val="3"/>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551"/>
        <w:gridCol w:w="5389"/>
      </w:tblGrid>
      <w:tr w14:paraId="5AC7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171" w:type="dxa"/>
            <w:gridSpan w:val="2"/>
            <w:noWrap w:val="0"/>
            <w:vAlign w:val="center"/>
          </w:tcPr>
          <w:p w14:paraId="4116B1D8">
            <w:pPr>
              <w:spacing w:line="276" w:lineRule="auto"/>
              <w:jc w:val="center"/>
              <w:rPr>
                <w:rFonts w:ascii="宋体" w:hAnsi="宋体" w:eastAsia="宋体" w:cs="宋体"/>
                <w:b/>
                <w:sz w:val="24"/>
              </w:rPr>
            </w:pPr>
            <w:r>
              <w:rPr>
                <w:rFonts w:ascii="宋体" w:hAnsi="宋体" w:eastAsia="宋体"/>
                <w:sz w:val="24"/>
              </w:rPr>
              <w:br w:type="page"/>
            </w:r>
            <w:r>
              <w:rPr>
                <w:rFonts w:hint="eastAsia" w:ascii="宋体" w:hAnsi="宋体" w:eastAsia="宋体" w:cs="宋体"/>
                <w:b/>
                <w:sz w:val="24"/>
              </w:rPr>
              <w:t>评审因素与评分值</w:t>
            </w:r>
          </w:p>
        </w:tc>
        <w:tc>
          <w:tcPr>
            <w:tcW w:w="5389" w:type="dxa"/>
            <w:vMerge w:val="restart"/>
            <w:noWrap w:val="0"/>
            <w:vAlign w:val="center"/>
          </w:tcPr>
          <w:p w14:paraId="7D64BABA">
            <w:pPr>
              <w:spacing w:line="276" w:lineRule="auto"/>
              <w:jc w:val="center"/>
              <w:rPr>
                <w:rFonts w:ascii="宋体" w:hAnsi="宋体" w:eastAsia="宋体" w:cs="宋体"/>
                <w:sz w:val="24"/>
              </w:rPr>
            </w:pPr>
            <w:r>
              <w:rPr>
                <w:rFonts w:hint="eastAsia" w:ascii="宋体" w:hAnsi="宋体" w:eastAsia="宋体" w:cs="宋体"/>
                <w:b/>
                <w:sz w:val="24"/>
              </w:rPr>
              <w:t>评分标准</w:t>
            </w:r>
          </w:p>
        </w:tc>
      </w:tr>
      <w:tr w14:paraId="56EDB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620" w:type="dxa"/>
            <w:noWrap w:val="0"/>
            <w:vAlign w:val="center"/>
          </w:tcPr>
          <w:p w14:paraId="2DF593D9">
            <w:pPr>
              <w:spacing w:line="276" w:lineRule="auto"/>
              <w:jc w:val="center"/>
              <w:rPr>
                <w:rFonts w:ascii="宋体" w:hAnsi="宋体" w:eastAsia="宋体" w:cs="宋体"/>
                <w:sz w:val="24"/>
              </w:rPr>
            </w:pPr>
            <w:r>
              <w:rPr>
                <w:rFonts w:hint="eastAsia" w:ascii="宋体" w:hAnsi="宋体" w:eastAsia="宋体" w:cs="宋体"/>
                <w:b/>
                <w:sz w:val="24"/>
              </w:rPr>
              <w:t>评审因素</w:t>
            </w:r>
          </w:p>
        </w:tc>
        <w:tc>
          <w:tcPr>
            <w:tcW w:w="2551" w:type="dxa"/>
            <w:noWrap w:val="0"/>
            <w:vAlign w:val="center"/>
          </w:tcPr>
          <w:p w14:paraId="0B39B444">
            <w:pPr>
              <w:spacing w:line="276" w:lineRule="auto"/>
              <w:jc w:val="center"/>
              <w:rPr>
                <w:rFonts w:ascii="宋体" w:hAnsi="宋体" w:eastAsia="宋体" w:cs="宋体"/>
                <w:sz w:val="24"/>
              </w:rPr>
            </w:pPr>
            <w:r>
              <w:rPr>
                <w:rFonts w:hint="eastAsia" w:ascii="宋体" w:hAnsi="宋体" w:eastAsia="宋体" w:cs="宋体"/>
                <w:b/>
                <w:sz w:val="24"/>
              </w:rPr>
              <w:t>分值</w:t>
            </w:r>
          </w:p>
        </w:tc>
        <w:tc>
          <w:tcPr>
            <w:tcW w:w="5389" w:type="dxa"/>
            <w:vMerge w:val="continue"/>
            <w:noWrap w:val="0"/>
            <w:vAlign w:val="center"/>
          </w:tcPr>
          <w:p w14:paraId="0A2B54E4">
            <w:pPr>
              <w:spacing w:line="276" w:lineRule="auto"/>
              <w:rPr>
                <w:rFonts w:ascii="宋体" w:hAnsi="宋体" w:eastAsia="宋体" w:cs="宋体"/>
                <w:sz w:val="24"/>
              </w:rPr>
            </w:pPr>
          </w:p>
        </w:tc>
      </w:tr>
      <w:tr w14:paraId="3A822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7" w:hRule="atLeast"/>
          <w:jc w:val="center"/>
        </w:trPr>
        <w:tc>
          <w:tcPr>
            <w:tcW w:w="1620" w:type="dxa"/>
            <w:noWrap w:val="0"/>
            <w:vAlign w:val="center"/>
          </w:tcPr>
          <w:p w14:paraId="159D1700">
            <w:pPr>
              <w:spacing w:line="276"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施工技术方案</w:t>
            </w:r>
          </w:p>
        </w:tc>
        <w:tc>
          <w:tcPr>
            <w:tcW w:w="2551" w:type="dxa"/>
            <w:noWrap w:val="0"/>
            <w:vAlign w:val="center"/>
          </w:tcPr>
          <w:p w14:paraId="718654D3">
            <w:pPr>
              <w:spacing w:line="276" w:lineRule="auto"/>
              <w:jc w:val="center"/>
              <w:rPr>
                <w:rFonts w:ascii="宋体" w:hAnsi="宋体" w:eastAsia="宋体" w:cs="宋体"/>
                <w:sz w:val="24"/>
              </w:rPr>
            </w:pPr>
            <w:r>
              <w:rPr>
                <w:rFonts w:hint="eastAsia" w:ascii="宋体" w:hAnsi="宋体" w:eastAsia="宋体" w:cs="宋体"/>
                <w:sz w:val="24"/>
              </w:rPr>
              <w:t>30</w:t>
            </w:r>
          </w:p>
        </w:tc>
        <w:tc>
          <w:tcPr>
            <w:tcW w:w="5389" w:type="dxa"/>
            <w:noWrap w:val="0"/>
            <w:vAlign w:val="center"/>
          </w:tcPr>
          <w:p w14:paraId="37090ADD">
            <w:pPr>
              <w:spacing w:line="276" w:lineRule="auto"/>
              <w:rPr>
                <w:rFonts w:ascii="宋体" w:hAnsi="宋体" w:eastAsia="宋体"/>
                <w:sz w:val="24"/>
              </w:rPr>
            </w:pPr>
            <w:r>
              <w:rPr>
                <w:rFonts w:hint="eastAsia" w:ascii="宋体" w:hAnsi="宋体" w:eastAsia="宋体"/>
                <w:sz w:val="24"/>
              </w:rPr>
              <w:t>根据对服务工作范围和任务描述准确程度和总体思路清晰、切实可行程度，对技术问题的处理措施、工作计划、安排的合理程度、质量保证措施等是否完善、可行，是否符合采购需求等进行综合比较，</w:t>
            </w:r>
          </w:p>
          <w:p w14:paraId="52DABE30">
            <w:pPr>
              <w:spacing w:line="276" w:lineRule="auto"/>
              <w:rPr>
                <w:rFonts w:ascii="宋体" w:hAnsi="宋体" w:eastAsia="宋体"/>
                <w:sz w:val="24"/>
              </w:rPr>
            </w:pPr>
            <w:r>
              <w:rPr>
                <w:rFonts w:hint="eastAsia" w:ascii="宋体" w:hAnsi="宋体" w:eastAsia="宋体"/>
                <w:sz w:val="24"/>
              </w:rPr>
              <w:t>优：24 &lt; 得分 ≤30，</w:t>
            </w:r>
          </w:p>
          <w:p w14:paraId="2FAB5006">
            <w:pPr>
              <w:spacing w:line="276" w:lineRule="auto"/>
              <w:rPr>
                <w:rFonts w:ascii="宋体" w:hAnsi="宋体" w:eastAsia="宋体"/>
                <w:sz w:val="24"/>
              </w:rPr>
            </w:pPr>
            <w:r>
              <w:rPr>
                <w:rFonts w:hint="eastAsia" w:ascii="宋体" w:hAnsi="宋体" w:eastAsia="宋体"/>
                <w:sz w:val="24"/>
              </w:rPr>
              <w:t>良：18&lt; 得分 ≤24，</w:t>
            </w:r>
          </w:p>
          <w:p w14:paraId="0F41870E">
            <w:pPr>
              <w:spacing w:line="276" w:lineRule="auto"/>
              <w:rPr>
                <w:rFonts w:hint="eastAsia" w:ascii="宋体" w:hAnsi="宋体" w:eastAsia="宋体"/>
                <w:sz w:val="24"/>
              </w:rPr>
            </w:pPr>
            <w:r>
              <w:rPr>
                <w:rFonts w:hint="eastAsia" w:ascii="宋体" w:hAnsi="宋体" w:eastAsia="宋体"/>
                <w:sz w:val="24"/>
              </w:rPr>
              <w:t>一般：得分 = 18 ，</w:t>
            </w:r>
          </w:p>
          <w:p w14:paraId="22A582A6">
            <w:pPr>
              <w:pStyle w:val="2"/>
              <w:rPr>
                <w:rFonts w:hint="eastAsia" w:hAnsi="宋体"/>
                <w:sz w:val="24"/>
                <w:szCs w:val="24"/>
              </w:rPr>
            </w:pPr>
            <w:r>
              <w:rPr>
                <w:rFonts w:hint="eastAsia" w:hAnsi="宋体"/>
                <w:sz w:val="24"/>
                <w:szCs w:val="24"/>
              </w:rPr>
              <w:t>未提交：0</w:t>
            </w:r>
          </w:p>
        </w:tc>
      </w:tr>
      <w:tr w14:paraId="47628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1620" w:type="dxa"/>
            <w:noWrap w:val="0"/>
            <w:vAlign w:val="center"/>
          </w:tcPr>
          <w:p w14:paraId="0722C657">
            <w:pPr>
              <w:spacing w:line="276" w:lineRule="auto"/>
              <w:jc w:val="center"/>
              <w:rPr>
                <w:rFonts w:ascii="宋体" w:hAnsi="宋体" w:eastAsia="宋体" w:cs="宋体"/>
                <w:sz w:val="24"/>
              </w:rPr>
            </w:pPr>
            <w:r>
              <w:rPr>
                <w:rFonts w:hint="eastAsia" w:ascii="宋体" w:hAnsi="宋体" w:eastAsia="宋体" w:cs="宋体"/>
                <w:sz w:val="24"/>
              </w:rPr>
              <w:t>企业业绩</w:t>
            </w:r>
          </w:p>
        </w:tc>
        <w:tc>
          <w:tcPr>
            <w:tcW w:w="2551" w:type="dxa"/>
            <w:noWrap w:val="0"/>
            <w:vAlign w:val="center"/>
          </w:tcPr>
          <w:p w14:paraId="19D8D3E0">
            <w:pPr>
              <w:spacing w:line="276" w:lineRule="auto"/>
              <w:jc w:val="center"/>
              <w:rPr>
                <w:rFonts w:ascii="宋体" w:hAnsi="宋体" w:eastAsia="宋体" w:cs="宋体"/>
                <w:sz w:val="24"/>
              </w:rPr>
            </w:pPr>
            <w:r>
              <w:rPr>
                <w:rFonts w:hint="eastAsia" w:ascii="宋体" w:hAnsi="宋体" w:eastAsia="宋体" w:cs="宋体"/>
                <w:sz w:val="24"/>
              </w:rPr>
              <w:t>25</w:t>
            </w:r>
          </w:p>
        </w:tc>
        <w:tc>
          <w:tcPr>
            <w:tcW w:w="5389" w:type="dxa"/>
            <w:noWrap w:val="0"/>
            <w:vAlign w:val="center"/>
          </w:tcPr>
          <w:p w14:paraId="00799029">
            <w:pPr>
              <w:topLinePunct/>
              <w:spacing w:line="288" w:lineRule="auto"/>
              <w:rPr>
                <w:rFonts w:ascii="宋体" w:hAnsi="宋体" w:eastAsia="宋体"/>
                <w:sz w:val="24"/>
              </w:rPr>
            </w:pPr>
            <w:r>
              <w:rPr>
                <w:rFonts w:hint="eastAsia" w:ascii="宋体" w:hAnsi="宋体" w:eastAsia="宋体"/>
                <w:sz w:val="24"/>
              </w:rPr>
              <w:t>根据</w:t>
            </w:r>
            <w:r>
              <w:rPr>
                <w:rFonts w:hint="eastAsia" w:ascii="宋体" w:hAnsi="宋体" w:eastAsia="宋体"/>
                <w:sz w:val="24"/>
                <w:lang w:val="en-US" w:eastAsia="zh-CN"/>
              </w:rPr>
              <w:t>报名单位</w:t>
            </w:r>
            <w:r>
              <w:rPr>
                <w:rFonts w:hint="eastAsia" w:ascii="宋体" w:hAnsi="宋体" w:eastAsia="宋体"/>
                <w:sz w:val="24"/>
              </w:rPr>
              <w:t>提供的类似项目业绩，综合比较打分，</w:t>
            </w:r>
            <w:r>
              <w:rPr>
                <w:rFonts w:hint="eastAsia" w:ascii="宋体" w:hAnsi="宋体"/>
                <w:sz w:val="21"/>
                <w:szCs w:val="21"/>
              </w:rPr>
              <w:t>提供的近5年内同等规模及以上类似工程业绩证明。业绩≥5项为优，5项＞业绩≥3为良，3项＞业绩≥1为一般。</w:t>
            </w:r>
            <w:r>
              <w:rPr>
                <w:rFonts w:hint="eastAsia" w:ascii="宋体" w:hAnsi="宋体" w:eastAsia="宋体"/>
                <w:sz w:val="24"/>
              </w:rPr>
              <w:t>优：20 &lt; 得分 ≤25，</w:t>
            </w:r>
          </w:p>
          <w:p w14:paraId="49C3ADC8">
            <w:pPr>
              <w:spacing w:line="276" w:lineRule="auto"/>
              <w:rPr>
                <w:rFonts w:ascii="宋体" w:hAnsi="宋体" w:eastAsia="宋体"/>
                <w:sz w:val="24"/>
              </w:rPr>
            </w:pPr>
            <w:r>
              <w:rPr>
                <w:rFonts w:hint="eastAsia" w:ascii="宋体" w:hAnsi="宋体" w:eastAsia="宋体"/>
                <w:sz w:val="24"/>
              </w:rPr>
              <w:t>良：15&lt; 得分 ≤20，</w:t>
            </w:r>
          </w:p>
          <w:p w14:paraId="3FCBCDAC">
            <w:pPr>
              <w:spacing w:line="276" w:lineRule="auto"/>
              <w:rPr>
                <w:rFonts w:hint="eastAsia" w:ascii="宋体" w:hAnsi="宋体" w:eastAsia="宋体"/>
                <w:sz w:val="24"/>
              </w:rPr>
            </w:pPr>
            <w:r>
              <w:rPr>
                <w:rFonts w:hint="eastAsia" w:ascii="宋体" w:hAnsi="宋体" w:eastAsia="宋体"/>
                <w:sz w:val="24"/>
              </w:rPr>
              <w:t>一般：得分 = 15，</w:t>
            </w:r>
          </w:p>
          <w:p w14:paraId="4EFBF2A7">
            <w:pPr>
              <w:pStyle w:val="2"/>
              <w:rPr>
                <w:rFonts w:hint="eastAsia" w:hAnsi="宋体"/>
                <w:sz w:val="24"/>
                <w:szCs w:val="24"/>
              </w:rPr>
            </w:pPr>
            <w:r>
              <w:rPr>
                <w:rFonts w:hint="eastAsia" w:hAnsi="宋体"/>
                <w:sz w:val="24"/>
                <w:szCs w:val="24"/>
              </w:rPr>
              <w:t>未提交：0</w:t>
            </w:r>
          </w:p>
        </w:tc>
      </w:tr>
      <w:tr w14:paraId="68C4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1620" w:type="dxa"/>
            <w:noWrap w:val="0"/>
            <w:vAlign w:val="center"/>
          </w:tcPr>
          <w:p w14:paraId="6A287410">
            <w:pPr>
              <w:spacing w:line="276" w:lineRule="auto"/>
              <w:jc w:val="center"/>
              <w:rPr>
                <w:rFonts w:ascii="宋体" w:hAnsi="宋体" w:eastAsia="宋体" w:cs="宋体"/>
                <w:sz w:val="24"/>
              </w:rPr>
            </w:pPr>
            <w:r>
              <w:rPr>
                <w:rFonts w:hint="eastAsia" w:ascii="宋体" w:hAnsi="宋体" w:eastAsia="宋体" w:cs="宋体"/>
                <w:sz w:val="24"/>
              </w:rPr>
              <w:t>拟投入主要人员</w:t>
            </w:r>
          </w:p>
        </w:tc>
        <w:tc>
          <w:tcPr>
            <w:tcW w:w="2551" w:type="dxa"/>
            <w:noWrap w:val="0"/>
            <w:vAlign w:val="center"/>
          </w:tcPr>
          <w:p w14:paraId="4BA360F5">
            <w:pPr>
              <w:spacing w:line="276" w:lineRule="auto"/>
              <w:jc w:val="center"/>
              <w:rPr>
                <w:rFonts w:ascii="宋体" w:hAnsi="宋体" w:eastAsia="宋体" w:cs="宋体"/>
                <w:sz w:val="24"/>
              </w:rPr>
            </w:pPr>
            <w:r>
              <w:rPr>
                <w:rFonts w:hint="eastAsia" w:ascii="宋体" w:hAnsi="宋体" w:eastAsia="宋体" w:cs="宋体"/>
                <w:sz w:val="24"/>
              </w:rPr>
              <w:t>25</w:t>
            </w:r>
          </w:p>
        </w:tc>
        <w:tc>
          <w:tcPr>
            <w:tcW w:w="5389" w:type="dxa"/>
            <w:noWrap w:val="0"/>
            <w:vAlign w:val="center"/>
          </w:tcPr>
          <w:p w14:paraId="0FA0F272">
            <w:pPr>
              <w:spacing w:line="276" w:lineRule="auto"/>
              <w:rPr>
                <w:rFonts w:ascii="宋体" w:hAnsi="宋体" w:eastAsia="宋体"/>
                <w:sz w:val="24"/>
              </w:rPr>
            </w:pPr>
            <w:r>
              <w:rPr>
                <w:rFonts w:hint="eastAsia" w:ascii="宋体" w:hAnsi="宋体" w:eastAsia="宋体"/>
                <w:sz w:val="24"/>
              </w:rPr>
              <w:t>根据</w:t>
            </w:r>
            <w:r>
              <w:rPr>
                <w:rFonts w:hint="eastAsia" w:ascii="宋体" w:hAnsi="宋体" w:eastAsia="宋体"/>
                <w:sz w:val="24"/>
                <w:lang w:val="en-US" w:eastAsia="zh-CN"/>
              </w:rPr>
              <w:t>报名单位</w:t>
            </w:r>
            <w:r>
              <w:rPr>
                <w:rFonts w:hint="eastAsia" w:ascii="宋体" w:hAnsi="宋体" w:eastAsia="宋体"/>
                <w:sz w:val="24"/>
              </w:rPr>
              <w:t>提供的人员任职资格，综合比较打分，</w:t>
            </w:r>
            <w:r>
              <w:rPr>
                <w:rFonts w:hint="eastAsia" w:ascii="宋体" w:hAnsi="宋体"/>
                <w:sz w:val="21"/>
                <w:szCs w:val="21"/>
                <w:lang w:val="en-US" w:eastAsia="zh-CN"/>
              </w:rPr>
              <w:t>根</w:t>
            </w:r>
            <w:r>
              <w:rPr>
                <w:rFonts w:hint="eastAsia" w:ascii="宋体" w:hAnsi="宋体"/>
                <w:sz w:val="21"/>
                <w:szCs w:val="21"/>
              </w:rPr>
              <w:t>据提供项目经理、总工等人员资格中至少含1名高级工程师和1名工程师为优，提供人员资格中至少含3名工程师为良，提供人员资格中至少含2名工程师为一般。</w:t>
            </w:r>
            <w:r>
              <w:rPr>
                <w:rFonts w:hint="eastAsia" w:ascii="宋体" w:hAnsi="宋体" w:eastAsia="宋体"/>
                <w:sz w:val="24"/>
              </w:rPr>
              <w:t>优：20 &lt; 得分 ≤25，</w:t>
            </w:r>
          </w:p>
          <w:p w14:paraId="26D7A25E">
            <w:pPr>
              <w:spacing w:line="276" w:lineRule="auto"/>
              <w:rPr>
                <w:rFonts w:ascii="宋体" w:hAnsi="宋体" w:eastAsia="宋体"/>
                <w:sz w:val="24"/>
              </w:rPr>
            </w:pPr>
            <w:r>
              <w:rPr>
                <w:rFonts w:hint="eastAsia" w:ascii="宋体" w:hAnsi="宋体" w:eastAsia="宋体"/>
                <w:sz w:val="24"/>
              </w:rPr>
              <w:t>良：15&lt; 得分 ≤20，</w:t>
            </w:r>
          </w:p>
          <w:p w14:paraId="03F9E9D9">
            <w:pPr>
              <w:spacing w:line="276" w:lineRule="auto"/>
              <w:rPr>
                <w:rFonts w:hint="eastAsia" w:ascii="宋体" w:hAnsi="宋体" w:eastAsia="宋体"/>
                <w:sz w:val="24"/>
              </w:rPr>
            </w:pPr>
            <w:r>
              <w:rPr>
                <w:rFonts w:hint="eastAsia" w:ascii="宋体" w:hAnsi="宋体" w:eastAsia="宋体"/>
                <w:sz w:val="24"/>
              </w:rPr>
              <w:t>一般：得分 = 15，</w:t>
            </w:r>
          </w:p>
          <w:p w14:paraId="4E76BE95">
            <w:pPr>
              <w:pStyle w:val="2"/>
              <w:rPr>
                <w:rFonts w:hint="eastAsia" w:hAnsi="宋体"/>
                <w:sz w:val="24"/>
                <w:szCs w:val="24"/>
              </w:rPr>
            </w:pPr>
            <w:r>
              <w:rPr>
                <w:rFonts w:hint="eastAsia" w:hAnsi="宋体"/>
                <w:sz w:val="24"/>
                <w:szCs w:val="24"/>
              </w:rPr>
              <w:t>未提交：0</w:t>
            </w:r>
          </w:p>
        </w:tc>
      </w:tr>
      <w:tr w14:paraId="03BB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1620" w:type="dxa"/>
            <w:noWrap w:val="0"/>
            <w:vAlign w:val="center"/>
          </w:tcPr>
          <w:p w14:paraId="1512413D">
            <w:pPr>
              <w:spacing w:line="276" w:lineRule="auto"/>
              <w:jc w:val="center"/>
              <w:rPr>
                <w:rFonts w:hint="eastAsia" w:ascii="宋体" w:hAnsi="宋体" w:eastAsia="宋体"/>
                <w:sz w:val="24"/>
              </w:rPr>
            </w:pPr>
            <w:r>
              <w:rPr>
                <w:rFonts w:hint="eastAsia" w:ascii="宋体" w:hAnsi="宋体" w:eastAsia="宋体" w:cs="宋体"/>
                <w:sz w:val="24"/>
              </w:rPr>
              <w:t>报价</w:t>
            </w:r>
          </w:p>
        </w:tc>
        <w:tc>
          <w:tcPr>
            <w:tcW w:w="2551" w:type="dxa"/>
            <w:noWrap w:val="0"/>
            <w:vAlign w:val="center"/>
          </w:tcPr>
          <w:p w14:paraId="2AFB5158">
            <w:pPr>
              <w:spacing w:line="276" w:lineRule="auto"/>
              <w:jc w:val="center"/>
              <w:rPr>
                <w:rFonts w:ascii="宋体" w:hAnsi="宋体" w:eastAsia="宋体" w:cs="宋体"/>
                <w:sz w:val="24"/>
              </w:rPr>
            </w:pPr>
            <w:r>
              <w:rPr>
                <w:rFonts w:hint="eastAsia" w:ascii="宋体" w:hAnsi="宋体" w:eastAsia="宋体" w:cs="宋体"/>
                <w:sz w:val="24"/>
              </w:rPr>
              <w:t>10</w:t>
            </w:r>
          </w:p>
        </w:tc>
        <w:tc>
          <w:tcPr>
            <w:tcW w:w="5389" w:type="dxa"/>
            <w:noWrap w:val="0"/>
            <w:vAlign w:val="center"/>
          </w:tcPr>
          <w:p w14:paraId="5F883EDB">
            <w:pPr>
              <w:pStyle w:val="2"/>
              <w:rPr>
                <w:rFonts w:hAnsi="宋体"/>
                <w:sz w:val="24"/>
                <w:szCs w:val="24"/>
              </w:rPr>
            </w:pPr>
            <w:r>
              <w:rPr>
                <w:rFonts w:hint="eastAsia" w:hAnsi="宋体"/>
                <w:sz w:val="24"/>
                <w:szCs w:val="24"/>
              </w:rPr>
              <w:t>得分=10*（最高价-报价）/（最高价-最低价）</w:t>
            </w:r>
          </w:p>
        </w:tc>
      </w:tr>
      <w:tr w14:paraId="1FFC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1620" w:type="dxa"/>
            <w:noWrap w:val="0"/>
            <w:vAlign w:val="center"/>
          </w:tcPr>
          <w:p w14:paraId="6F4D50F2">
            <w:pPr>
              <w:spacing w:line="276" w:lineRule="auto"/>
              <w:jc w:val="center"/>
              <w:rPr>
                <w:rFonts w:hint="eastAsia" w:ascii="宋体" w:hAnsi="宋体" w:eastAsia="宋体" w:cs="宋体"/>
                <w:sz w:val="24"/>
              </w:rPr>
            </w:pPr>
            <w:r>
              <w:rPr>
                <w:rFonts w:hint="eastAsia" w:ascii="宋体" w:hAnsi="宋体" w:eastAsia="宋体" w:cs="宋体"/>
                <w:sz w:val="24"/>
              </w:rPr>
              <w:t>行业履约</w:t>
            </w:r>
          </w:p>
          <w:p w14:paraId="04B0C977">
            <w:pPr>
              <w:spacing w:line="276" w:lineRule="auto"/>
              <w:jc w:val="center"/>
              <w:rPr>
                <w:rFonts w:hint="eastAsia" w:ascii="宋体" w:hAnsi="宋体" w:eastAsia="宋体" w:cs="宋体"/>
                <w:sz w:val="24"/>
              </w:rPr>
            </w:pPr>
            <w:r>
              <w:rPr>
                <w:rFonts w:hint="eastAsia" w:ascii="宋体" w:hAnsi="宋体" w:eastAsia="宋体" w:cs="宋体"/>
                <w:sz w:val="24"/>
              </w:rPr>
              <w:t>信誉</w:t>
            </w:r>
          </w:p>
          <w:p w14:paraId="0C95DAA8">
            <w:pPr>
              <w:spacing w:line="276" w:lineRule="auto"/>
              <w:jc w:val="center"/>
              <w:rPr>
                <w:rFonts w:hint="eastAsia" w:ascii="宋体" w:hAnsi="宋体" w:eastAsia="宋体" w:cs="宋体"/>
                <w:sz w:val="24"/>
              </w:rPr>
            </w:pPr>
            <w:r>
              <w:rPr>
                <w:rFonts w:hint="eastAsia" w:ascii="宋体" w:hAnsi="宋体" w:eastAsia="宋体" w:cs="宋体"/>
                <w:sz w:val="24"/>
              </w:rPr>
              <w:t>（如有）</w:t>
            </w:r>
          </w:p>
        </w:tc>
        <w:tc>
          <w:tcPr>
            <w:tcW w:w="2551" w:type="dxa"/>
            <w:noWrap w:val="0"/>
            <w:vAlign w:val="center"/>
          </w:tcPr>
          <w:p w14:paraId="7F93903F">
            <w:pPr>
              <w:spacing w:line="276" w:lineRule="auto"/>
              <w:jc w:val="center"/>
              <w:rPr>
                <w:rFonts w:hint="eastAsia" w:ascii="宋体" w:hAnsi="宋体" w:eastAsia="宋体" w:cs="宋体"/>
                <w:sz w:val="24"/>
              </w:rPr>
            </w:pPr>
            <w:r>
              <w:rPr>
                <w:rFonts w:hint="eastAsia" w:ascii="宋体" w:hAnsi="宋体" w:eastAsia="宋体" w:cs="宋体"/>
                <w:sz w:val="24"/>
              </w:rPr>
              <w:t>10</w:t>
            </w:r>
          </w:p>
          <w:p w14:paraId="77C819BF">
            <w:pPr>
              <w:pStyle w:val="2"/>
              <w:rPr>
                <w:rFonts w:hAnsi="宋体"/>
                <w:sz w:val="24"/>
                <w:szCs w:val="24"/>
              </w:rPr>
            </w:pPr>
          </w:p>
        </w:tc>
        <w:tc>
          <w:tcPr>
            <w:tcW w:w="5389" w:type="dxa"/>
            <w:noWrap w:val="0"/>
            <w:vAlign w:val="center"/>
          </w:tcPr>
          <w:p w14:paraId="6D54D383">
            <w:pPr>
              <w:spacing w:line="276" w:lineRule="auto"/>
              <w:rPr>
                <w:rFonts w:ascii="宋体" w:hAnsi="宋体" w:eastAsia="宋体"/>
                <w:sz w:val="24"/>
                <w:lang w:val="zh-CN"/>
              </w:rPr>
            </w:pPr>
            <w:r>
              <w:rPr>
                <w:rFonts w:hint="eastAsia" w:ascii="宋体" w:hAnsi="宋体" w:eastAsia="宋体" w:cs="宋体"/>
                <w:sz w:val="24"/>
                <w:lang w:val="zh-CN"/>
              </w:rPr>
              <w:t>AA、A、B、C级单位的信用等级分得分分别为</w:t>
            </w:r>
            <w:r>
              <w:rPr>
                <w:rFonts w:hint="eastAsia" w:ascii="宋体" w:hAnsi="宋体" w:eastAsia="宋体" w:cs="宋体"/>
                <w:sz w:val="24"/>
                <w:u w:val="single"/>
                <w:lang w:val="zh-CN"/>
              </w:rPr>
              <w:t xml:space="preserve"> </w:t>
            </w:r>
            <w:r>
              <w:rPr>
                <w:rFonts w:hint="eastAsia" w:ascii="宋体" w:hAnsi="宋体" w:eastAsia="宋体" w:cs="宋体"/>
                <w:sz w:val="24"/>
                <w:u w:val="single"/>
              </w:rPr>
              <w:t>10</w:t>
            </w:r>
            <w:r>
              <w:rPr>
                <w:rFonts w:hint="eastAsia" w:ascii="宋体" w:hAnsi="宋体" w:eastAsia="宋体" w:cs="宋体"/>
                <w:sz w:val="24"/>
                <w:u w:val="single"/>
                <w:lang w:val="zh-CN"/>
              </w:rPr>
              <w:t xml:space="preserve"> </w:t>
            </w:r>
            <w:r>
              <w:rPr>
                <w:rFonts w:hint="eastAsia" w:ascii="宋体" w:hAnsi="宋体" w:eastAsia="宋体" w:cs="宋体"/>
                <w:sz w:val="24"/>
                <w:lang w:val="zh-CN"/>
              </w:rPr>
              <w:t>、</w:t>
            </w:r>
            <w:r>
              <w:rPr>
                <w:rFonts w:hint="eastAsia" w:ascii="宋体" w:hAnsi="宋体" w:eastAsia="宋体" w:cs="宋体"/>
                <w:sz w:val="24"/>
                <w:u w:val="single"/>
              </w:rPr>
              <w:t>9.5</w:t>
            </w:r>
            <w:r>
              <w:rPr>
                <w:rFonts w:hint="eastAsia" w:ascii="宋体" w:hAnsi="宋体" w:eastAsia="宋体" w:cs="宋体"/>
                <w:sz w:val="24"/>
                <w:lang w:val="zh-CN"/>
              </w:rPr>
              <w:t>、</w:t>
            </w:r>
            <w:r>
              <w:rPr>
                <w:rFonts w:hint="eastAsia" w:ascii="宋体" w:hAnsi="宋体" w:eastAsia="宋体" w:cs="宋体"/>
                <w:sz w:val="24"/>
                <w:u w:val="single"/>
              </w:rPr>
              <w:t>8.9</w:t>
            </w:r>
            <w:r>
              <w:rPr>
                <w:rFonts w:hint="eastAsia" w:ascii="宋体" w:hAnsi="宋体" w:eastAsia="宋体" w:cs="宋体"/>
                <w:sz w:val="24"/>
                <w:lang w:val="zh-CN"/>
              </w:rPr>
              <w:t>、</w:t>
            </w:r>
            <w:r>
              <w:rPr>
                <w:rFonts w:hint="eastAsia" w:ascii="宋体" w:hAnsi="宋体" w:eastAsia="宋体" w:cs="宋体"/>
                <w:sz w:val="24"/>
                <w:u w:val="single"/>
              </w:rPr>
              <w:t>7.3</w:t>
            </w:r>
            <w:r>
              <w:rPr>
                <w:rFonts w:hint="eastAsia" w:ascii="宋体" w:hAnsi="宋体" w:eastAsia="宋体" w:cs="宋体"/>
                <w:sz w:val="24"/>
                <w:lang w:val="zh-CN"/>
              </w:rPr>
              <w:t>分。</w:t>
            </w:r>
            <w:r>
              <w:rPr>
                <w:rFonts w:hint="eastAsia" w:hAnsi="宋体"/>
                <w:sz w:val="24"/>
                <w:szCs w:val="24"/>
              </w:rPr>
              <w:t>（</w:t>
            </w:r>
            <w:r>
              <w:rPr>
                <w:rFonts w:hint="eastAsia" w:hAnsi="宋体"/>
                <w:sz w:val="24"/>
                <w:szCs w:val="24"/>
                <w:lang w:val="zh-CN"/>
              </w:rPr>
              <w:t>如该事项无公路工程企业信用评价，该项分数分配至技术（方案）建议书及企业业绩各5分，等级得分范围按比例相应调整</w:t>
            </w:r>
            <w:r>
              <w:rPr>
                <w:rFonts w:hint="eastAsia" w:hAnsi="宋体"/>
                <w:sz w:val="24"/>
                <w:szCs w:val="24"/>
              </w:rPr>
              <w:t>）</w:t>
            </w:r>
          </w:p>
        </w:tc>
      </w:tr>
      <w:tr w14:paraId="29C3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620" w:type="dxa"/>
            <w:noWrap w:val="0"/>
            <w:vAlign w:val="center"/>
          </w:tcPr>
          <w:p w14:paraId="7E76AD1C">
            <w:pPr>
              <w:spacing w:line="276" w:lineRule="auto"/>
              <w:jc w:val="center"/>
              <w:rPr>
                <w:rFonts w:ascii="宋体" w:hAnsi="宋体" w:eastAsia="宋体" w:cs="宋体"/>
                <w:sz w:val="24"/>
              </w:rPr>
            </w:pPr>
            <w:r>
              <w:rPr>
                <w:rFonts w:hint="eastAsia" w:ascii="宋体" w:hAnsi="宋体" w:eastAsia="宋体" w:cs="宋体"/>
                <w:sz w:val="24"/>
              </w:rPr>
              <w:t>合计</w:t>
            </w:r>
          </w:p>
        </w:tc>
        <w:tc>
          <w:tcPr>
            <w:tcW w:w="2551" w:type="dxa"/>
            <w:noWrap w:val="0"/>
            <w:vAlign w:val="center"/>
          </w:tcPr>
          <w:p w14:paraId="3554B79E">
            <w:pPr>
              <w:spacing w:line="276" w:lineRule="auto"/>
              <w:jc w:val="center"/>
              <w:rPr>
                <w:rFonts w:ascii="宋体" w:hAnsi="宋体" w:eastAsia="宋体" w:cs="宋体"/>
                <w:sz w:val="24"/>
              </w:rPr>
            </w:pPr>
            <w:r>
              <w:rPr>
                <w:rFonts w:hint="eastAsia" w:ascii="宋体" w:hAnsi="宋体" w:eastAsia="宋体" w:cs="宋体"/>
                <w:sz w:val="24"/>
              </w:rPr>
              <w:t>100</w:t>
            </w:r>
          </w:p>
        </w:tc>
        <w:tc>
          <w:tcPr>
            <w:tcW w:w="5389" w:type="dxa"/>
            <w:noWrap w:val="0"/>
            <w:vAlign w:val="center"/>
          </w:tcPr>
          <w:p w14:paraId="68B12C88">
            <w:pPr>
              <w:spacing w:line="276" w:lineRule="auto"/>
              <w:rPr>
                <w:rFonts w:ascii="宋体" w:hAnsi="宋体" w:eastAsia="宋体" w:cs="宋体"/>
                <w:sz w:val="24"/>
                <w:lang w:val="zh-CN"/>
              </w:rPr>
            </w:pPr>
          </w:p>
        </w:tc>
      </w:tr>
    </w:tbl>
    <w:p w14:paraId="52317258">
      <w:pPr>
        <w:spacing w:line="240" w:lineRule="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yMjUyY2NlNzhkOTA2NjdhMDZhMmIwZDhkNzJhNGMifQ=="/>
  </w:docVars>
  <w:rsids>
    <w:rsidRoot w:val="005962B5"/>
    <w:rsid w:val="005962B5"/>
    <w:rsid w:val="5BCD1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adjustRightInd w:val="0"/>
      <w:spacing w:line="360" w:lineRule="atLeast"/>
      <w:jc w:val="left"/>
      <w:textAlignment w:val="baseline"/>
    </w:pPr>
    <w:rPr>
      <w:rFonts w:ascii="宋体" w:hAnsi="Courier New" w:eastAsia="宋体"/>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1041</Words>
  <Characters>1094</Characters>
  <Lines>0</Lines>
  <Paragraphs>0</Paragraphs>
  <TotalTime>2</TotalTime>
  <ScaleCrop>false</ScaleCrop>
  <LinksUpToDate>false</LinksUpToDate>
  <CharactersWithSpaces>1118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2024-11-05T06:39:00Z</dcterms:created>
  <dc:creator>Twixters</dc:creator>
  <cp:lastModifiedBy>Twixters</cp:lastModifiedBy>
  <dcterms:modified xsi:type="dcterms:W3CDTF">2024-12-05T00:54:01Z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0D63CB7F1E9948AD950487D3387B3E7E_11</vt:lpwstr>
  </property>
</Properties>
</file>