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1000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附件3：</w:t>
      </w:r>
    </w:p>
    <w:p w14:paraId="449A1A9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江门市应急管理局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年新媒体代运营和舆情监测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</w:p>
    <w:p w14:paraId="6D535D18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项目采购综合评分表</w:t>
      </w:r>
      <w:bookmarkStart w:id="0" w:name="_GoBack"/>
      <w:bookmarkEnd w:id="0"/>
    </w:p>
    <w:tbl>
      <w:tblPr>
        <w:tblStyle w:val="10"/>
        <w:tblW w:w="586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127"/>
        <w:gridCol w:w="924"/>
        <w:gridCol w:w="5577"/>
        <w:gridCol w:w="1059"/>
        <w:gridCol w:w="1273"/>
      </w:tblGrid>
      <w:tr w14:paraId="7366F3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tblHeader/>
          <w:jc w:val="center"/>
        </w:trPr>
        <w:tc>
          <w:tcPr>
            <w:tcW w:w="946" w:type="pct"/>
            <w:gridSpan w:val="2"/>
            <w:vAlign w:val="center"/>
          </w:tcPr>
          <w:p w14:paraId="1BF2296E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  <w:p w14:paraId="12C3017F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  <w:p w14:paraId="40CB895D">
            <w:pPr>
              <w:widowControl/>
              <w:jc w:val="both"/>
              <w:rPr>
                <w:rFonts w:ascii="宋体" w:hAnsi="宋体" w:cs="黑体"/>
                <w:kern w:val="0"/>
              </w:rPr>
            </w:pPr>
          </w:p>
        </w:tc>
        <w:tc>
          <w:tcPr>
            <w:tcW w:w="424" w:type="pct"/>
            <w:vAlign w:val="center"/>
          </w:tcPr>
          <w:p w14:paraId="2414FAA2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  <w:p w14:paraId="336D919B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  <w:p w14:paraId="167F22DF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2559" w:type="pct"/>
            <w:vAlign w:val="center"/>
          </w:tcPr>
          <w:p w14:paraId="5A4EDBE1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486" w:type="pct"/>
            <w:vAlign w:val="center"/>
          </w:tcPr>
          <w:p w14:paraId="24F1396E">
            <w:pPr>
              <w:widowControl/>
              <w:spacing w:line="500" w:lineRule="exact"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  <w:tc>
          <w:tcPr>
            <w:tcW w:w="584" w:type="pct"/>
            <w:vAlign w:val="center"/>
          </w:tcPr>
          <w:p w14:paraId="1582F737">
            <w:pPr>
              <w:widowControl/>
              <w:spacing w:line="500" w:lineRule="exact"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备注</w:t>
            </w:r>
          </w:p>
        </w:tc>
      </w:tr>
      <w:tr w14:paraId="5BC249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6" w:type="pct"/>
            <w:gridSpan w:val="2"/>
            <w:vAlign w:val="center"/>
          </w:tcPr>
          <w:p w14:paraId="1AFB43FD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投标报价</w:t>
            </w:r>
          </w:p>
          <w:p w14:paraId="76E5456C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（权重</w:t>
            </w:r>
            <w:r>
              <w:rPr>
                <w:rFonts w:hint="eastAsia" w:ascii="宋体" w:hAnsi="宋体"/>
                <w:color w:val="auto"/>
                <w:kern w:val="0"/>
              </w:rPr>
              <w:t>10</w:t>
            </w:r>
            <w:r>
              <w:rPr>
                <w:rFonts w:ascii="宋体" w:hAnsi="宋体"/>
                <w:color w:val="auto"/>
                <w:kern w:val="0"/>
              </w:rPr>
              <w:t>%）</w:t>
            </w:r>
          </w:p>
        </w:tc>
        <w:tc>
          <w:tcPr>
            <w:tcW w:w="424" w:type="pct"/>
            <w:vAlign w:val="center"/>
          </w:tcPr>
          <w:p w14:paraId="1070F0CD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10</w:t>
            </w:r>
          </w:p>
        </w:tc>
        <w:tc>
          <w:tcPr>
            <w:tcW w:w="2559" w:type="pct"/>
            <w:vAlign w:val="center"/>
          </w:tcPr>
          <w:p w14:paraId="5E39538B"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ascii="宋体" w:hAnsi="宋体"/>
                <w:color w:val="auto"/>
                <w:kern w:val="0"/>
              </w:rPr>
              <w:t>10</w:t>
            </w:r>
          </w:p>
        </w:tc>
        <w:tc>
          <w:tcPr>
            <w:tcW w:w="486" w:type="pct"/>
            <w:vAlign w:val="center"/>
          </w:tcPr>
          <w:p w14:paraId="0FAE61DE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</w:p>
          <w:p w14:paraId="04479290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630B76BF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</w:tr>
      <w:tr w14:paraId="6713CB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429" w:type="pct"/>
            <w:vMerge w:val="restart"/>
            <w:vAlign w:val="center"/>
          </w:tcPr>
          <w:p w14:paraId="73DA4832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技术部分</w:t>
            </w:r>
          </w:p>
          <w:p w14:paraId="50F6B25D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（权重4</w:t>
            </w:r>
            <w:r>
              <w:rPr>
                <w:rFonts w:hint="eastAsia" w:ascii="宋体" w:hAnsi="宋体"/>
                <w:color w:val="auto"/>
                <w:kern w:val="0"/>
              </w:rPr>
              <w:t>5</w:t>
            </w:r>
            <w:r>
              <w:rPr>
                <w:rFonts w:ascii="宋体" w:hAnsi="宋体"/>
                <w:color w:val="auto"/>
                <w:kern w:val="0"/>
              </w:rPr>
              <w:t>%）</w:t>
            </w:r>
          </w:p>
        </w:tc>
        <w:tc>
          <w:tcPr>
            <w:tcW w:w="517" w:type="pct"/>
            <w:vAlign w:val="center"/>
          </w:tcPr>
          <w:p w14:paraId="5456AFFE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项目负责人</w:t>
            </w:r>
          </w:p>
        </w:tc>
        <w:tc>
          <w:tcPr>
            <w:tcW w:w="424" w:type="pct"/>
            <w:vAlign w:val="center"/>
          </w:tcPr>
          <w:p w14:paraId="09E5A463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5</w:t>
            </w:r>
          </w:p>
        </w:tc>
        <w:tc>
          <w:tcPr>
            <w:tcW w:w="2559" w:type="pct"/>
            <w:vAlign w:val="center"/>
          </w:tcPr>
          <w:p w14:paraId="74B2D927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项目负责人拥有出版（文学）或新闻、编辑、设计相关专业技术人员高级或副高职称，得5分；中级得3分；其他情况不得分。注：提供人员的职称证书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复印件</w:t>
            </w:r>
          </w:p>
          <w:p w14:paraId="04C503B2">
            <w:pPr>
              <w:widowControl/>
              <w:jc w:val="left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优5分，良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分，一般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分。</w:t>
            </w:r>
          </w:p>
        </w:tc>
        <w:tc>
          <w:tcPr>
            <w:tcW w:w="486" w:type="pct"/>
            <w:vAlign w:val="center"/>
          </w:tcPr>
          <w:p w14:paraId="1E268147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6F2352CD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</w:tr>
      <w:tr w14:paraId="1F402B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429" w:type="pct"/>
            <w:vMerge w:val="continue"/>
            <w:vAlign w:val="center"/>
          </w:tcPr>
          <w:p w14:paraId="6AB7889E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17" w:type="pct"/>
            <w:vAlign w:val="center"/>
          </w:tcPr>
          <w:p w14:paraId="7BA45C83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项目组成员-专业、职称</w:t>
            </w:r>
          </w:p>
        </w:tc>
        <w:tc>
          <w:tcPr>
            <w:tcW w:w="424" w:type="pct"/>
            <w:vAlign w:val="center"/>
          </w:tcPr>
          <w:p w14:paraId="27D07C56">
            <w:pPr>
              <w:widowControl/>
              <w:jc w:val="center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2559" w:type="pct"/>
            <w:vAlign w:val="center"/>
          </w:tcPr>
          <w:p w14:paraId="49080586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lang w:val="en-US" w:eastAsia="zh-CN"/>
              </w:rPr>
              <w:t>供应商具备丰富媒体传播经验和主题宣传策划能力的专业团队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，涵盖</w:t>
            </w:r>
            <w:r>
              <w:rPr>
                <w:rFonts w:hint="default" w:ascii="宋体" w:hAnsi="宋体"/>
                <w:color w:val="auto"/>
                <w:kern w:val="0"/>
                <w:lang w:val="en-US" w:eastAsia="zh-CN"/>
              </w:rPr>
              <w:t>如微信公众号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代运营</w:t>
            </w:r>
            <w:r>
              <w:rPr>
                <w:rFonts w:hint="default" w:ascii="宋体" w:hAnsi="宋体"/>
                <w:color w:val="auto"/>
                <w:kern w:val="0"/>
                <w:lang w:val="en-US" w:eastAsia="zh-CN"/>
              </w:rPr>
              <w:t>、短视频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拍摄制作，舆情监测、短视频平台运营等相关经验，需提供相关人员从业资格证。</w:t>
            </w:r>
          </w:p>
          <w:p w14:paraId="6C1B94A3"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优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kern w:val="0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</w:rPr>
              <w:t>分，一般3分。</w:t>
            </w:r>
          </w:p>
        </w:tc>
        <w:tc>
          <w:tcPr>
            <w:tcW w:w="486" w:type="pct"/>
            <w:vAlign w:val="center"/>
          </w:tcPr>
          <w:p w14:paraId="53829F5C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7ABEB707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</w:tr>
      <w:tr w14:paraId="1D1714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B9A7848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17" w:type="pct"/>
            <w:vAlign w:val="center"/>
          </w:tcPr>
          <w:p w14:paraId="2A2D82DA">
            <w:pPr>
              <w:widowControl/>
              <w:jc w:val="center"/>
              <w:rPr>
                <w:rFonts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lang w:val="en-US" w:eastAsia="zh-CN"/>
              </w:rPr>
              <w:t>技术水平</w:t>
            </w:r>
          </w:p>
          <w:p w14:paraId="1541DB7E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  <w:lang w:val="en-US" w:eastAsia="zh-CN"/>
              </w:rPr>
              <w:t>和设备</w:t>
            </w:r>
          </w:p>
        </w:tc>
        <w:tc>
          <w:tcPr>
            <w:tcW w:w="424" w:type="pct"/>
            <w:vAlign w:val="center"/>
          </w:tcPr>
          <w:p w14:paraId="7D07E1EA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5</w:t>
            </w:r>
          </w:p>
        </w:tc>
        <w:tc>
          <w:tcPr>
            <w:tcW w:w="2559" w:type="pct"/>
            <w:vAlign w:val="center"/>
          </w:tcPr>
          <w:p w14:paraId="5DB91298">
            <w:pPr>
              <w:widowControl/>
              <w:jc w:val="left"/>
              <w:rPr>
                <w:rFonts w:ascii="宋体" w:hAnsi="宋体"/>
                <w:color w:val="auto"/>
                <w:kern w:val="0"/>
                <w:lang w:eastAsia="zh-CN"/>
              </w:rPr>
            </w:pPr>
            <w:r>
              <w:rPr>
                <w:rFonts w:ascii="宋体" w:hAnsi="宋体"/>
                <w:color w:val="auto"/>
                <w:kern w:val="0"/>
                <w:lang w:val="en-US" w:eastAsia="zh-CN"/>
              </w:rPr>
              <w:t>技术水平和设备： 评估投标方案中所展示的技术水平和使用的设备，确保其能够满足项目的要求</w:t>
            </w:r>
            <w:r>
              <w:rPr>
                <w:rFonts w:ascii="宋体" w:hAnsi="宋体"/>
                <w:color w:val="auto"/>
                <w:kern w:val="0"/>
                <w:lang w:eastAsia="zh-CN"/>
              </w:rPr>
              <w:t>。</w:t>
            </w:r>
          </w:p>
          <w:p w14:paraId="77DDD9EE"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优5分，良3分，一般1分。</w:t>
            </w:r>
          </w:p>
        </w:tc>
        <w:tc>
          <w:tcPr>
            <w:tcW w:w="486" w:type="pct"/>
            <w:vAlign w:val="center"/>
          </w:tcPr>
          <w:p w14:paraId="57F4629E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2CB12691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</w:tr>
      <w:tr w14:paraId="518BFB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429" w:type="pct"/>
            <w:vMerge w:val="continue"/>
            <w:vAlign w:val="center"/>
          </w:tcPr>
          <w:p w14:paraId="1922CA4E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17" w:type="pct"/>
            <w:vAlign w:val="center"/>
          </w:tcPr>
          <w:p w14:paraId="3F51B749">
            <w:pPr>
              <w:widowControl/>
              <w:jc w:val="center"/>
              <w:rPr>
                <w:rFonts w:hint="default" w:ascii="宋体" w:hAnsi="宋体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项目实施方案</w:t>
            </w:r>
          </w:p>
        </w:tc>
        <w:tc>
          <w:tcPr>
            <w:tcW w:w="424" w:type="pct"/>
            <w:vAlign w:val="center"/>
          </w:tcPr>
          <w:p w14:paraId="0BC73440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15</w:t>
            </w:r>
          </w:p>
        </w:tc>
        <w:tc>
          <w:tcPr>
            <w:tcW w:w="2559" w:type="pct"/>
            <w:vAlign w:val="center"/>
          </w:tcPr>
          <w:p w14:paraId="37105E94"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根据供应商的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项目实施方案</w:t>
            </w:r>
            <w:r>
              <w:rPr>
                <w:rFonts w:ascii="宋体" w:hAnsi="宋体"/>
                <w:color w:val="auto"/>
                <w:kern w:val="0"/>
              </w:rPr>
              <w:t>，包括策划设计、流程节点、实施计划等是否完善周到、可行，是否符合采购文件需求等进行综合比较。</w:t>
            </w:r>
          </w:p>
          <w:p w14:paraId="0E2D3DD7"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优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15</w:t>
            </w:r>
            <w:r>
              <w:rPr>
                <w:rFonts w:ascii="宋体" w:hAnsi="宋体"/>
                <w:color w:val="auto"/>
                <w:kern w:val="0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10</w:t>
            </w:r>
            <w:r>
              <w:rPr>
                <w:rFonts w:ascii="宋体" w:hAnsi="宋体"/>
                <w:color w:val="auto"/>
                <w:kern w:val="0"/>
              </w:rPr>
              <w:t>分，一般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5</w:t>
            </w:r>
            <w:r>
              <w:rPr>
                <w:rFonts w:ascii="宋体" w:hAnsi="宋体"/>
                <w:color w:val="auto"/>
                <w:kern w:val="0"/>
              </w:rPr>
              <w:t>分。</w:t>
            </w:r>
          </w:p>
        </w:tc>
        <w:tc>
          <w:tcPr>
            <w:tcW w:w="486" w:type="pct"/>
            <w:vAlign w:val="center"/>
          </w:tcPr>
          <w:p w14:paraId="60A5192B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496C6EC8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</w:tr>
      <w:tr w14:paraId="24B7FB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29" w:type="pct"/>
            <w:vMerge w:val="continue"/>
            <w:vAlign w:val="center"/>
          </w:tcPr>
          <w:p w14:paraId="0E4A1C6D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17" w:type="pct"/>
            <w:vAlign w:val="center"/>
          </w:tcPr>
          <w:p w14:paraId="79ABF2CE">
            <w:pPr>
              <w:widowControl/>
              <w:jc w:val="center"/>
              <w:rPr>
                <w:rFonts w:hint="default" w:ascii="宋体" w:hAnsi="宋体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服务保障</w:t>
            </w:r>
          </w:p>
        </w:tc>
        <w:tc>
          <w:tcPr>
            <w:tcW w:w="424" w:type="pct"/>
            <w:vAlign w:val="center"/>
          </w:tcPr>
          <w:p w14:paraId="274AB680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10</w:t>
            </w:r>
          </w:p>
        </w:tc>
        <w:tc>
          <w:tcPr>
            <w:tcW w:w="2559" w:type="pct"/>
            <w:vAlign w:val="center"/>
          </w:tcPr>
          <w:p w14:paraId="208D0E10">
            <w:pPr>
              <w:widowControl/>
              <w:jc w:val="left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kern w:val="0"/>
                <w:lang w:val="en-US" w:eastAsia="zh-CN"/>
              </w:rPr>
              <w:t>供应商应当具有良好的商业信誉和健全的财务会计制度，应当有依法缴纳税收和社会保障资金的良好记录。（提供2023年1月至今任意1个月的财务状况报告或银行出具的资信证明复印件；提供2024年1月至今任意1个月的依法缴纳税收和社会保障资金的相关材料复印件；如依法免税或不需要缴纳社会保障资金的，应当提供相应证明文件复印件）</w:t>
            </w:r>
          </w:p>
          <w:p w14:paraId="31E4CDDE"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default" w:ascii="宋体" w:hAnsi="宋体"/>
                <w:color w:val="auto"/>
                <w:kern w:val="0"/>
                <w:lang w:val="en-US" w:eastAsia="zh-CN"/>
              </w:rPr>
              <w:t>优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10</w:t>
            </w:r>
            <w:r>
              <w:rPr>
                <w:rFonts w:hint="default" w:ascii="宋体" w:hAnsi="宋体"/>
                <w:color w:val="auto"/>
                <w:kern w:val="0"/>
                <w:lang w:val="en-US" w:eastAsia="zh-CN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8</w:t>
            </w:r>
            <w:r>
              <w:rPr>
                <w:rFonts w:hint="default" w:ascii="宋体" w:hAnsi="宋体"/>
                <w:color w:val="auto"/>
                <w:kern w:val="0"/>
                <w:lang w:val="en-US" w:eastAsia="zh-CN"/>
              </w:rPr>
              <w:t>分，一般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5</w:t>
            </w:r>
            <w:r>
              <w:rPr>
                <w:rFonts w:hint="default" w:ascii="宋体" w:hAnsi="宋体"/>
                <w:color w:val="auto"/>
                <w:kern w:val="0"/>
                <w:lang w:val="en-US" w:eastAsia="zh-CN"/>
              </w:rPr>
              <w:t>分。</w:t>
            </w:r>
          </w:p>
        </w:tc>
        <w:tc>
          <w:tcPr>
            <w:tcW w:w="486" w:type="pct"/>
            <w:vAlign w:val="center"/>
          </w:tcPr>
          <w:p w14:paraId="6C276B6E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5CAB5924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</w:tr>
      <w:tr w14:paraId="04A92F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429" w:type="pct"/>
            <w:vMerge w:val="restart"/>
            <w:vAlign w:val="center"/>
          </w:tcPr>
          <w:p w14:paraId="44FE9840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商务部分</w:t>
            </w:r>
          </w:p>
          <w:p w14:paraId="708C8F8C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（权重45%）</w:t>
            </w:r>
          </w:p>
        </w:tc>
        <w:tc>
          <w:tcPr>
            <w:tcW w:w="517" w:type="pct"/>
            <w:vAlign w:val="center"/>
          </w:tcPr>
          <w:p w14:paraId="1479BE47">
            <w:pPr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同类业绩</w:t>
            </w:r>
          </w:p>
        </w:tc>
        <w:tc>
          <w:tcPr>
            <w:tcW w:w="424" w:type="pct"/>
            <w:vAlign w:val="center"/>
          </w:tcPr>
          <w:p w14:paraId="46ABD8D0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20</w:t>
            </w:r>
          </w:p>
        </w:tc>
        <w:tc>
          <w:tcPr>
            <w:tcW w:w="2559" w:type="pct"/>
            <w:vAlign w:val="center"/>
          </w:tcPr>
          <w:p w14:paraId="234013A1"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根据供应商近三年内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至少10个</w:t>
            </w:r>
            <w:r>
              <w:rPr>
                <w:rFonts w:ascii="宋体" w:hAnsi="宋体"/>
                <w:color w:val="auto"/>
                <w:kern w:val="0"/>
              </w:rPr>
              <w:t>同类项目的业绩经验、合作成效进行综合比较打分。</w:t>
            </w:r>
          </w:p>
          <w:p w14:paraId="59DA5E5D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注：</w:t>
            </w:r>
            <w:r>
              <w:rPr>
                <w:rFonts w:ascii="宋体" w:hAnsi="宋体"/>
                <w:color w:val="auto"/>
                <w:kern w:val="0"/>
              </w:rPr>
              <w:t>须提供合同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关键页</w:t>
            </w:r>
            <w:r>
              <w:rPr>
                <w:rFonts w:ascii="宋体" w:hAnsi="宋体"/>
                <w:color w:val="auto"/>
                <w:kern w:val="0"/>
              </w:rPr>
              <w:t>复印件</w:t>
            </w:r>
          </w:p>
          <w:p w14:paraId="465E6202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优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</w:t>
            </w:r>
            <w:r>
              <w:rPr>
                <w:rFonts w:ascii="宋体" w:hAnsi="宋体"/>
                <w:color w:val="auto"/>
                <w:kern w:val="0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15</w:t>
            </w:r>
            <w:r>
              <w:rPr>
                <w:rFonts w:ascii="宋体" w:hAnsi="宋体"/>
                <w:color w:val="auto"/>
                <w:kern w:val="0"/>
              </w:rPr>
              <w:t>分，一般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10</w:t>
            </w:r>
            <w:r>
              <w:rPr>
                <w:rFonts w:ascii="宋体" w:hAnsi="宋体"/>
                <w:color w:val="auto"/>
                <w:kern w:val="0"/>
              </w:rPr>
              <w:t>分。</w:t>
            </w:r>
          </w:p>
        </w:tc>
        <w:tc>
          <w:tcPr>
            <w:tcW w:w="486" w:type="pct"/>
            <w:vAlign w:val="center"/>
          </w:tcPr>
          <w:p w14:paraId="372F6AC3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5E2AD20D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</w:tr>
      <w:tr w14:paraId="30A3AC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429" w:type="pct"/>
            <w:vMerge w:val="continue"/>
            <w:vAlign w:val="center"/>
          </w:tcPr>
          <w:p w14:paraId="471BC7D7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17" w:type="pct"/>
            <w:vAlign w:val="center"/>
          </w:tcPr>
          <w:p w14:paraId="47C1C6BB">
            <w:pPr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供应商综合实力</w:t>
            </w:r>
          </w:p>
        </w:tc>
        <w:tc>
          <w:tcPr>
            <w:tcW w:w="424" w:type="pct"/>
            <w:vAlign w:val="center"/>
          </w:tcPr>
          <w:p w14:paraId="755F13E2">
            <w:pPr>
              <w:widowControl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10</w:t>
            </w:r>
          </w:p>
        </w:tc>
        <w:tc>
          <w:tcPr>
            <w:tcW w:w="2559" w:type="pct"/>
            <w:vAlign w:val="center"/>
          </w:tcPr>
          <w:p w14:paraId="728A85B3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根据供应商的公司简介，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综合实力</w:t>
            </w:r>
            <w:r>
              <w:rPr>
                <w:rFonts w:ascii="宋体" w:hAnsi="宋体"/>
                <w:color w:val="auto"/>
                <w:kern w:val="0"/>
              </w:rPr>
              <w:t>，荣誉证书等综合比较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  <w:p w14:paraId="5B5080C8"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优10分，良8分，一般5分。</w:t>
            </w:r>
          </w:p>
        </w:tc>
        <w:tc>
          <w:tcPr>
            <w:tcW w:w="486" w:type="pct"/>
            <w:vAlign w:val="center"/>
          </w:tcPr>
          <w:p w14:paraId="5BED685A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685E3FD3">
            <w:pPr>
              <w:jc w:val="center"/>
              <w:rPr>
                <w:rFonts w:ascii="宋体" w:hAnsi="宋体"/>
                <w:color w:val="auto"/>
                <w:kern w:val="0"/>
              </w:rPr>
            </w:pPr>
          </w:p>
        </w:tc>
      </w:tr>
      <w:tr w14:paraId="404A0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429" w:type="pct"/>
            <w:vMerge w:val="continue"/>
            <w:vAlign w:val="center"/>
          </w:tcPr>
          <w:p w14:paraId="7029859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7" w:type="pct"/>
            <w:vAlign w:val="center"/>
          </w:tcPr>
          <w:p w14:paraId="76C773BE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424" w:type="pct"/>
            <w:vAlign w:val="center"/>
          </w:tcPr>
          <w:p w14:paraId="77556AD4"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2559" w:type="pct"/>
            <w:vAlign w:val="center"/>
          </w:tcPr>
          <w:p w14:paraId="193FDC6E">
            <w:pPr>
              <w:widowControl/>
              <w:jc w:val="left"/>
              <w:rPr>
                <w:rFonts w:hint="eastAsia" w:ascii="宋体" w:hAnsi="宋体" w:eastAsiaTheme="minorEastAsia"/>
                <w:color w:val="auto"/>
                <w:kern w:val="0"/>
                <w:lang w:eastAsia="zh-CN"/>
              </w:rPr>
            </w:pPr>
            <w:r>
              <w:rPr>
                <w:rFonts w:ascii="宋体" w:hAnsi="宋体"/>
                <w:color w:val="auto"/>
                <w:kern w:val="0"/>
              </w:rPr>
              <w:t>根据供应商对本项目的服务承诺，保证措施等进行综合比较。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需提供承诺函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  <w:p w14:paraId="6B599E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优10分，良7分，一般4分，不提供不得分。</w:t>
            </w:r>
          </w:p>
        </w:tc>
        <w:tc>
          <w:tcPr>
            <w:tcW w:w="486" w:type="pct"/>
            <w:vAlign w:val="center"/>
          </w:tcPr>
          <w:p w14:paraId="0A0D4F3B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35D75BE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09BDB8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429" w:type="pct"/>
            <w:vMerge w:val="continue"/>
            <w:vAlign w:val="center"/>
          </w:tcPr>
          <w:p w14:paraId="720CE21B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7" w:type="pct"/>
            <w:vAlign w:val="center"/>
          </w:tcPr>
          <w:p w14:paraId="6B41950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424" w:type="pct"/>
            <w:vAlign w:val="center"/>
          </w:tcPr>
          <w:p w14:paraId="31740CB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2559" w:type="pct"/>
            <w:vAlign w:val="center"/>
          </w:tcPr>
          <w:p w14:paraId="10240FC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</w:t>
            </w:r>
          </w:p>
          <w:p w14:paraId="0CFD67A6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优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486" w:type="pct"/>
            <w:vAlign w:val="center"/>
          </w:tcPr>
          <w:p w14:paraId="2D8A09A0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4722174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6FBC5E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929" w:type="pct"/>
            <w:gridSpan w:val="4"/>
            <w:vAlign w:val="center"/>
          </w:tcPr>
          <w:p w14:paraId="513CECB4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486" w:type="pct"/>
            <w:vAlign w:val="center"/>
          </w:tcPr>
          <w:p w14:paraId="4FBF7F4F">
            <w:pPr>
              <w:jc w:val="center"/>
              <w:rPr>
                <w:rFonts w:ascii="宋体" w:hAnsi="宋体"/>
                <w:kern w:val="0"/>
              </w:rPr>
            </w:pPr>
          </w:p>
          <w:p w14:paraId="68F49039">
            <w:pPr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 w14:paraId="0E4B6E30">
            <w:pPr>
              <w:rPr>
                <w:rFonts w:ascii="宋体" w:hAnsi="宋体"/>
                <w:kern w:val="0"/>
              </w:rPr>
            </w:pPr>
          </w:p>
        </w:tc>
      </w:tr>
    </w:tbl>
    <w:p w14:paraId="4BA5680D">
      <w:pPr>
        <w:ind w:firstLine="210" w:firstLineChars="100"/>
      </w:pPr>
      <w:r>
        <w:rPr>
          <w:rFonts w:hint="eastAsia"/>
        </w:rPr>
        <w:t>评审人员签名：</w:t>
      </w:r>
    </w:p>
    <w:p w14:paraId="7B18DDB4">
      <w:pPr>
        <w:rPr>
          <w:rFonts w:ascii="宋体" w:hAnsi="宋体" w:eastAsia="宋体"/>
        </w:rPr>
      </w:pPr>
    </w:p>
    <w:sectPr>
      <w:pgSz w:w="11906" w:h="16838"/>
      <w:pgMar w:top="1440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Segoe Prin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3NmI4MjU4YTk4NjQyMzZkMTVlMzFkM2RjMmIzYjYifQ=="/>
  </w:docVars>
  <w:rsids>
    <w:rsidRoot w:val="00A43C43"/>
    <w:rsid w:val="00136A5E"/>
    <w:rsid w:val="002964B6"/>
    <w:rsid w:val="003C15F7"/>
    <w:rsid w:val="005013EF"/>
    <w:rsid w:val="006B14E5"/>
    <w:rsid w:val="00716F45"/>
    <w:rsid w:val="007D153B"/>
    <w:rsid w:val="00836756"/>
    <w:rsid w:val="00870252"/>
    <w:rsid w:val="0095214B"/>
    <w:rsid w:val="00974CD2"/>
    <w:rsid w:val="00A40B8C"/>
    <w:rsid w:val="00A43C43"/>
    <w:rsid w:val="00AF6F8D"/>
    <w:rsid w:val="00C81399"/>
    <w:rsid w:val="00D833CD"/>
    <w:rsid w:val="00E4597C"/>
    <w:rsid w:val="00E97B3E"/>
    <w:rsid w:val="00ED3C76"/>
    <w:rsid w:val="00F52A8D"/>
    <w:rsid w:val="00F57942"/>
    <w:rsid w:val="0168325F"/>
    <w:rsid w:val="09BE25B6"/>
    <w:rsid w:val="0A786C09"/>
    <w:rsid w:val="0D9F625A"/>
    <w:rsid w:val="0FCE72CB"/>
    <w:rsid w:val="14B4083D"/>
    <w:rsid w:val="172D48D7"/>
    <w:rsid w:val="22903D7B"/>
    <w:rsid w:val="2435301D"/>
    <w:rsid w:val="275810EF"/>
    <w:rsid w:val="27AF188C"/>
    <w:rsid w:val="27DEA2FB"/>
    <w:rsid w:val="2E6B5FB9"/>
    <w:rsid w:val="302E3742"/>
    <w:rsid w:val="30C6397A"/>
    <w:rsid w:val="30D51ACE"/>
    <w:rsid w:val="3264344B"/>
    <w:rsid w:val="33F407FF"/>
    <w:rsid w:val="366768F6"/>
    <w:rsid w:val="38882185"/>
    <w:rsid w:val="49A64EFC"/>
    <w:rsid w:val="49C346A0"/>
    <w:rsid w:val="4CD64983"/>
    <w:rsid w:val="546C1453"/>
    <w:rsid w:val="5671730F"/>
    <w:rsid w:val="57F1C889"/>
    <w:rsid w:val="57FE3B6D"/>
    <w:rsid w:val="5BAD7361"/>
    <w:rsid w:val="5CA42512"/>
    <w:rsid w:val="60573350"/>
    <w:rsid w:val="64832121"/>
    <w:rsid w:val="659F7B58"/>
    <w:rsid w:val="65C94568"/>
    <w:rsid w:val="696349CC"/>
    <w:rsid w:val="6D3F3BE4"/>
    <w:rsid w:val="6F157D87"/>
    <w:rsid w:val="70B83290"/>
    <w:rsid w:val="74BD640F"/>
    <w:rsid w:val="750000AA"/>
    <w:rsid w:val="76EDE98F"/>
    <w:rsid w:val="79BB39C9"/>
    <w:rsid w:val="7BDB58F3"/>
    <w:rsid w:val="7EEF303D"/>
    <w:rsid w:val="7F7DF97C"/>
    <w:rsid w:val="7FFF9724"/>
    <w:rsid w:val="8FEFD96A"/>
    <w:rsid w:val="B6CE3F81"/>
    <w:rsid w:val="EBF72147"/>
    <w:rsid w:val="FBF3E607"/>
    <w:rsid w:val="FDFC6F29"/>
    <w:rsid w:val="FF6FB559"/>
    <w:rsid w:val="FFB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eastAsia="宋体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/>
      <w:ind w:firstLine="4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4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oc 31"/>
    <w:next w:val="1"/>
    <w:autoRedefine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Normal (Web)"/>
    <w:basedOn w:val="1"/>
    <w:autoRedefine/>
    <w:qFormat/>
    <w:uiPriority w:val="0"/>
    <w:rPr>
      <w:rFonts w:ascii="Times New Roman" w:hAnsi="Times New Roman" w:eastAsia="仿宋_GB2312" w:cs="Times New Roman"/>
      <w:sz w:val="24"/>
      <w:szCs w:val="20"/>
    </w:rPr>
  </w:style>
  <w:style w:type="paragraph" w:styleId="9">
    <w:name w:val="Body Text First Indent 2"/>
    <w:basedOn w:val="4"/>
    <w:link w:val="17"/>
    <w:autoRedefine/>
    <w:qFormat/>
    <w:uiPriority w:val="0"/>
    <w:pPr>
      <w:autoSpaceDE w:val="0"/>
      <w:autoSpaceDN w:val="0"/>
      <w:adjustRightInd w:val="0"/>
      <w:spacing w:after="0" w:line="480" w:lineRule="exact"/>
      <w:ind w:left="850" w:leftChars="0" w:firstLine="420" w:firstLineChars="200"/>
      <w:textAlignment w:val="baseline"/>
    </w:pPr>
    <w:rPr>
      <w:rFonts w:ascii="宋体" w:hAnsi="MS Sans Serif" w:eastAsia="仿宋_GB2312" w:cs="Times New Roman"/>
      <w:spacing w:val="12"/>
      <w:kern w:val="0"/>
      <w:sz w:val="28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标题 3 Char"/>
    <w:basedOn w:val="12"/>
    <w:link w:val="2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5">
    <w:name w:val="纯文本 Char"/>
    <w:basedOn w:val="12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正文文本缩进 Char"/>
    <w:basedOn w:val="12"/>
    <w:link w:val="4"/>
    <w:semiHidden/>
    <w:qFormat/>
    <w:uiPriority w:val="99"/>
  </w:style>
  <w:style w:type="character" w:customStyle="1" w:styleId="17">
    <w:name w:val="正文首行缩进 2 Char"/>
    <w:basedOn w:val="16"/>
    <w:link w:val="9"/>
    <w:autoRedefine/>
    <w:qFormat/>
    <w:uiPriority w:val="0"/>
    <w:rPr>
      <w:rFonts w:ascii="宋体" w:hAnsi="MS Sans Serif" w:eastAsia="仿宋_GB2312" w:cs="Times New Roman"/>
      <w:spacing w:val="12"/>
      <w:kern w:val="0"/>
      <w:sz w:val="28"/>
      <w:szCs w:val="20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877</Words>
  <Characters>900</Characters>
  <Lines>6</Lines>
  <Paragraphs>1</Paragraphs>
  <TotalTime>4</TotalTime>
  <ScaleCrop>false</ScaleCrop>
  <LinksUpToDate>false</LinksUpToDate>
  <CharactersWithSpaces>902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2024-03-04T01:30:00Z</dcterms:created>
  <dc:creator>Waigin Cheung</dc:creator>
  <cp:lastModifiedBy>故攸</cp:lastModifiedBy>
  <dcterms:modified xsi:type="dcterms:W3CDTF">2024-11-28T08:22:39Z</dcterms:modified>
  <dc:title>附件3：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FDCEEBA6040F4DC092893E5F50946985_13</vt:lpwstr>
  </property>
</Properties>
</file>