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B8FA">
      <w:pPr>
        <w:ind w:left="34" w:leftChars="16"/>
        <w:jc w:val="left"/>
        <w:rPr>
          <w:rFonts w:ascii="宋体" w:hAnsi="宋体" w:eastAsia="宋体" w:cs="宋体"/>
          <w:b/>
          <w:bCs/>
          <w:sz w:val="28"/>
          <w:szCs w:val="28"/>
        </w:rPr>
      </w:pPr>
      <w:r>
        <w:rPr>
          <w:rFonts w:hint="eastAsia" w:ascii="宋体" w:hAnsi="宋体" w:eastAsia="宋体" w:cs="宋体"/>
          <w:b/>
          <w:bCs/>
          <w:sz w:val="28"/>
          <w:szCs w:val="28"/>
        </w:rPr>
        <w:t>附件</w:t>
      </w:r>
    </w:p>
    <w:p w14:paraId="1F88F9F1">
      <w:pPr>
        <w:ind w:left="34" w:leftChars="16"/>
        <w:jc w:val="center"/>
        <w:rPr>
          <w:rFonts w:ascii="宋体" w:hAnsi="宋体" w:eastAsia="宋体" w:cs="宋体"/>
          <w:b/>
          <w:bCs/>
          <w:sz w:val="36"/>
          <w:szCs w:val="36"/>
        </w:rPr>
      </w:pPr>
      <w:r>
        <w:rPr>
          <w:rFonts w:hint="eastAsia" w:ascii="宋体" w:hAnsi="宋体" w:eastAsia="宋体" w:cs="宋体"/>
          <w:b/>
          <w:bCs/>
          <w:sz w:val="36"/>
          <w:szCs w:val="36"/>
        </w:rPr>
        <w:t>江门市鹤山公路事务中心机关食堂</w:t>
      </w:r>
    </w:p>
    <w:p w14:paraId="15D093B5">
      <w:pPr>
        <w:ind w:left="34" w:leftChars="16"/>
        <w:jc w:val="center"/>
        <w:rPr>
          <w:rFonts w:ascii="宋体" w:hAnsi="宋体" w:eastAsia="宋体" w:cs="宋体"/>
          <w:b/>
          <w:bCs/>
          <w:sz w:val="36"/>
          <w:szCs w:val="36"/>
        </w:rPr>
      </w:pPr>
      <w:r>
        <w:rPr>
          <w:rFonts w:hint="eastAsia" w:ascii="宋体" w:hAnsi="宋体" w:eastAsia="宋体" w:cs="宋体"/>
          <w:b/>
          <w:bCs/>
          <w:sz w:val="36"/>
          <w:szCs w:val="36"/>
          <w:lang w:val="en-US" w:eastAsia="zh-CN"/>
        </w:rPr>
        <w:t>供餐</w:t>
      </w:r>
      <w:r>
        <w:rPr>
          <w:rFonts w:hint="eastAsia" w:ascii="宋体" w:hAnsi="宋体" w:eastAsia="宋体" w:cs="宋体"/>
          <w:b/>
          <w:bCs/>
          <w:sz w:val="36"/>
          <w:szCs w:val="36"/>
        </w:rPr>
        <w:t>服务项目采购评分标准</w:t>
      </w:r>
    </w:p>
    <w:p w14:paraId="1010BF4C">
      <w:pPr>
        <w:pStyle w:val="2"/>
      </w:pPr>
    </w:p>
    <w:p w14:paraId="43A298CB">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14:paraId="7D421ABC">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本次采购采用综合选取的方式确定中选单位。评选小组先对报名单位进行初步评审；然后对满足初步评审要求的单位，按照详细评审规定的评分标准进行打分。</w:t>
      </w:r>
    </w:p>
    <w:p w14:paraId="6E98E014">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14:paraId="6E387FDC">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综合评分相等时，评选小组视报名单位的情况综合比较，投票确定其名次。</w:t>
      </w:r>
    </w:p>
    <w:p w14:paraId="3F12323F">
      <w:pPr>
        <w:pStyle w:val="2"/>
      </w:pPr>
    </w:p>
    <w:p w14:paraId="5BE49937">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14:paraId="600A8E8B">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47FDD8C2">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14:paraId="2F2936E5">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14:paraId="0972375F">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7E41D14B">
            <w:pPr>
              <w:pStyle w:val="6"/>
              <w:shd w:val="clear" w:color="auto" w:fill="FFFFFF"/>
              <w:spacing w:before="0" w:beforeAutospacing="0" w:after="0" w:afterAutospacing="0" w:line="720" w:lineRule="atLeast"/>
              <w:jc w:val="center"/>
              <w:textAlignment w:val="baseline"/>
              <w:rPr>
                <w:rFonts w:ascii="仿宋" w:hAnsi="仿宋" w:eastAsia="仿宋" w:cs="Times New Roman"/>
                <w:color w:val="000000"/>
              </w:rPr>
            </w:pPr>
            <w:r>
              <w:rPr>
                <w:rStyle w:val="9"/>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14:paraId="1F7A75A7">
            <w:pPr>
              <w:widowControl/>
              <w:spacing w:line="360" w:lineRule="exact"/>
              <w:ind w:right="108"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1.符合《中华人民共和国政府采购法》第二十二条和《中华人民共和国政府采购法实施条例》第十七条的规定；</w:t>
            </w:r>
          </w:p>
          <w:p w14:paraId="25EC147F">
            <w:pPr>
              <w:widowControl/>
              <w:spacing w:line="360" w:lineRule="exact"/>
              <w:ind w:right="108" w:firstLine="480" w:firstLineChars="200"/>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2.具备</w:t>
            </w:r>
            <w:r>
              <w:rPr>
                <w:rFonts w:ascii="仿宋" w:hAnsi="仿宋" w:eastAsia="仿宋" w:cs="Times New Roman"/>
                <w:color w:val="000000"/>
                <w:kern w:val="0"/>
                <w:sz w:val="24"/>
                <w:szCs w:val="24"/>
              </w:rPr>
              <w:t>年检合格的营业执照和</w:t>
            </w:r>
            <w:r>
              <w:rPr>
                <w:rFonts w:hint="eastAsia" w:ascii="仿宋" w:hAnsi="仿宋" w:eastAsia="仿宋" w:cs="Times New Roman"/>
                <w:color w:val="000000"/>
                <w:kern w:val="0"/>
                <w:sz w:val="24"/>
                <w:szCs w:val="24"/>
              </w:rPr>
              <w:t>相应行业资质；</w:t>
            </w:r>
            <w:bookmarkStart w:id="0" w:name="_GoBack"/>
            <w:bookmarkEnd w:id="0"/>
          </w:p>
          <w:p w14:paraId="6AF115DD">
            <w:pPr>
              <w:widowControl/>
              <w:spacing w:line="360" w:lineRule="exact"/>
              <w:ind w:right="108" w:firstLine="480" w:firstLineChars="200"/>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r>
              <w:rPr>
                <w:rFonts w:ascii="仿宋" w:hAnsi="仿宋" w:eastAsia="仿宋" w:cs="Times New Roman"/>
                <w:color w:val="000000"/>
                <w:kern w:val="0"/>
                <w:sz w:val="24"/>
                <w:szCs w:val="24"/>
              </w:rPr>
              <w:t>.具有独立承担民事责任能力的在中华人民共和国境内注册的法人；</w:t>
            </w:r>
          </w:p>
          <w:p w14:paraId="196BD780">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r>
              <w:rPr>
                <w:rFonts w:ascii="仿宋" w:hAnsi="仿宋" w:eastAsia="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14:paraId="092191D2">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r>
              <w:rPr>
                <w:rFonts w:ascii="仿宋" w:hAnsi="仿宋" w:eastAsia="仿宋" w:cs="Times New Roman"/>
                <w:color w:val="000000"/>
                <w:kern w:val="0"/>
                <w:sz w:val="24"/>
                <w:szCs w:val="24"/>
              </w:rPr>
              <w:t>.本项目不接受联合体供应商投标；不允许转包、分包。</w:t>
            </w:r>
          </w:p>
        </w:tc>
      </w:tr>
    </w:tbl>
    <w:p w14:paraId="7A11DDBA">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7"/>
        <w:tblW w:w="10074" w:type="dxa"/>
        <w:jc w:val="center"/>
        <w:tblLayout w:type="fixed"/>
        <w:tblCellMar>
          <w:top w:w="0" w:type="dxa"/>
          <w:left w:w="108" w:type="dxa"/>
          <w:bottom w:w="67" w:type="dxa"/>
          <w:right w:w="0" w:type="dxa"/>
        </w:tblCellMar>
      </w:tblPr>
      <w:tblGrid>
        <w:gridCol w:w="655"/>
        <w:gridCol w:w="1481"/>
        <w:gridCol w:w="6662"/>
        <w:gridCol w:w="1276"/>
      </w:tblGrid>
      <w:tr w14:paraId="12486A5A">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C6CC89D">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序号</w:t>
            </w:r>
          </w:p>
        </w:tc>
        <w:tc>
          <w:tcPr>
            <w:tcW w:w="1481" w:type="dxa"/>
            <w:tcBorders>
              <w:top w:val="single" w:color="000000" w:sz="4" w:space="0"/>
              <w:left w:val="single" w:color="000000" w:sz="4" w:space="0"/>
              <w:bottom w:val="single" w:color="000000" w:sz="4" w:space="0"/>
              <w:right w:val="single" w:color="000000" w:sz="4" w:space="0"/>
            </w:tcBorders>
            <w:vAlign w:val="center"/>
          </w:tcPr>
          <w:p w14:paraId="14D74E75">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评价项目</w:t>
            </w:r>
          </w:p>
        </w:tc>
        <w:tc>
          <w:tcPr>
            <w:tcW w:w="6662" w:type="dxa"/>
            <w:tcBorders>
              <w:top w:val="single" w:color="000000" w:sz="4" w:space="0"/>
              <w:left w:val="single" w:color="000000" w:sz="4" w:space="0"/>
              <w:bottom w:val="single" w:color="000000" w:sz="4" w:space="0"/>
              <w:right w:val="single" w:color="000000" w:sz="4" w:space="0"/>
            </w:tcBorders>
            <w:vAlign w:val="center"/>
          </w:tcPr>
          <w:p w14:paraId="426C47DD">
            <w:pPr>
              <w:widowControl/>
              <w:spacing w:line="400" w:lineRule="exact"/>
              <w:ind w:right="107"/>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评价标准</w:t>
            </w:r>
          </w:p>
        </w:tc>
        <w:tc>
          <w:tcPr>
            <w:tcW w:w="1276" w:type="dxa"/>
            <w:tcBorders>
              <w:top w:val="single" w:color="000000" w:sz="4" w:space="0"/>
              <w:left w:val="single" w:color="000000" w:sz="4" w:space="0"/>
              <w:bottom w:val="single" w:color="000000" w:sz="4" w:space="0"/>
              <w:right w:val="single" w:color="000000" w:sz="4" w:space="0"/>
            </w:tcBorders>
            <w:vAlign w:val="center"/>
          </w:tcPr>
          <w:p w14:paraId="7ACAE01F">
            <w:pPr>
              <w:widowControl/>
              <w:spacing w:line="400" w:lineRule="exact"/>
              <w:jc w:val="center"/>
              <w:rPr>
                <w:rFonts w:ascii="仿宋" w:hAnsi="仿宋" w:eastAsia="仿宋" w:cs="Times New Roman"/>
                <w:b/>
                <w:color w:val="000000"/>
                <w:sz w:val="24"/>
                <w:szCs w:val="24"/>
              </w:rPr>
            </w:pPr>
            <w:r>
              <w:rPr>
                <w:rFonts w:ascii="仿宋" w:hAnsi="仿宋" w:eastAsia="仿宋" w:cs="Times New Roman"/>
                <w:b/>
                <w:color w:val="000000"/>
                <w:sz w:val="24"/>
                <w:szCs w:val="24"/>
              </w:rPr>
              <w:t>单项分数（分）</w:t>
            </w:r>
          </w:p>
        </w:tc>
      </w:tr>
      <w:tr w14:paraId="5836BCDE">
        <w:tblPrEx>
          <w:tblCellMar>
            <w:top w:w="0" w:type="dxa"/>
            <w:left w:w="108" w:type="dxa"/>
            <w:bottom w:w="67" w:type="dxa"/>
            <w:right w:w="0" w:type="dxa"/>
          </w:tblCellMar>
        </w:tblPrEx>
        <w:trPr>
          <w:trHeight w:val="268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10E2C5F">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p>
        </w:tc>
        <w:tc>
          <w:tcPr>
            <w:tcW w:w="1481" w:type="dxa"/>
            <w:tcBorders>
              <w:top w:val="single" w:color="000000" w:sz="4" w:space="0"/>
              <w:left w:val="single" w:color="000000" w:sz="4" w:space="0"/>
              <w:bottom w:val="single" w:color="000000" w:sz="4" w:space="0"/>
              <w:right w:val="single" w:color="000000" w:sz="4" w:space="0"/>
            </w:tcBorders>
            <w:vAlign w:val="center"/>
          </w:tcPr>
          <w:p w14:paraId="2AE2EC1B">
            <w:pPr>
              <w:widowControl/>
              <w:spacing w:line="360" w:lineRule="exact"/>
              <w:ind w:right="108"/>
              <w:jc w:val="center"/>
              <w:rPr>
                <w:rStyle w:val="9"/>
                <w:rFonts w:ascii="Times New Roman" w:hAnsi="Times New Roman" w:cs="Times New Roman"/>
                <w:szCs w:val="30"/>
              </w:rPr>
            </w:pPr>
            <w:r>
              <w:rPr>
                <w:rStyle w:val="9"/>
                <w:rFonts w:ascii="仿宋" w:hAnsi="仿宋" w:eastAsia="仿宋" w:cs="Times New Roman"/>
                <w:sz w:val="24"/>
                <w:szCs w:val="24"/>
              </w:rPr>
              <w:t>实施方案</w:t>
            </w:r>
          </w:p>
        </w:tc>
        <w:tc>
          <w:tcPr>
            <w:tcW w:w="6662" w:type="dxa"/>
            <w:tcBorders>
              <w:top w:val="single" w:color="000000" w:sz="4" w:space="0"/>
              <w:left w:val="single" w:color="000000" w:sz="4" w:space="0"/>
              <w:bottom w:val="single" w:color="000000" w:sz="4" w:space="0"/>
              <w:right w:val="single" w:color="000000" w:sz="4" w:space="0"/>
            </w:tcBorders>
            <w:vAlign w:val="center"/>
          </w:tcPr>
          <w:p w14:paraId="4FC8290C">
            <w:pPr>
              <w:widowControl/>
              <w:spacing w:line="360" w:lineRule="exact"/>
              <w:ind w:right="108"/>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 xml:space="preserve">总体评价： </w:t>
            </w:r>
          </w:p>
          <w:p w14:paraId="14A2092D">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1.优：实施方案全面、完善、合理，可行性和可操作性强，贴合实际需求的，具有完备的餐饮应急预案及规章制度，15&lt;得分≤</w:t>
            </w:r>
            <w:r>
              <w:rPr>
                <w:rStyle w:val="9"/>
                <w:rFonts w:hint="eastAsia" w:ascii="仿宋" w:hAnsi="仿宋" w:eastAsia="仿宋" w:cs="Times New Roman"/>
                <w:b w:val="0"/>
                <w:sz w:val="24"/>
                <w:szCs w:val="24"/>
                <w:lang w:val="en-US" w:eastAsia="zh-CN"/>
              </w:rPr>
              <w:t>3</w:t>
            </w:r>
            <w:r>
              <w:rPr>
                <w:rStyle w:val="9"/>
                <w:rFonts w:hint="eastAsia" w:ascii="仿宋" w:hAnsi="仿宋" w:eastAsia="仿宋" w:cs="Times New Roman"/>
                <w:b w:val="0"/>
                <w:sz w:val="24"/>
                <w:szCs w:val="24"/>
              </w:rPr>
              <w:t xml:space="preserve">0； </w:t>
            </w:r>
          </w:p>
          <w:p w14:paraId="1A0B3DCA">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2.良：实施方案较全面、完善，可行性和可操作性较强，具有可行的餐饮应急预案及规章制度，10&lt;得分≤15；</w:t>
            </w:r>
          </w:p>
          <w:p w14:paraId="7A80C8C1">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3.中：实施方案较全面不够合理，可行性和可操作性一般，0&lt;得分≤10；</w:t>
            </w:r>
          </w:p>
          <w:p w14:paraId="09BA557C">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 xml:space="preserve">4.差：实施方案不全，可行性和可操作性较差，得分为0。 </w:t>
            </w:r>
          </w:p>
          <w:p w14:paraId="14953440">
            <w:pPr>
              <w:widowControl/>
              <w:spacing w:line="360" w:lineRule="exact"/>
              <w:ind w:right="108" w:firstLine="470" w:firstLineChars="196"/>
              <w:rPr>
                <w:rFonts w:ascii="仿宋" w:hAnsi="仿宋" w:eastAsia="仿宋" w:cs="Times New Roman"/>
                <w:color w:val="000000"/>
                <w:kern w:val="0"/>
                <w:sz w:val="24"/>
                <w:szCs w:val="24"/>
              </w:rPr>
            </w:pPr>
            <w:r>
              <w:rPr>
                <w:rStyle w:val="9"/>
                <w:rFonts w:hint="eastAsia" w:ascii="仿宋" w:hAnsi="仿宋" w:eastAsia="仿宋" w:cs="Times New Roman"/>
                <w:b w:val="0"/>
                <w:sz w:val="24"/>
                <w:szCs w:val="24"/>
              </w:rPr>
              <w:t>注：供应商需针对本项目提供含服务体系、拟投入人员、应急预案、质量控制措施的实施方案，不提供相关资料不得分。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0BEA1B26">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kern w:val="0"/>
                <w:sz w:val="24"/>
                <w:szCs w:val="24"/>
              </w:rPr>
              <w:t>30</w:t>
            </w:r>
          </w:p>
        </w:tc>
      </w:tr>
      <w:tr w14:paraId="37D995AA">
        <w:tblPrEx>
          <w:tblCellMar>
            <w:top w:w="0" w:type="dxa"/>
            <w:left w:w="108" w:type="dxa"/>
            <w:bottom w:w="67" w:type="dxa"/>
            <w:right w:w="0" w:type="dxa"/>
          </w:tblCellMar>
        </w:tblPrEx>
        <w:trPr>
          <w:trHeight w:val="195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A9EFE90">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p>
        </w:tc>
        <w:tc>
          <w:tcPr>
            <w:tcW w:w="1481" w:type="dxa"/>
            <w:tcBorders>
              <w:top w:val="single" w:color="000000" w:sz="4" w:space="0"/>
              <w:left w:val="single" w:color="000000" w:sz="4" w:space="0"/>
              <w:bottom w:val="single" w:color="000000" w:sz="4" w:space="0"/>
              <w:right w:val="single" w:color="000000" w:sz="4" w:space="0"/>
            </w:tcBorders>
            <w:vAlign w:val="center"/>
          </w:tcPr>
          <w:p w14:paraId="4785D40D">
            <w:pPr>
              <w:widowControl/>
              <w:spacing w:line="360" w:lineRule="exact"/>
              <w:ind w:right="108"/>
              <w:jc w:val="center"/>
              <w:rPr>
                <w:rFonts w:ascii="仿宋" w:hAnsi="仿宋" w:eastAsia="仿宋" w:cs="Times New Roman"/>
                <w:color w:val="000000"/>
                <w:kern w:val="0"/>
                <w:sz w:val="24"/>
                <w:szCs w:val="24"/>
              </w:rPr>
            </w:pPr>
            <w:r>
              <w:rPr>
                <w:rStyle w:val="9"/>
                <w:rFonts w:ascii="仿宋" w:hAnsi="仿宋" w:eastAsia="仿宋" w:cs="Times New Roman"/>
                <w:sz w:val="24"/>
                <w:szCs w:val="24"/>
              </w:rPr>
              <w:t>经营业绩</w:t>
            </w:r>
          </w:p>
        </w:tc>
        <w:tc>
          <w:tcPr>
            <w:tcW w:w="6662" w:type="dxa"/>
            <w:tcBorders>
              <w:top w:val="single" w:color="000000" w:sz="4" w:space="0"/>
              <w:left w:val="single" w:color="000000" w:sz="4" w:space="0"/>
              <w:bottom w:val="single" w:color="000000" w:sz="4" w:space="0"/>
              <w:right w:val="single" w:color="000000" w:sz="4" w:space="0"/>
            </w:tcBorders>
            <w:vAlign w:val="center"/>
          </w:tcPr>
          <w:p w14:paraId="6F679C52">
            <w:pPr>
              <w:spacing w:line="276" w:lineRule="auto"/>
              <w:rPr>
                <w:rFonts w:hint="eastAsia" w:ascii="仿宋" w:hAnsi="仿宋" w:eastAsia="仿宋" w:cs="Times New Roman"/>
                <w:color w:val="000000"/>
                <w:kern w:val="0"/>
                <w:sz w:val="24"/>
                <w:szCs w:val="24"/>
                <w:lang w:eastAsia="zh-CN"/>
              </w:rPr>
            </w:pPr>
            <w:r>
              <w:rPr>
                <w:rFonts w:hint="eastAsia" w:ascii="仿宋" w:hAnsi="仿宋" w:eastAsia="仿宋" w:cs="Times New Roman"/>
                <w:color w:val="000000"/>
                <w:kern w:val="0"/>
                <w:sz w:val="24"/>
                <w:szCs w:val="24"/>
              </w:rPr>
              <w:t>近三年承接过同类项目业绩，提供</w:t>
            </w:r>
            <w:r>
              <w:rPr>
                <w:rFonts w:hint="eastAsia" w:ascii="仿宋" w:hAnsi="仿宋" w:eastAsia="仿宋" w:cs="Times New Roman"/>
                <w:color w:val="000000"/>
                <w:kern w:val="0"/>
                <w:sz w:val="24"/>
                <w:szCs w:val="24"/>
                <w:lang w:val="en-US" w:eastAsia="zh-CN"/>
              </w:rPr>
              <w:t>相关</w:t>
            </w:r>
            <w:r>
              <w:rPr>
                <w:rFonts w:hint="eastAsia" w:ascii="仿宋" w:hAnsi="仿宋" w:eastAsia="仿宋" w:cs="Times New Roman"/>
                <w:color w:val="000000"/>
                <w:kern w:val="0"/>
                <w:sz w:val="24"/>
                <w:szCs w:val="24"/>
              </w:rPr>
              <w:t>业绩，综合比较打分</w:t>
            </w:r>
            <w:r>
              <w:rPr>
                <w:rFonts w:hint="eastAsia" w:ascii="仿宋" w:hAnsi="仿宋" w:eastAsia="仿宋" w:cs="Times New Roman"/>
                <w:color w:val="000000"/>
                <w:kern w:val="0"/>
                <w:sz w:val="24"/>
                <w:szCs w:val="24"/>
                <w:lang w:eastAsia="zh-CN"/>
              </w:rPr>
              <w:t>。</w:t>
            </w:r>
          </w:p>
          <w:p w14:paraId="660A0532">
            <w:pPr>
              <w:spacing w:line="276" w:lineRule="auto"/>
              <w:rPr>
                <w:rFonts w:hint="eastAsia" w:ascii="仿宋" w:hAnsi="仿宋" w:eastAsia="仿宋" w:cs="仿宋"/>
                <w:sz w:val="24"/>
              </w:rPr>
            </w:pPr>
            <w:r>
              <w:rPr>
                <w:rFonts w:hint="eastAsia" w:ascii="仿宋" w:hAnsi="仿宋" w:eastAsia="仿宋" w:cs="仿宋"/>
                <w:sz w:val="24"/>
              </w:rPr>
              <w:t>优：</w:t>
            </w:r>
            <w:r>
              <w:rPr>
                <w:rFonts w:hint="eastAsia" w:ascii="仿宋" w:hAnsi="仿宋" w:eastAsia="仿宋" w:cs="仿宋"/>
                <w:sz w:val="24"/>
                <w:lang w:val="en-US" w:eastAsia="zh-CN"/>
              </w:rPr>
              <w:t>15</w:t>
            </w:r>
            <w:r>
              <w:rPr>
                <w:rFonts w:hint="eastAsia" w:ascii="仿宋" w:hAnsi="仿宋" w:eastAsia="仿宋" w:cs="仿宋"/>
                <w:sz w:val="24"/>
              </w:rPr>
              <w:t xml:space="preserve"> &lt; 得分 ≤</w:t>
            </w:r>
            <w:r>
              <w:rPr>
                <w:rFonts w:hint="eastAsia" w:ascii="仿宋" w:hAnsi="仿宋" w:eastAsia="仿宋" w:cs="仿宋"/>
                <w:sz w:val="24"/>
                <w:lang w:val="en-US" w:eastAsia="zh-CN"/>
              </w:rPr>
              <w:t>20</w:t>
            </w:r>
            <w:r>
              <w:rPr>
                <w:rFonts w:hint="eastAsia" w:ascii="仿宋" w:hAnsi="仿宋" w:eastAsia="仿宋" w:cs="仿宋"/>
                <w:sz w:val="24"/>
              </w:rPr>
              <w:t>，</w:t>
            </w:r>
          </w:p>
          <w:p w14:paraId="2FA2342E">
            <w:pPr>
              <w:spacing w:line="276" w:lineRule="auto"/>
              <w:rPr>
                <w:rFonts w:hint="eastAsia" w:ascii="仿宋" w:hAnsi="仿宋" w:eastAsia="仿宋" w:cs="仿宋"/>
                <w:sz w:val="24"/>
              </w:rPr>
            </w:pPr>
            <w:r>
              <w:rPr>
                <w:rFonts w:hint="eastAsia" w:ascii="仿宋" w:hAnsi="仿宋" w:eastAsia="仿宋" w:cs="仿宋"/>
                <w:sz w:val="24"/>
              </w:rPr>
              <w:t>良：</w:t>
            </w:r>
            <w:r>
              <w:rPr>
                <w:rFonts w:hint="eastAsia" w:ascii="仿宋" w:hAnsi="仿宋" w:eastAsia="仿宋" w:cs="仿宋"/>
                <w:sz w:val="24"/>
                <w:lang w:val="en-US" w:eastAsia="zh-CN"/>
              </w:rPr>
              <w:t>10</w:t>
            </w:r>
            <w:r>
              <w:rPr>
                <w:rFonts w:hint="eastAsia" w:ascii="仿宋" w:hAnsi="仿宋" w:eastAsia="仿宋" w:cs="仿宋"/>
                <w:sz w:val="24"/>
              </w:rPr>
              <w:t>&lt; 得分 ≤</w:t>
            </w:r>
            <w:r>
              <w:rPr>
                <w:rFonts w:hint="eastAsia" w:ascii="仿宋" w:hAnsi="仿宋" w:eastAsia="仿宋" w:cs="仿宋"/>
                <w:sz w:val="24"/>
                <w:lang w:val="en-US" w:eastAsia="zh-CN"/>
              </w:rPr>
              <w:t>15</w:t>
            </w:r>
            <w:r>
              <w:rPr>
                <w:rFonts w:hint="eastAsia" w:ascii="仿宋" w:hAnsi="仿宋" w:eastAsia="仿宋" w:cs="仿宋"/>
                <w:sz w:val="24"/>
              </w:rPr>
              <w:t>，</w:t>
            </w:r>
          </w:p>
          <w:p w14:paraId="62E4EC9A">
            <w:pPr>
              <w:spacing w:line="276" w:lineRule="auto"/>
              <w:rPr>
                <w:rFonts w:hint="eastAsia" w:ascii="仿宋" w:hAnsi="仿宋" w:eastAsia="仿宋" w:cs="仿宋"/>
                <w:sz w:val="24"/>
              </w:rPr>
            </w:pPr>
            <w:r>
              <w:rPr>
                <w:rFonts w:hint="eastAsia" w:ascii="仿宋" w:hAnsi="仿宋" w:eastAsia="仿宋" w:cs="仿宋"/>
                <w:sz w:val="24"/>
              </w:rPr>
              <w:t>一般：得分 =</w:t>
            </w:r>
            <w:r>
              <w:rPr>
                <w:rFonts w:hint="eastAsia" w:ascii="仿宋" w:hAnsi="仿宋" w:eastAsia="仿宋" w:cs="仿宋"/>
                <w:sz w:val="24"/>
                <w:lang w:val="en-US" w:eastAsia="zh-CN"/>
              </w:rPr>
              <w:t>10</w:t>
            </w:r>
            <w:r>
              <w:rPr>
                <w:rFonts w:hint="eastAsia" w:ascii="仿宋" w:hAnsi="仿宋" w:eastAsia="仿宋" w:cs="仿宋"/>
                <w:sz w:val="24"/>
              </w:rPr>
              <w:t>，</w:t>
            </w:r>
          </w:p>
          <w:p w14:paraId="35FDBB41">
            <w:pPr>
              <w:widowControl/>
              <w:spacing w:line="360" w:lineRule="exact"/>
              <w:ind w:right="108"/>
              <w:rPr>
                <w:rFonts w:hint="default" w:ascii="仿宋" w:hAnsi="仿宋" w:eastAsia="仿宋" w:cs="Times New Roman"/>
                <w:color w:val="000000"/>
                <w:kern w:val="0"/>
                <w:sz w:val="24"/>
                <w:szCs w:val="24"/>
                <w:lang w:val="en-US" w:eastAsia="zh-CN"/>
              </w:rPr>
            </w:pPr>
            <w:r>
              <w:rPr>
                <w:rFonts w:hint="eastAsia" w:ascii="仿宋" w:hAnsi="仿宋" w:eastAsia="仿宋" w:cs="仿宋"/>
                <w:sz w:val="24"/>
                <w:szCs w:val="24"/>
              </w:rPr>
              <w:t>未提交：0</w:t>
            </w:r>
          </w:p>
        </w:tc>
        <w:tc>
          <w:tcPr>
            <w:tcW w:w="1276" w:type="dxa"/>
            <w:tcBorders>
              <w:top w:val="single" w:color="000000" w:sz="4" w:space="0"/>
              <w:left w:val="single" w:color="000000" w:sz="4" w:space="0"/>
              <w:bottom w:val="single" w:color="000000" w:sz="4" w:space="0"/>
              <w:right w:val="single" w:color="000000" w:sz="4" w:space="0"/>
            </w:tcBorders>
            <w:vAlign w:val="center"/>
          </w:tcPr>
          <w:p w14:paraId="3A89DD37">
            <w:pPr>
              <w:widowControl/>
              <w:spacing w:line="360" w:lineRule="exact"/>
              <w:ind w:right="110"/>
              <w:jc w:val="center"/>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20</w:t>
            </w:r>
          </w:p>
        </w:tc>
      </w:tr>
      <w:tr w14:paraId="00A8A168">
        <w:tblPrEx>
          <w:tblCellMar>
            <w:top w:w="0" w:type="dxa"/>
            <w:left w:w="108" w:type="dxa"/>
            <w:bottom w:w="67" w:type="dxa"/>
            <w:right w:w="0"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DA3140E">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p>
        </w:tc>
        <w:tc>
          <w:tcPr>
            <w:tcW w:w="1481" w:type="dxa"/>
            <w:tcBorders>
              <w:top w:val="single" w:color="000000" w:sz="4" w:space="0"/>
              <w:left w:val="single" w:color="000000" w:sz="4" w:space="0"/>
              <w:bottom w:val="single" w:color="000000" w:sz="4" w:space="0"/>
              <w:right w:val="single" w:color="000000" w:sz="4" w:space="0"/>
            </w:tcBorders>
            <w:vAlign w:val="center"/>
          </w:tcPr>
          <w:p w14:paraId="48CED94F">
            <w:pPr>
              <w:widowControl/>
              <w:spacing w:line="360" w:lineRule="exact"/>
              <w:ind w:right="108"/>
              <w:jc w:val="center"/>
              <w:rPr>
                <w:rStyle w:val="9"/>
                <w:rFonts w:hint="default" w:ascii="仿宋" w:hAnsi="仿宋" w:eastAsia="仿宋" w:cs="Times New Roman"/>
                <w:sz w:val="24"/>
                <w:szCs w:val="24"/>
                <w:lang w:val="en-US" w:eastAsia="zh-CN"/>
              </w:rPr>
            </w:pPr>
            <w:r>
              <w:rPr>
                <w:rStyle w:val="9"/>
                <w:rFonts w:hint="eastAsia" w:ascii="仿宋" w:hAnsi="仿宋" w:eastAsia="仿宋" w:cs="Times New Roman"/>
                <w:sz w:val="24"/>
                <w:szCs w:val="24"/>
                <w:lang w:val="en-US" w:eastAsia="zh-CN"/>
              </w:rPr>
              <w:t>投入设备及人员</w:t>
            </w:r>
          </w:p>
        </w:tc>
        <w:tc>
          <w:tcPr>
            <w:tcW w:w="6662" w:type="dxa"/>
            <w:tcBorders>
              <w:top w:val="single" w:color="000000" w:sz="4" w:space="0"/>
              <w:left w:val="single" w:color="000000" w:sz="4" w:space="0"/>
              <w:bottom w:val="single" w:color="000000" w:sz="4" w:space="0"/>
              <w:right w:val="single" w:color="000000" w:sz="4" w:space="0"/>
            </w:tcBorders>
            <w:vAlign w:val="center"/>
          </w:tcPr>
          <w:p w14:paraId="072A9F00">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r>
              <w:rPr>
                <w:rFonts w:ascii="仿宋" w:hAnsi="仿宋" w:eastAsia="仿宋" w:cs="Times New Roman"/>
                <w:color w:val="000000"/>
                <w:kern w:val="0"/>
                <w:sz w:val="24"/>
                <w:szCs w:val="24"/>
              </w:rPr>
              <w:t>供应商投入配送车辆，每1辆</w:t>
            </w:r>
            <w:r>
              <w:rPr>
                <w:rFonts w:hint="eastAsia" w:ascii="仿宋" w:hAnsi="仿宋" w:eastAsia="仿宋" w:cs="Times New Roman"/>
                <w:color w:val="000000"/>
                <w:kern w:val="0"/>
                <w:sz w:val="24"/>
                <w:szCs w:val="24"/>
              </w:rPr>
              <w:t>车</w:t>
            </w:r>
            <w:r>
              <w:rPr>
                <w:rFonts w:ascii="仿宋" w:hAnsi="仿宋" w:eastAsia="仿宋" w:cs="Times New Roman"/>
                <w:color w:val="000000"/>
                <w:kern w:val="0"/>
                <w:sz w:val="24"/>
                <w:szCs w:val="24"/>
              </w:rPr>
              <w:t>得1分，最高得</w:t>
            </w:r>
            <w:r>
              <w:rPr>
                <w:rFonts w:hint="eastAsia" w:ascii="仿宋" w:hAnsi="仿宋" w:eastAsia="仿宋" w:cs="Times New Roman"/>
                <w:color w:val="000000"/>
                <w:kern w:val="0"/>
                <w:sz w:val="24"/>
                <w:szCs w:val="24"/>
                <w:lang w:val="en-US" w:eastAsia="zh-CN"/>
              </w:rPr>
              <w:t>3</w:t>
            </w:r>
            <w:r>
              <w:rPr>
                <w:rFonts w:ascii="仿宋" w:hAnsi="仿宋" w:eastAsia="仿宋" w:cs="Times New Roman"/>
                <w:color w:val="000000"/>
                <w:kern w:val="0"/>
                <w:sz w:val="24"/>
                <w:szCs w:val="24"/>
              </w:rPr>
              <w:t>分。</w:t>
            </w:r>
          </w:p>
          <w:p w14:paraId="448F7727">
            <w:pPr>
              <w:widowControl/>
              <w:spacing w:line="360" w:lineRule="exact"/>
              <w:ind w:right="108" w:firstLine="470" w:firstLineChars="196"/>
              <w:rPr>
                <w:rFonts w:hint="eastAsia"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rPr>
              <w:t>2.</w:t>
            </w:r>
            <w:r>
              <w:rPr>
                <w:rFonts w:hint="eastAsia" w:ascii="仿宋" w:hAnsi="仿宋" w:eastAsia="仿宋" w:cs="Times New Roman"/>
                <w:color w:val="000000"/>
                <w:kern w:val="0"/>
                <w:sz w:val="24"/>
                <w:szCs w:val="24"/>
                <w:lang w:val="en-US" w:eastAsia="zh-CN"/>
              </w:rPr>
              <w:t>供应商提供可调配使用的厨师、服务员的人员数量，按数量综合比较打分，最高得4分。</w:t>
            </w:r>
          </w:p>
          <w:p w14:paraId="5DCA01C1">
            <w:pPr>
              <w:pStyle w:val="2"/>
              <w:ind w:firstLine="480" w:firstLineChars="200"/>
              <w:rPr>
                <w:rFonts w:hint="default"/>
                <w:lang w:val="en-US" w:eastAsia="zh-CN"/>
              </w:rPr>
            </w:pPr>
            <w:r>
              <w:rPr>
                <w:rFonts w:hint="eastAsia" w:ascii="仿宋" w:hAnsi="仿宋" w:eastAsia="仿宋" w:cs="Times New Roman"/>
                <w:color w:val="000000"/>
                <w:kern w:val="0"/>
                <w:sz w:val="24"/>
                <w:szCs w:val="24"/>
                <w:lang w:val="en-US" w:eastAsia="zh-CN"/>
              </w:rPr>
              <w:t>3.提供服务的厨师取得专业资格证书的，每1名得1分，最高3分。</w:t>
            </w:r>
          </w:p>
          <w:p w14:paraId="609C3759">
            <w:pPr>
              <w:widowControl/>
              <w:spacing w:line="360" w:lineRule="exact"/>
              <w:ind w:right="108" w:firstLine="470" w:firstLineChars="196"/>
              <w:rPr>
                <w:rFonts w:hint="eastAsia" w:ascii="仿宋" w:hAnsi="仿宋" w:eastAsia="仿宋" w:cs="Times New Roman"/>
                <w:color w:val="000000"/>
                <w:kern w:val="0"/>
                <w:sz w:val="24"/>
                <w:szCs w:val="24"/>
                <w:lang w:eastAsia="zh-CN"/>
              </w:rPr>
            </w:pPr>
            <w:r>
              <w:rPr>
                <w:rFonts w:hint="eastAsia" w:ascii="仿宋" w:hAnsi="仿宋" w:eastAsia="仿宋" w:cs="Times New Roman"/>
                <w:color w:val="000000"/>
                <w:kern w:val="0"/>
                <w:sz w:val="24"/>
                <w:szCs w:val="24"/>
                <w:lang w:eastAsia="zh-CN"/>
              </w:rPr>
              <w:t>（</w:t>
            </w:r>
            <w:r>
              <w:rPr>
                <w:rFonts w:ascii="仿宋" w:hAnsi="仿宋" w:eastAsia="仿宋" w:cs="Times New Roman"/>
                <w:color w:val="000000"/>
                <w:kern w:val="0"/>
                <w:sz w:val="24"/>
                <w:szCs w:val="24"/>
              </w:rPr>
              <w:t>注：供应商需提供配送车辆的</w:t>
            </w:r>
            <w:r>
              <w:rPr>
                <w:rFonts w:hint="eastAsia" w:ascii="仿宋" w:hAnsi="仿宋" w:eastAsia="仿宋" w:cs="Times New Roman"/>
                <w:color w:val="000000"/>
                <w:kern w:val="0"/>
                <w:sz w:val="24"/>
                <w:szCs w:val="24"/>
                <w:lang w:val="en-US" w:eastAsia="zh-CN"/>
              </w:rPr>
              <w:t>证照、配餐厨师及服务员资料等</w:t>
            </w:r>
            <w:r>
              <w:rPr>
                <w:rFonts w:ascii="仿宋" w:hAnsi="仿宋" w:eastAsia="仿宋" w:cs="Times New Roman"/>
                <w:color w:val="000000"/>
                <w:kern w:val="0"/>
                <w:sz w:val="24"/>
                <w:szCs w:val="24"/>
              </w:rPr>
              <w:t>，不提供相关材料不得分。</w:t>
            </w:r>
            <w:r>
              <w:rPr>
                <w:rFonts w:hint="eastAsia" w:ascii="仿宋" w:hAnsi="仿宋" w:eastAsia="仿宋" w:cs="Times New Roman"/>
                <w:color w:val="000000"/>
                <w:kern w:val="0"/>
                <w:sz w:val="24"/>
                <w:szCs w:val="24"/>
                <w:lang w:eastAsia="zh-CN"/>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6CC8B431">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10</w:t>
            </w:r>
          </w:p>
        </w:tc>
      </w:tr>
      <w:tr w14:paraId="7CD296E3">
        <w:tblPrEx>
          <w:tblCellMar>
            <w:top w:w="0" w:type="dxa"/>
            <w:left w:w="108" w:type="dxa"/>
            <w:bottom w:w="67" w:type="dxa"/>
            <w:right w:w="0" w:type="dxa"/>
          </w:tblCellMar>
        </w:tblPrEx>
        <w:trPr>
          <w:trHeight w:val="325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46DB4E0">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p>
        </w:tc>
        <w:tc>
          <w:tcPr>
            <w:tcW w:w="1481" w:type="dxa"/>
            <w:tcBorders>
              <w:top w:val="single" w:color="000000" w:sz="4" w:space="0"/>
              <w:left w:val="single" w:color="000000" w:sz="4" w:space="0"/>
              <w:bottom w:val="single" w:color="000000" w:sz="4" w:space="0"/>
              <w:right w:val="single" w:color="000000" w:sz="4" w:space="0"/>
            </w:tcBorders>
            <w:vAlign w:val="center"/>
          </w:tcPr>
          <w:p w14:paraId="1C074288">
            <w:pPr>
              <w:widowControl/>
              <w:spacing w:line="360" w:lineRule="exact"/>
              <w:ind w:right="108"/>
              <w:jc w:val="center"/>
              <w:rPr>
                <w:rStyle w:val="9"/>
                <w:rFonts w:hint="default" w:ascii="仿宋" w:hAnsi="仿宋" w:eastAsia="仿宋" w:cs="Times New Roman"/>
                <w:sz w:val="24"/>
                <w:szCs w:val="24"/>
                <w:lang w:val="en-US" w:eastAsia="zh-CN"/>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来源</w:t>
            </w:r>
          </w:p>
        </w:tc>
        <w:tc>
          <w:tcPr>
            <w:tcW w:w="6662" w:type="dxa"/>
            <w:tcBorders>
              <w:top w:val="single" w:color="000000" w:sz="4" w:space="0"/>
              <w:left w:val="single" w:color="000000" w:sz="4" w:space="0"/>
              <w:bottom w:val="single" w:color="000000" w:sz="4" w:space="0"/>
              <w:right w:val="single" w:color="000000" w:sz="4" w:space="0"/>
            </w:tcBorders>
            <w:vAlign w:val="center"/>
          </w:tcPr>
          <w:p w14:paraId="21615922">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1.供应商承诺建立配送采购人食材的追踪溯源体系及专门台账档案，</w:t>
            </w:r>
            <w:r>
              <w:rPr>
                <w:rFonts w:hint="eastAsia" w:ascii="仿宋" w:hAnsi="仿宋" w:eastAsia="仿宋" w:cs="Times New Roman"/>
                <w:color w:val="000000"/>
                <w:kern w:val="0"/>
                <w:sz w:val="24"/>
                <w:szCs w:val="24"/>
                <w:lang w:val="en-US" w:eastAsia="zh-CN"/>
              </w:rPr>
              <w:t>最高</w:t>
            </w:r>
            <w:r>
              <w:rPr>
                <w:rFonts w:hint="eastAsia" w:ascii="仿宋" w:hAnsi="仿宋" w:eastAsia="仿宋" w:cs="Times New Roman"/>
                <w:color w:val="000000"/>
                <w:kern w:val="0"/>
                <w:sz w:val="24"/>
                <w:szCs w:val="24"/>
              </w:rPr>
              <w:t>得 5分。（供应商提供承诺函加盖公章，不提供承诺函不得分。）</w:t>
            </w:r>
          </w:p>
          <w:p w14:paraId="34E9D341">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2.供应商与当地经营大型农贸市场或与大型农贸市场有稳定合作关系，</w:t>
            </w:r>
            <w:r>
              <w:rPr>
                <w:rFonts w:hint="eastAsia" w:ascii="仿宋" w:hAnsi="仿宋" w:eastAsia="仿宋" w:cs="Times New Roman"/>
                <w:color w:val="000000"/>
                <w:kern w:val="0"/>
                <w:sz w:val="24"/>
                <w:szCs w:val="24"/>
                <w:lang w:val="en-US" w:eastAsia="zh-CN"/>
              </w:rPr>
              <w:t>最高</w:t>
            </w:r>
            <w:r>
              <w:rPr>
                <w:rFonts w:hint="eastAsia" w:ascii="仿宋" w:hAnsi="仿宋" w:eastAsia="仿宋" w:cs="Times New Roman"/>
                <w:color w:val="000000"/>
                <w:kern w:val="0"/>
                <w:sz w:val="24"/>
                <w:szCs w:val="24"/>
              </w:rPr>
              <w:t>得5 分。(供应商提供与有经营大型农贸市场或与大型农贸市场的合作协议或者合同复印件加盖投标人公章，不提供不得分。)</w:t>
            </w:r>
          </w:p>
          <w:p w14:paraId="7D4C6409">
            <w:pPr>
              <w:widowControl/>
              <w:spacing w:line="360" w:lineRule="exact"/>
              <w:ind w:right="108" w:firstLine="470" w:firstLineChars="196"/>
              <w:rPr>
                <w:rFonts w:ascii="仿宋" w:hAnsi="仿宋" w:eastAsia="仿宋" w:cs="Times New Roman"/>
                <w:color w:val="000000"/>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2CBFB2F">
            <w:pPr>
              <w:widowControl/>
              <w:spacing w:line="360" w:lineRule="exact"/>
              <w:ind w:right="110"/>
              <w:jc w:val="center"/>
              <w:rPr>
                <w:rFonts w:hint="eastAsia" w:ascii="仿宋" w:hAnsi="仿宋" w:eastAsia="仿宋" w:cs="Times New Roman"/>
                <w:color w:val="000000"/>
                <w:kern w:val="0"/>
                <w:sz w:val="24"/>
                <w:szCs w:val="24"/>
                <w:lang w:eastAsia="zh-CN"/>
              </w:rPr>
            </w:pPr>
            <w:r>
              <w:rPr>
                <w:rFonts w:hint="eastAsia" w:ascii="仿宋" w:hAnsi="仿宋" w:eastAsia="仿宋" w:cs="Times New Roman"/>
                <w:color w:val="000000"/>
                <w:kern w:val="0"/>
                <w:sz w:val="24"/>
                <w:szCs w:val="24"/>
              </w:rPr>
              <w:t>1</w:t>
            </w:r>
            <w:r>
              <w:rPr>
                <w:rFonts w:hint="eastAsia" w:ascii="仿宋" w:hAnsi="仿宋" w:eastAsia="仿宋" w:cs="Times New Roman"/>
                <w:color w:val="000000"/>
                <w:kern w:val="0"/>
                <w:sz w:val="24"/>
                <w:szCs w:val="24"/>
                <w:lang w:val="en-US" w:eastAsia="zh-CN"/>
              </w:rPr>
              <w:t>0</w:t>
            </w:r>
          </w:p>
        </w:tc>
      </w:tr>
      <w:tr w14:paraId="5B8372FF">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214CC5F3">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p>
        </w:tc>
        <w:tc>
          <w:tcPr>
            <w:tcW w:w="1481" w:type="dxa"/>
            <w:tcBorders>
              <w:top w:val="single" w:color="000000" w:sz="4" w:space="0"/>
              <w:left w:val="single" w:color="000000" w:sz="4" w:space="0"/>
              <w:bottom w:val="single" w:color="000000" w:sz="4" w:space="0"/>
              <w:right w:val="single" w:color="000000" w:sz="4" w:space="0"/>
            </w:tcBorders>
            <w:vAlign w:val="center"/>
          </w:tcPr>
          <w:p w14:paraId="6CA45C19">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安全</w:t>
            </w:r>
            <w:r>
              <w:rPr>
                <w:rStyle w:val="9"/>
                <w:rFonts w:ascii="仿宋" w:hAnsi="仿宋" w:eastAsia="仿宋" w:cs="Times New Roman"/>
                <w:sz w:val="24"/>
                <w:szCs w:val="24"/>
              </w:rPr>
              <w:t>保障</w:t>
            </w:r>
          </w:p>
        </w:tc>
        <w:tc>
          <w:tcPr>
            <w:tcW w:w="6662" w:type="dxa"/>
            <w:tcBorders>
              <w:top w:val="single" w:color="000000" w:sz="4" w:space="0"/>
              <w:left w:val="single" w:color="000000" w:sz="4" w:space="0"/>
              <w:bottom w:val="single" w:color="000000" w:sz="4" w:space="0"/>
              <w:right w:val="single" w:color="000000" w:sz="4" w:space="0"/>
            </w:tcBorders>
            <w:vAlign w:val="center"/>
          </w:tcPr>
          <w:p w14:paraId="4FD7199B">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1.供应商提供获得政府行政管理部门或有资质的第三方检测机构出具的对主要食材米、粉、面、蔬菜、禽畜生肉、禽蛋、水产品、副食品等的检验合格质检报告，最高得分为</w:t>
            </w:r>
            <w:r>
              <w:rPr>
                <w:rFonts w:hint="eastAsia" w:ascii="仿宋" w:hAnsi="仿宋" w:eastAsia="仿宋" w:cs="Times New Roman"/>
                <w:color w:val="000000"/>
                <w:kern w:val="0"/>
                <w:sz w:val="24"/>
                <w:szCs w:val="24"/>
                <w:lang w:val="en-US" w:eastAsia="zh-CN"/>
              </w:rPr>
              <w:t>5</w:t>
            </w:r>
            <w:r>
              <w:rPr>
                <w:rFonts w:hint="eastAsia" w:ascii="仿宋" w:hAnsi="仿宋" w:eastAsia="仿宋" w:cs="Times New Roman"/>
                <w:color w:val="000000"/>
                <w:kern w:val="0"/>
                <w:sz w:val="24"/>
                <w:szCs w:val="24"/>
              </w:rPr>
              <w:t>分。</w:t>
            </w:r>
          </w:p>
          <w:p w14:paraId="3E637237">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r>
              <w:rPr>
                <w:rFonts w:ascii="仿宋" w:hAnsi="仿宋" w:eastAsia="仿宋" w:cs="Times New Roman"/>
                <w:color w:val="000000"/>
                <w:kern w:val="0"/>
                <w:sz w:val="24"/>
                <w:szCs w:val="24"/>
              </w:rPr>
              <w:t>供应商</w:t>
            </w:r>
            <w:r>
              <w:rPr>
                <w:rFonts w:hint="eastAsia" w:ascii="仿宋" w:hAnsi="仿宋" w:eastAsia="仿宋" w:cs="Times New Roman"/>
                <w:color w:val="000000"/>
                <w:kern w:val="0"/>
                <w:sz w:val="24"/>
                <w:szCs w:val="24"/>
                <w:lang w:val="en-US" w:eastAsia="zh-CN"/>
              </w:rPr>
              <w:t>能够提供食品安全责任承诺书，</w:t>
            </w:r>
            <w:r>
              <w:rPr>
                <w:rFonts w:ascii="仿宋" w:hAnsi="仿宋" w:eastAsia="仿宋" w:cs="Times New Roman"/>
                <w:color w:val="000000"/>
                <w:kern w:val="0"/>
                <w:sz w:val="24"/>
                <w:szCs w:val="24"/>
              </w:rPr>
              <w:t>提供食品安全责任合同</w:t>
            </w:r>
            <w:r>
              <w:rPr>
                <w:rFonts w:hint="eastAsia" w:ascii="仿宋" w:hAnsi="仿宋" w:eastAsia="仿宋" w:cs="Times New Roman"/>
                <w:color w:val="000000"/>
                <w:kern w:val="0"/>
                <w:sz w:val="24"/>
                <w:szCs w:val="24"/>
                <w:lang w:val="en-US" w:eastAsia="zh-CN"/>
              </w:rPr>
              <w:t>的</w:t>
            </w:r>
            <w:r>
              <w:rPr>
                <w:rFonts w:ascii="仿宋" w:hAnsi="仿宋" w:eastAsia="仿宋" w:cs="Times New Roman"/>
                <w:color w:val="000000"/>
                <w:kern w:val="0"/>
                <w:sz w:val="24"/>
                <w:szCs w:val="24"/>
              </w:rPr>
              <w:t>，</w:t>
            </w:r>
            <w:r>
              <w:rPr>
                <w:rFonts w:hint="eastAsia" w:ascii="仿宋" w:hAnsi="仿宋" w:eastAsia="仿宋" w:cs="Times New Roman"/>
                <w:color w:val="000000"/>
                <w:kern w:val="0"/>
                <w:sz w:val="24"/>
                <w:szCs w:val="24"/>
                <w:lang w:val="en-US" w:eastAsia="zh-CN"/>
              </w:rPr>
              <w:t>最高得分为5分。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0814FCE0">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kern w:val="0"/>
                <w:sz w:val="24"/>
                <w:szCs w:val="24"/>
                <w:lang w:val="en-US" w:eastAsia="zh-CN"/>
              </w:rPr>
              <w:t>10</w:t>
            </w:r>
          </w:p>
        </w:tc>
      </w:tr>
      <w:tr w14:paraId="6D18F1AE">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E9C09DA">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6 </w:t>
            </w:r>
          </w:p>
        </w:tc>
        <w:tc>
          <w:tcPr>
            <w:tcW w:w="1481" w:type="dxa"/>
            <w:tcBorders>
              <w:top w:val="single" w:color="000000" w:sz="4" w:space="0"/>
              <w:left w:val="single" w:color="000000" w:sz="4" w:space="0"/>
              <w:bottom w:val="single" w:color="000000" w:sz="4" w:space="0"/>
              <w:right w:val="single" w:color="000000" w:sz="4" w:space="0"/>
            </w:tcBorders>
            <w:vAlign w:val="center"/>
          </w:tcPr>
          <w:p w14:paraId="37101589">
            <w:pPr>
              <w:widowControl/>
              <w:spacing w:line="360" w:lineRule="exact"/>
              <w:ind w:right="108"/>
              <w:jc w:val="center"/>
              <w:rPr>
                <w:rStyle w:val="9"/>
                <w:rFonts w:hint="eastAsia" w:ascii="仿宋" w:hAnsi="仿宋" w:eastAsia="仿宋" w:cs="Times New Roman"/>
                <w:sz w:val="24"/>
                <w:szCs w:val="24"/>
                <w:lang w:eastAsia="zh-CN"/>
              </w:rPr>
            </w:pPr>
            <w:r>
              <w:rPr>
                <w:rStyle w:val="9"/>
                <w:rFonts w:hint="eastAsia" w:ascii="仿宋" w:hAnsi="仿宋" w:eastAsia="仿宋" w:cs="Times New Roman"/>
                <w:sz w:val="24"/>
                <w:szCs w:val="24"/>
                <w:lang w:val="en-US" w:eastAsia="zh-CN"/>
              </w:rPr>
              <w:t>报价</w:t>
            </w:r>
          </w:p>
        </w:tc>
        <w:tc>
          <w:tcPr>
            <w:tcW w:w="6662" w:type="dxa"/>
            <w:tcBorders>
              <w:top w:val="single" w:color="000000" w:sz="4" w:space="0"/>
              <w:left w:val="single" w:color="000000" w:sz="4" w:space="0"/>
              <w:bottom w:val="single" w:color="000000" w:sz="4" w:space="0"/>
              <w:right w:val="single" w:color="000000" w:sz="4" w:space="0"/>
            </w:tcBorders>
            <w:vAlign w:val="center"/>
          </w:tcPr>
          <w:p w14:paraId="263CCB4C">
            <w:pPr>
              <w:widowControl/>
              <w:spacing w:line="360" w:lineRule="exact"/>
              <w:ind w:right="108" w:firstLine="470" w:firstLineChars="196"/>
              <w:rPr>
                <w:rFonts w:hint="eastAsia"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根据采购方供餐服务需求，供应商对食堂早餐、午餐餐费标准进行报价，费用包含：鲜肉类、蔬菜类、禽蛋类、水产类、干货及调味品类、粮油类等食材费；以及提供食材现场加工、烹饪及配餐等服务费。</w:t>
            </w:r>
          </w:p>
          <w:p w14:paraId="516D9922">
            <w:pPr>
              <w:widowControl/>
              <w:spacing w:line="360" w:lineRule="exact"/>
              <w:ind w:right="108" w:firstLine="470" w:firstLineChars="196"/>
              <w:rPr>
                <w:rFonts w:hint="default" w:ascii="仿宋" w:hAnsi="仿宋" w:eastAsia="仿宋" w:cs="Times New Roman"/>
                <w:color w:val="000000"/>
                <w:kern w:val="0"/>
                <w:sz w:val="24"/>
                <w:szCs w:val="24"/>
                <w:lang w:val="en-US"/>
              </w:rPr>
            </w:pPr>
            <w:r>
              <w:rPr>
                <w:rFonts w:hint="eastAsia" w:ascii="仿宋" w:hAnsi="仿宋" w:eastAsia="仿宋" w:cs="仿宋"/>
                <w:sz w:val="24"/>
                <w:szCs w:val="24"/>
              </w:rPr>
              <w:t>按公式计算得分</w:t>
            </w:r>
            <w:r>
              <w:rPr>
                <w:rFonts w:hint="eastAsia" w:ascii="仿宋" w:hAnsi="仿宋" w:eastAsia="仿宋" w:cs="仿宋"/>
                <w:sz w:val="24"/>
                <w:szCs w:val="24"/>
                <w:lang w:eastAsia="zh-CN"/>
              </w:rPr>
              <w:t>：</w:t>
            </w:r>
            <w:r>
              <w:rPr>
                <w:rFonts w:hint="eastAsia" w:ascii="仿宋" w:hAnsi="仿宋" w:eastAsia="仿宋" w:cs="仿宋"/>
                <w:b w:val="0"/>
                <w:bCs w:val="0"/>
                <w:sz w:val="24"/>
                <w:szCs w:val="24"/>
              </w:rPr>
              <w:t>得分=20*（最高</w:t>
            </w:r>
            <w:r>
              <w:rPr>
                <w:rFonts w:hint="eastAsia" w:ascii="仿宋" w:hAnsi="仿宋" w:eastAsia="仿宋" w:cs="仿宋"/>
                <w:b w:val="0"/>
                <w:bCs w:val="0"/>
                <w:sz w:val="24"/>
                <w:szCs w:val="24"/>
                <w:lang w:val="en-US" w:eastAsia="zh-CN"/>
              </w:rPr>
              <w:t>总报</w:t>
            </w:r>
            <w:r>
              <w:rPr>
                <w:rFonts w:hint="eastAsia" w:ascii="仿宋" w:hAnsi="仿宋" w:eastAsia="仿宋" w:cs="仿宋"/>
                <w:b w:val="0"/>
                <w:bCs w:val="0"/>
                <w:sz w:val="24"/>
                <w:szCs w:val="24"/>
              </w:rPr>
              <w:t>价-</w:t>
            </w:r>
            <w:r>
              <w:rPr>
                <w:rFonts w:hint="eastAsia" w:ascii="仿宋" w:hAnsi="仿宋" w:eastAsia="仿宋" w:cs="仿宋"/>
                <w:b w:val="0"/>
                <w:bCs w:val="0"/>
                <w:sz w:val="24"/>
                <w:szCs w:val="24"/>
                <w:lang w:val="en-US" w:eastAsia="zh-CN"/>
              </w:rPr>
              <w:t>总</w:t>
            </w:r>
            <w:r>
              <w:rPr>
                <w:rFonts w:hint="eastAsia" w:ascii="仿宋" w:hAnsi="仿宋" w:eastAsia="仿宋" w:cs="仿宋"/>
                <w:b w:val="0"/>
                <w:bCs w:val="0"/>
                <w:sz w:val="24"/>
                <w:szCs w:val="24"/>
              </w:rPr>
              <w:t>报价）/（最高</w:t>
            </w:r>
            <w:r>
              <w:rPr>
                <w:rFonts w:hint="eastAsia" w:ascii="仿宋" w:hAnsi="仿宋" w:eastAsia="仿宋" w:cs="仿宋"/>
                <w:b w:val="0"/>
                <w:bCs w:val="0"/>
                <w:sz w:val="24"/>
                <w:szCs w:val="24"/>
                <w:lang w:val="en-US" w:eastAsia="zh-CN"/>
              </w:rPr>
              <w:t>总报</w:t>
            </w:r>
            <w:r>
              <w:rPr>
                <w:rFonts w:hint="eastAsia" w:ascii="仿宋" w:hAnsi="仿宋" w:eastAsia="仿宋" w:cs="仿宋"/>
                <w:b w:val="0"/>
                <w:bCs w:val="0"/>
                <w:sz w:val="24"/>
                <w:szCs w:val="24"/>
              </w:rPr>
              <w:t>价-最低</w:t>
            </w:r>
            <w:r>
              <w:rPr>
                <w:rFonts w:hint="eastAsia" w:ascii="仿宋" w:hAnsi="仿宋" w:eastAsia="仿宋" w:cs="仿宋"/>
                <w:b w:val="0"/>
                <w:bCs w:val="0"/>
                <w:sz w:val="24"/>
                <w:szCs w:val="24"/>
                <w:lang w:val="en-US" w:eastAsia="zh-CN"/>
              </w:rPr>
              <w:t>总报</w:t>
            </w:r>
            <w:r>
              <w:rPr>
                <w:rFonts w:hint="eastAsia" w:ascii="仿宋" w:hAnsi="仿宋" w:eastAsia="仿宋" w:cs="仿宋"/>
                <w:b w:val="0"/>
                <w:bCs w:val="0"/>
                <w:sz w:val="24"/>
                <w:szCs w:val="24"/>
              </w:rPr>
              <w:t>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47C18A7B">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20</w:t>
            </w:r>
          </w:p>
        </w:tc>
      </w:tr>
    </w:tbl>
    <w:p w14:paraId="12C24207">
      <w:pPr>
        <w:spacing w:line="560" w:lineRule="exact"/>
        <w:ind w:firstLine="480" w:firstLineChars="200"/>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D2534"/>
    <w:rsid w:val="000E4B69"/>
    <w:rsid w:val="000F72EC"/>
    <w:rsid w:val="0011333C"/>
    <w:rsid w:val="00181B06"/>
    <w:rsid w:val="001C54B0"/>
    <w:rsid w:val="0022764E"/>
    <w:rsid w:val="00253497"/>
    <w:rsid w:val="002F2FAE"/>
    <w:rsid w:val="00327ABC"/>
    <w:rsid w:val="0034515A"/>
    <w:rsid w:val="003B5360"/>
    <w:rsid w:val="00440BD1"/>
    <w:rsid w:val="00444802"/>
    <w:rsid w:val="004C1412"/>
    <w:rsid w:val="00516F57"/>
    <w:rsid w:val="005677BB"/>
    <w:rsid w:val="005C24A7"/>
    <w:rsid w:val="006B37E9"/>
    <w:rsid w:val="00715E72"/>
    <w:rsid w:val="00760CDA"/>
    <w:rsid w:val="00777AAB"/>
    <w:rsid w:val="007D2C3A"/>
    <w:rsid w:val="007F142F"/>
    <w:rsid w:val="008F0686"/>
    <w:rsid w:val="009061D4"/>
    <w:rsid w:val="00955CC6"/>
    <w:rsid w:val="00985381"/>
    <w:rsid w:val="00A4016C"/>
    <w:rsid w:val="00A408FF"/>
    <w:rsid w:val="00A91351"/>
    <w:rsid w:val="00AD3527"/>
    <w:rsid w:val="00AE47DB"/>
    <w:rsid w:val="00AE5ADD"/>
    <w:rsid w:val="00BA1A5A"/>
    <w:rsid w:val="00BF2CDA"/>
    <w:rsid w:val="00C5305A"/>
    <w:rsid w:val="00C94002"/>
    <w:rsid w:val="00CC67E8"/>
    <w:rsid w:val="00D34B28"/>
    <w:rsid w:val="00DA468D"/>
    <w:rsid w:val="00DD3614"/>
    <w:rsid w:val="00E57E6C"/>
    <w:rsid w:val="00F32136"/>
    <w:rsid w:val="059F2E99"/>
    <w:rsid w:val="09C4763F"/>
    <w:rsid w:val="0B190A74"/>
    <w:rsid w:val="0C384BC2"/>
    <w:rsid w:val="192F1C53"/>
    <w:rsid w:val="1CAD6C3E"/>
    <w:rsid w:val="31A830A5"/>
    <w:rsid w:val="34CD73AA"/>
    <w:rsid w:val="376D427E"/>
    <w:rsid w:val="39207ABA"/>
    <w:rsid w:val="40E433ED"/>
    <w:rsid w:val="5014601A"/>
    <w:rsid w:val="53044727"/>
    <w:rsid w:val="574C10C3"/>
    <w:rsid w:val="69C22F57"/>
    <w:rsid w:val="6F4A22D1"/>
    <w:rsid w:val="731C41B1"/>
    <w:rsid w:val="749B21CD"/>
    <w:rsid w:val="76F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autoRedefine/>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autoRedefine/>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autoRedefine/>
    <w:qFormat/>
    <w:uiPriority w:val="0"/>
    <w:rPr>
      <w:kern w:val="2"/>
      <w:sz w:val="18"/>
      <w:szCs w:val="18"/>
    </w:rPr>
  </w:style>
  <w:style w:type="character" w:customStyle="1" w:styleId="12">
    <w:name w:val="页脚 Char"/>
    <w:basedOn w:val="8"/>
    <w:link w:val="4"/>
    <w:autoRedefine/>
    <w:qFormat/>
    <w:uiPriority w:val="0"/>
    <w:rPr>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纯文本 Char"/>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1298</Words>
  <Characters>1338</Characters>
  <Lines>11</Lines>
  <Paragraphs>3</Paragraphs>
  <TotalTime>4</TotalTime>
  <ScaleCrop>false</ScaleCrop>
  <LinksUpToDate>false</LinksUpToDate>
  <CharactersWithSpaces>1350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2024-06-24T07:26:00Z</dcterms:created>
  <dc:creator>李耀明</dc:creator>
  <cp:lastModifiedBy>易琳欣</cp:lastModifiedBy>
  <cp:lastPrinted>2024-11-20T02:47:00Z</cp:lastPrinted>
  <dcterms:modified xsi:type="dcterms:W3CDTF">2024-11-28T08:38:33Z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ribbonExt">
    <vt:lpwstr>{"WPSExtOfficeTab":{"OnGetEnabled":false,"OnGetVisible":false}}</vt:lpwstr>
  </property>
  <property fmtid="{D5CDD505-2E9C-101B-9397-08002B2CF9AE}" pid="4" name="ICV">
    <vt:lpwstr>38670CC588314449951D92804DA280C8_13</vt:lpwstr>
  </property>
</Properties>
</file>