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500" w:lineRule="exact"/>
        <w:jc w:val="center"/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S276线K108+490-K109+000次差路整治工程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  <w:lang w:val="en-US" w:eastAsia="zh-CN"/>
        </w:rPr>
        <w:t>劳务采购</w:t>
      </w:r>
      <w:r>
        <w:rPr>
          <w:rFonts w:hint="eastAsia" w:ascii="方正小标宋简体" w:hAnsi="华文仿宋" w:eastAsia="方正小标宋简体"/>
          <w:sz w:val="36"/>
          <w:szCs w:val="36"/>
        </w:rPr>
        <w:t>评分标准</w:t>
      </w:r>
    </w:p>
    <w:p>
      <w:pPr>
        <w:pStyle w:val="2"/>
        <w:rPr>
          <w:rFonts w:hint="eastAsia" w:hAnsi="宋体" w:cs="宋体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一、评分选取方式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本次采购【采用自行采购的综合选取】的方式确定中选</w:t>
      </w:r>
      <w:r>
        <w:rPr>
          <w:rFonts w:hint="eastAsia" w:ascii="宋体" w:hAnsi="宋体" w:eastAsia="宋体" w:cs="宋体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</w:rPr>
        <w:t>。评分小组先对报名的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进行初步评审；然后对满足初步评审要求的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，按照详细评审规定的评分标准进行打分。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评分小组成员对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的详细评审各评审因素进行评分，计算出各评审因素的算术平均值后合计总和作为该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的得分，并按得分由高到低顺序推荐中选</w:t>
      </w:r>
      <w:r>
        <w:rPr>
          <w:rFonts w:hint="eastAsia" w:ascii="宋体" w:hAnsi="宋体" w:eastAsia="宋体" w:cs="宋体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如有两家或以上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/>
          <w:sz w:val="24"/>
        </w:rPr>
        <w:t>的综合得分相同且得分均为最高，</w:t>
      </w:r>
      <w:r>
        <w:rPr>
          <w:rFonts w:hint="eastAsia" w:ascii="宋体" w:hAnsi="宋体" w:eastAsia="宋体" w:cs="宋体"/>
          <w:sz w:val="24"/>
        </w:rPr>
        <w:t>评分小组视</w:t>
      </w:r>
      <w:r>
        <w:rPr>
          <w:rFonts w:hint="eastAsia" w:ascii="宋体" w:hAnsi="宋体" w:eastAsia="宋体" w:cs="宋体"/>
          <w:sz w:val="24"/>
          <w:lang w:val="en-US" w:eastAsia="zh-CN"/>
        </w:rPr>
        <w:t>投标单位</w:t>
      </w:r>
      <w:r>
        <w:rPr>
          <w:rFonts w:hint="eastAsia" w:ascii="宋体" w:hAnsi="宋体" w:eastAsia="宋体" w:cs="宋体"/>
          <w:sz w:val="24"/>
        </w:rPr>
        <w:t>的情况综合比较，投票确定其名次。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</w:rPr>
        <w:t>二、初步评审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</w:t>
            </w:r>
            <w:bookmarkStart w:id="0" w:name="_GoBack"/>
            <w:bookmarkEnd w:id="0"/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（1）在中华人民共和国境内依法注册的具有合法经营资格的独立法人；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（2）具备相应行业资质；</w:t>
            </w:r>
          </w:p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（3）不属于回避单位。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信用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</w:rPr>
              <w:t>在国家企业信用信息公示系统中未被列入严重违法失信企业名单；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（2）在“信用中国”网站或地方信用网站的信用信息报告无不良记录。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注：如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</w:rPr>
              <w:t>未提交上述证明材料，则由评选小组核查；如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</w:rPr>
              <w:t>为事业单位，无法提供国家企业信用信息公示系统截图，则视作通过。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713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</w:rPr>
              <w:t>金额</w:t>
            </w:r>
            <w:r>
              <w:rPr>
                <w:rFonts w:ascii="宋体" w:hAnsi="宋体" w:eastAsia="宋体" w:cs="宋体"/>
                <w:sz w:val="24"/>
              </w:rPr>
              <w:t>不超过该项采购预算金额，或在采购报价区间范围内。</w:t>
            </w:r>
          </w:p>
        </w:tc>
      </w:tr>
    </w:tbl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sz w:val="24"/>
        </w:rPr>
        <w:t>三、详细评审</w:t>
      </w:r>
    </w:p>
    <w:tbl>
      <w:tblPr>
        <w:tblStyle w:val="3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51"/>
        <w:gridCol w:w="5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171" w:type="dxa"/>
            <w:gridSpan w:val="2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宋体" w:hAnsi="宋体" w:eastAsia="宋体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4"/>
              </w:rPr>
              <w:t>评审因素与评分值</w:t>
            </w:r>
          </w:p>
        </w:tc>
        <w:tc>
          <w:tcPr>
            <w:tcW w:w="5389" w:type="dxa"/>
            <w:vMerge w:val="restart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评审因素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分值</w:t>
            </w:r>
          </w:p>
        </w:tc>
        <w:tc>
          <w:tcPr>
            <w:tcW w:w="5389" w:type="dxa"/>
            <w:vMerge w:val="continue"/>
            <w:noWrap w:val="0"/>
            <w:vAlign w:val="center"/>
          </w:tcPr>
          <w:p>
            <w:pPr>
              <w:spacing w:line="276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施工技术方案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根据对服务工作范围和任务描述准确程度和总体思路清晰、切实可行程度，对技术问题的处理措施、工作计划、安排的合理程度、质量保证措施等是否完善、可行，是否符合采购需求等进行综合比较，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优：24 &lt; 得分 ≤30，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良：18&lt; 得分 ≤24，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一般：得分 = 18 ，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企业业绩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topLinePunct/>
              <w:spacing w:line="28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提供的类似项目业绩，综合比较打分，根据报名单位提供的近5年内同等规模及以上类似工程业绩证明。业绩≥5项为优，5项＞业绩≥3为良，3项＞业绩≥1为一般。优：20 &lt; 得分 ≤25，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良：15&lt; 得分 ≤20，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一般：得分 = 15，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拟投入主要人员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投标单位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提供的人员任职资格，综合比较打分，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据提供项目经理、总工等人员资格中至少含1名高级工程师和1名工程师为优，提供人员资格中至少含3名工程师为良，提供人员资格中至少含2名工程师为一般。优：20 &lt; 得分 ≤25，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良：15&lt; 得分 ≤20，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一般：得分 = 15，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未提交：0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①如设置报价区间，按该公式计算得分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得分=10*（最高价-报价）/（最高价-最低价）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②如不设置报价区间，则按要求提交报价即可得10分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行业履约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信誉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（如有）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  <w:p>
            <w:pPr>
              <w:pStyle w:val="2"/>
              <w:rPr>
                <w:rFonts w:hAnsi="宋体"/>
                <w:sz w:val="24"/>
                <w:szCs w:val="24"/>
              </w:rPr>
            </w:pPr>
          </w:p>
        </w:tc>
        <w:tc>
          <w:tcPr>
            <w:tcW w:w="5389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AA、A、B、C级单位的信用等级分得分分别为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9.5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8.9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7.3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分。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如该事项无公路工程企业信用评价，该项分数分配至技术（方案）建议书及企业业绩各5分，等级得分范围按比例相应调整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62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</w:t>
            </w:r>
          </w:p>
        </w:tc>
        <w:tc>
          <w:tcPr>
            <w:tcW w:w="5389" w:type="dxa"/>
            <w:noWrap w:val="0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32af455e-9ae5-4926-9346-ad7ba14bbece"/>
  </w:docVars>
  <w:rsids>
    <w:rsidRoot w:val="005962B5"/>
    <w:rsid w:val="005962B5"/>
    <w:rsid w:val="04AE38E6"/>
    <w:rsid w:val="1F371647"/>
    <w:rsid w:val="1F482889"/>
    <w:rsid w:val="5B1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rFonts w:ascii="宋体" w:hAnsi="Courier New"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1088</Characters>
  <Lines>0</Lines>
  <Paragraphs>0</Paragraphs>
  <TotalTime>2</TotalTime>
  <ScaleCrop>false</ScaleCrop>
  <LinksUpToDate>false</LinksUpToDate>
  <CharactersWithSpaces>1112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2024-11-05T14:39:00Z</dcterms:created>
  <dc:creator>Twixters</dc:creator>
  <cp:lastModifiedBy>Administrator</cp:lastModifiedBy>
  <dcterms:modified xsi:type="dcterms:W3CDTF">2024-11-15T08:51:05Z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0D63CB7F1E9948AD950487D3387B3E7E_11</vt:lpwstr>
  </property>
</Properties>
</file>