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pStyle w:val="6"/>
        <w:keepNext w:val="0"/>
        <w:keepLines w:val="0"/>
        <w:widowControl/>
        <w:suppressLineNumbers w:val="0"/>
        <w:spacing w:before="0" w:beforeAutospacing="0" w:after="0" w:afterAutospacing="0"/>
        <w:ind w:left="0" w:right="0" w:firstLine="0"/>
        <w:jc w:val="center"/>
        <w:rPr>
          <w:rFonts w:hint="eastAsia" w:ascii="宋体" w:hAnsi="宋体" w:eastAsia="宋体"/>
          <w:b/>
          <w:sz w:val="44"/>
          <w:szCs w:val="44"/>
        </w:rPr>
      </w:pPr>
      <w:r>
        <w:rPr>
          <w:rFonts w:hint="eastAsia" w:ascii="宋体" w:hAnsi="宋体" w:eastAsia="宋体"/>
          <w:b/>
          <w:sz w:val="44"/>
          <w:szCs w:val="44"/>
        </w:rPr>
        <w:t>江门市市区公路局养护中心挖掘机采购综合评分标准</w:t>
      </w:r>
    </w:p>
    <w:p>
      <w:pPr>
        <w:spacing w:line="500" w:lineRule="exact"/>
        <w:jc w:val="center"/>
        <w:rPr>
          <w:rFonts w:ascii="宋体" w:hAnsi="宋体" w:eastAsia="宋体"/>
          <w:b/>
          <w:sz w:val="44"/>
          <w:szCs w:val="44"/>
        </w:rPr>
      </w:pPr>
    </w:p>
    <w:p>
      <w:pPr>
        <w:pStyle w:val="2"/>
        <w:rPr>
          <w:rFonts w:hAnsi="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pPr>
        <w:spacing w:line="360" w:lineRule="auto"/>
        <w:ind w:firstLine="480" w:firstLineChars="200"/>
        <w:rPr>
          <w:rFonts w:ascii="宋体" w:hAnsi="宋体" w:eastAsia="宋体" w:cs="宋体"/>
          <w:sz w:val="24"/>
        </w:rPr>
      </w:pPr>
      <w:r>
        <w:rPr>
          <w:rFonts w:hint="eastAsia" w:ascii="宋体" w:hAnsi="宋体" w:eastAsia="宋体" w:cs="宋体"/>
          <w:sz w:val="24"/>
        </w:rPr>
        <w:t>本次</w:t>
      </w:r>
      <w:r>
        <w:rPr>
          <w:rFonts w:hint="eastAsia" w:ascii="宋体" w:hAnsi="宋体" w:cs="宋体"/>
          <w:sz w:val="24"/>
          <w:lang w:eastAsia="zh-CN"/>
        </w:rPr>
        <w:t>挖掘机</w:t>
      </w:r>
      <w:r>
        <w:rPr>
          <w:rFonts w:hint="eastAsia" w:ascii="宋体" w:hAnsi="宋体" w:eastAsia="宋体" w:cs="宋体"/>
          <w:sz w:val="24"/>
        </w:rPr>
        <w:t>采购采用【综合选取】的方式确定中选供应商。评分小组先对报名的供应商进行初步评审；然后对满足初步评审要求的供应商，按照详细评审规定的评分标准进行打分。</w:t>
      </w:r>
    </w:p>
    <w:p>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评分小组成员对供应商的详细评审各评审因素进行评分，计算出各评审因素的算术平均值后合计总和作为该供应商的得分，并按得分由高到低顺序推荐中选供应商。</w:t>
      </w:r>
    </w:p>
    <w:p>
      <w:pPr>
        <w:spacing w:line="360" w:lineRule="auto"/>
        <w:ind w:firstLine="480" w:firstLineChars="200"/>
        <w:rPr>
          <w:rFonts w:ascii="宋体" w:hAnsi="宋体" w:eastAsia="宋体" w:cs="宋体"/>
          <w:sz w:val="24"/>
        </w:rPr>
      </w:pPr>
      <w:r>
        <w:rPr>
          <w:rFonts w:hint="eastAsia" w:ascii="宋体" w:hAnsi="宋体" w:eastAsia="宋体"/>
          <w:sz w:val="24"/>
        </w:rPr>
        <w:t>如有两家或以上供应商的综合得分相同且得分均为最高，</w:t>
      </w:r>
      <w:r>
        <w:rPr>
          <w:rFonts w:hint="eastAsia" w:ascii="宋体" w:hAnsi="宋体" w:eastAsia="宋体" w:cs="宋体"/>
          <w:sz w:val="24"/>
        </w:rPr>
        <w:t>评分小组视供应商的情况综合比较，投票确定其名次。</w:t>
      </w:r>
    </w:p>
    <w:p>
      <w:pPr>
        <w:spacing w:line="360" w:lineRule="auto"/>
        <w:ind w:firstLine="480" w:firstLineChars="200"/>
        <w:rPr>
          <w:rFonts w:ascii="宋体" w:hAnsi="宋体" w:eastAsia="宋体"/>
          <w:sz w:val="24"/>
        </w:rPr>
      </w:pPr>
      <w:r>
        <w:rPr>
          <w:rFonts w:hint="eastAsia" w:ascii="宋体" w:hAnsi="宋体" w:eastAsia="宋体" w:cs="宋体"/>
          <w:sz w:val="24"/>
        </w:rPr>
        <w:t>二、初步评审</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1701" w:type="dxa"/>
            <w:noWrap w:val="0"/>
            <w:vAlign w:val="center"/>
          </w:tcPr>
          <w:p>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6713" w:type="dxa"/>
            <w:noWrap w:val="0"/>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701"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noWrap w:val="0"/>
            <w:vAlign w:val="center"/>
          </w:tcPr>
          <w:p>
            <w:pPr>
              <w:spacing w:line="360" w:lineRule="auto"/>
              <w:rPr>
                <w:rFonts w:ascii="宋体" w:hAnsi="宋体" w:eastAsia="宋体" w:cs="宋体"/>
                <w:sz w:val="24"/>
              </w:rPr>
            </w:pPr>
            <w:r>
              <w:rPr>
                <w:rFonts w:hint="eastAsia" w:ascii="宋体" w:hAnsi="宋体" w:eastAsia="宋体" w:cs="宋体"/>
                <w:sz w:val="24"/>
              </w:rPr>
              <w:t>（1）供应商在中华人民共和国境内依法注册的具有合法经营资格的独立法人；</w:t>
            </w:r>
          </w:p>
          <w:p>
            <w:pPr>
              <w:spacing w:line="360" w:lineRule="auto"/>
              <w:rPr>
                <w:rFonts w:ascii="宋体" w:hAnsi="宋体" w:eastAsia="宋体" w:cs="宋体"/>
                <w:sz w:val="24"/>
              </w:rPr>
            </w:pPr>
            <w:r>
              <w:rPr>
                <w:rFonts w:hint="eastAsia" w:ascii="宋体" w:hAnsi="宋体" w:eastAsia="宋体" w:cs="宋体"/>
                <w:sz w:val="24"/>
              </w:rPr>
              <w:t>（2）供应商具有机械生产、经营资质；</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1701"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信用</w:t>
            </w:r>
          </w:p>
        </w:tc>
        <w:tc>
          <w:tcPr>
            <w:tcW w:w="6713" w:type="dxa"/>
            <w:noWrap w:val="0"/>
            <w:vAlign w:val="center"/>
          </w:tcPr>
          <w:p>
            <w:pPr>
              <w:spacing w:line="360" w:lineRule="auto"/>
              <w:rPr>
                <w:rFonts w:ascii="宋体" w:hAnsi="宋体" w:eastAsia="宋体" w:cs="宋体"/>
                <w:sz w:val="24"/>
              </w:rPr>
            </w:pPr>
            <w:r>
              <w:rPr>
                <w:rFonts w:hint="eastAsia" w:ascii="宋体" w:hAnsi="宋体" w:eastAsia="宋体" w:cs="宋体"/>
                <w:sz w:val="24"/>
              </w:rPr>
              <w:t>（1）供应商在国家企业信用信息公示系统中未被列入严重违法失信企业名单；</w:t>
            </w:r>
          </w:p>
          <w:p>
            <w:pPr>
              <w:spacing w:line="360" w:lineRule="auto"/>
              <w:rPr>
                <w:rFonts w:ascii="宋体" w:hAnsi="宋体" w:eastAsia="宋体" w:cs="宋体"/>
                <w:sz w:val="24"/>
              </w:rPr>
            </w:pPr>
            <w:r>
              <w:rPr>
                <w:rFonts w:hint="eastAsia" w:ascii="宋体" w:hAnsi="宋体" w:eastAsia="宋体" w:cs="宋体"/>
                <w:sz w:val="24"/>
              </w:rPr>
              <w:t>（2）供应商在“信用中国”网站或地方信用网站的信用信息报告无不良记录。</w:t>
            </w:r>
          </w:p>
          <w:p>
            <w:pPr>
              <w:spacing w:line="360" w:lineRule="auto"/>
              <w:rPr>
                <w:rFonts w:ascii="宋体" w:hAnsi="宋体" w:eastAsia="宋体"/>
                <w:sz w:val="24"/>
              </w:rPr>
            </w:pPr>
            <w:r>
              <w:rPr>
                <w:rFonts w:hint="eastAsia" w:ascii="宋体" w:hAnsi="宋体" w:eastAsia="宋体" w:cs="宋体"/>
                <w:sz w:val="24"/>
              </w:rPr>
              <w:t>注：如供应商未提交上述证明材料，则由评选小组核查。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701"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报价</w:t>
            </w:r>
          </w:p>
        </w:tc>
        <w:tc>
          <w:tcPr>
            <w:tcW w:w="6713" w:type="dxa"/>
            <w:noWrap w:val="0"/>
            <w:vAlign w:val="center"/>
          </w:tcPr>
          <w:p>
            <w:pPr>
              <w:rPr>
                <w:rFonts w:ascii="宋体" w:hAnsi="宋体" w:eastAsia="宋体"/>
                <w:sz w:val="24"/>
                <w:szCs w:val="24"/>
              </w:rPr>
            </w:pPr>
            <w:r>
              <w:rPr>
                <w:rFonts w:hint="eastAsia" w:ascii="宋体" w:hAnsi="宋体" w:eastAsia="宋体"/>
                <w:sz w:val="24"/>
                <w:szCs w:val="24"/>
              </w:rPr>
              <w:t>报价不能高于本项目</w:t>
            </w:r>
            <w:r>
              <w:rPr>
                <w:rFonts w:hint="eastAsia" w:ascii="宋体" w:hAnsi="宋体"/>
                <w:sz w:val="24"/>
                <w:szCs w:val="24"/>
                <w:lang w:eastAsia="zh-CN"/>
              </w:rPr>
              <w:t>最高限价</w:t>
            </w:r>
            <w:r>
              <w:rPr>
                <w:rFonts w:hint="eastAsia" w:ascii="宋体" w:hAnsi="宋体" w:eastAsia="宋体"/>
                <w:sz w:val="24"/>
                <w:szCs w:val="24"/>
              </w:rPr>
              <w:t>，否则视为无效投标。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01"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规格参数</w:t>
            </w:r>
          </w:p>
        </w:tc>
        <w:tc>
          <w:tcPr>
            <w:tcW w:w="6713" w:type="dxa"/>
            <w:noWrap w:val="0"/>
            <w:vAlign w:val="center"/>
          </w:tcPr>
          <w:p>
            <w:pPr>
              <w:rPr>
                <w:rFonts w:ascii="宋体" w:hAnsi="宋体" w:eastAsia="宋体"/>
                <w:sz w:val="24"/>
                <w:szCs w:val="24"/>
              </w:rPr>
            </w:pPr>
            <w:r>
              <w:rPr>
                <w:rFonts w:hint="eastAsia" w:ascii="宋体" w:hAnsi="宋体" w:eastAsia="宋体"/>
                <w:sz w:val="24"/>
                <w:szCs w:val="24"/>
              </w:rPr>
              <w:t>投标资料规格参数不符合公告资料，视为无效投标。</w:t>
            </w:r>
          </w:p>
        </w:tc>
      </w:tr>
    </w:tbl>
    <w:p>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028"/>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69" w:type="dxa"/>
            <w:gridSpan w:val="2"/>
            <w:noWrap w:val="0"/>
            <w:vAlign w:val="center"/>
          </w:tcPr>
          <w:p>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6806" w:type="dxa"/>
            <w:vMerge w:val="restart"/>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41" w:type="dxa"/>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1028" w:type="dxa"/>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分值</w:t>
            </w:r>
          </w:p>
        </w:tc>
        <w:tc>
          <w:tcPr>
            <w:tcW w:w="6806" w:type="dxa"/>
            <w:vMerge w:val="continue"/>
            <w:noWrap w:val="0"/>
            <w:vAlign w:val="center"/>
          </w:tcPr>
          <w:p>
            <w:pPr>
              <w:spacing w:line="276"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241" w:type="dxa"/>
            <w:noWrap w:val="0"/>
            <w:vAlign w:val="center"/>
          </w:tcPr>
          <w:p>
            <w:pPr>
              <w:spacing w:line="276" w:lineRule="auto"/>
              <w:jc w:val="center"/>
              <w:rPr>
                <w:rFonts w:ascii="宋体" w:hAnsi="宋体" w:cs="宋体"/>
                <w:sz w:val="24"/>
              </w:rPr>
            </w:pPr>
            <w:r>
              <w:rPr>
                <w:rFonts w:hint="eastAsia" w:ascii="宋体" w:hAnsi="宋体" w:cs="宋体"/>
                <w:sz w:val="24"/>
              </w:rPr>
              <w:t>报价</w:t>
            </w:r>
          </w:p>
        </w:tc>
        <w:tc>
          <w:tcPr>
            <w:tcW w:w="1028" w:type="dxa"/>
            <w:noWrap w:val="0"/>
            <w:vAlign w:val="center"/>
          </w:tcPr>
          <w:p>
            <w:pPr>
              <w:spacing w:line="276" w:lineRule="auto"/>
              <w:jc w:val="center"/>
              <w:rPr>
                <w:rFonts w:ascii="宋体" w:hAnsi="宋体" w:cs="宋体"/>
                <w:sz w:val="24"/>
              </w:rPr>
            </w:pPr>
            <w:r>
              <w:rPr>
                <w:rFonts w:hint="eastAsia" w:ascii="宋体" w:hAnsi="宋体" w:cs="宋体"/>
                <w:sz w:val="24"/>
              </w:rPr>
              <w:t>3</w:t>
            </w:r>
            <w:r>
              <w:rPr>
                <w:rFonts w:ascii="宋体" w:hAnsi="宋体" w:cs="宋体"/>
                <w:sz w:val="24"/>
              </w:rPr>
              <w:t>0</w:t>
            </w:r>
          </w:p>
        </w:tc>
        <w:tc>
          <w:tcPr>
            <w:tcW w:w="6806" w:type="dxa"/>
            <w:noWrap w:val="0"/>
            <w:vAlign w:val="center"/>
          </w:tcPr>
          <w:p>
            <w:pPr>
              <w:spacing w:line="276" w:lineRule="auto"/>
              <w:rPr>
                <w:rFonts w:ascii="宋体" w:hAnsi="宋体"/>
                <w:sz w:val="24"/>
              </w:rPr>
            </w:pPr>
            <w:r>
              <w:rPr>
                <w:rFonts w:ascii="宋体" w:hAnsi="宋体"/>
                <w:sz w:val="24"/>
              </w:rPr>
              <w:t>价格分采用低价优先法计算，即满足</w:t>
            </w:r>
            <w:r>
              <w:rPr>
                <w:rFonts w:hint="eastAsia" w:ascii="宋体" w:hAnsi="宋体"/>
                <w:sz w:val="24"/>
              </w:rPr>
              <w:t>招标</w:t>
            </w:r>
            <w:r>
              <w:rPr>
                <w:rFonts w:ascii="宋体" w:hAnsi="宋体"/>
                <w:sz w:val="24"/>
              </w:rPr>
              <w:t>文件要求且</w:t>
            </w:r>
            <w:r>
              <w:rPr>
                <w:rFonts w:hint="eastAsia" w:ascii="宋体" w:hAnsi="宋体"/>
                <w:sz w:val="24"/>
              </w:rPr>
              <w:t>响应</w:t>
            </w:r>
            <w:r>
              <w:rPr>
                <w:rFonts w:ascii="宋体" w:hAnsi="宋体"/>
                <w:sz w:val="24"/>
              </w:rPr>
              <w:t>价格最低的</w:t>
            </w:r>
            <w:r>
              <w:rPr>
                <w:rFonts w:hint="eastAsia" w:ascii="宋体" w:hAnsi="宋体"/>
                <w:sz w:val="24"/>
              </w:rPr>
              <w:t>报价</w:t>
            </w:r>
            <w:r>
              <w:rPr>
                <w:rFonts w:ascii="宋体" w:hAnsi="宋体"/>
                <w:sz w:val="24"/>
              </w:rPr>
              <w:t>为评标基准价，其价格分为满分。其他</w:t>
            </w:r>
            <w:r>
              <w:rPr>
                <w:rFonts w:hint="eastAsia" w:ascii="宋体" w:hAnsi="宋体"/>
                <w:sz w:val="24"/>
              </w:rPr>
              <w:t>供应商</w:t>
            </w:r>
            <w:r>
              <w:rPr>
                <w:rFonts w:ascii="宋体" w:hAnsi="宋体"/>
                <w:sz w:val="24"/>
              </w:rPr>
              <w:t>的价格分统一按下列公式计算：</w:t>
            </w:r>
            <w:r>
              <w:rPr>
                <w:rFonts w:hint="eastAsia" w:ascii="宋体" w:hAnsi="宋体"/>
                <w:sz w:val="24"/>
              </w:rPr>
              <w:t>价格</w:t>
            </w:r>
            <w:r>
              <w:rPr>
                <w:rFonts w:ascii="宋体" w:hAnsi="宋体"/>
                <w:sz w:val="24"/>
              </w:rPr>
              <w:t>得分=（评标基准</w:t>
            </w:r>
            <w:r>
              <w:rPr>
                <w:rFonts w:hint="eastAsia" w:ascii="宋体" w:hAnsi="宋体"/>
                <w:sz w:val="24"/>
              </w:rPr>
              <w:t>价</w:t>
            </w:r>
            <w:r>
              <w:rPr>
                <w:rFonts w:ascii="宋体" w:hAnsi="宋体"/>
                <w:sz w:val="24"/>
              </w:rPr>
              <w:t>÷</w:t>
            </w:r>
            <w:r>
              <w:rPr>
                <w:rFonts w:hint="eastAsia" w:ascii="宋体" w:hAnsi="宋体"/>
                <w:sz w:val="24"/>
              </w:rPr>
              <w:t>供应商报价</w:t>
            </w:r>
            <w:r>
              <w:rPr>
                <w:rFonts w:ascii="宋体" w:hAnsi="宋体"/>
                <w:sz w:val="24"/>
              </w:rPr>
              <w:t>）×3</w:t>
            </w:r>
            <w:r>
              <w:rPr>
                <w:rFonts w:hint="eastAsia" w:ascii="宋体" w:hAnsi="宋体"/>
                <w:sz w:val="24"/>
              </w:rPr>
              <w:t>0</w:t>
            </w:r>
            <w:r>
              <w:rPr>
                <w:rFonts w:ascii="宋体" w:hAnsi="宋体"/>
                <w:sz w:val="24"/>
              </w:rPr>
              <w:t>。计算结果保留至小数点后两位。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1241" w:type="dxa"/>
            <w:noWrap w:val="0"/>
            <w:vAlign w:val="center"/>
          </w:tcPr>
          <w:p>
            <w:pPr>
              <w:spacing w:line="276" w:lineRule="auto"/>
              <w:jc w:val="center"/>
              <w:rPr>
                <w:rFonts w:ascii="宋体" w:hAnsi="宋体" w:cs="宋体"/>
                <w:sz w:val="24"/>
              </w:rPr>
            </w:pPr>
            <w:r>
              <w:rPr>
                <w:rFonts w:hint="eastAsia" w:ascii="宋体" w:hAnsi="宋体" w:cs="宋体"/>
                <w:sz w:val="24"/>
              </w:rPr>
              <w:t>技术参数</w:t>
            </w:r>
          </w:p>
        </w:tc>
        <w:tc>
          <w:tcPr>
            <w:tcW w:w="1028" w:type="dxa"/>
            <w:noWrap w:val="0"/>
            <w:vAlign w:val="center"/>
          </w:tcPr>
          <w:p>
            <w:pPr>
              <w:spacing w:line="276" w:lineRule="auto"/>
              <w:jc w:val="center"/>
              <w:rPr>
                <w:rFonts w:hint="default" w:ascii="宋体" w:hAnsi="宋体" w:eastAsia="宋体" w:cs="宋体"/>
                <w:sz w:val="24"/>
                <w:lang w:val="en-US" w:eastAsia="zh-CN"/>
              </w:rPr>
            </w:pPr>
            <w:r>
              <w:rPr>
                <w:rFonts w:hint="default" w:ascii="宋体" w:hAnsi="宋体" w:cs="宋体"/>
                <w:sz w:val="24"/>
                <w:lang w:val="en-US" w:eastAsia="zh-CN"/>
              </w:rPr>
              <w:t>40</w:t>
            </w:r>
          </w:p>
        </w:tc>
        <w:tc>
          <w:tcPr>
            <w:tcW w:w="6806" w:type="dxa"/>
            <w:noWrap w:val="0"/>
            <w:vAlign w:val="center"/>
          </w:tcPr>
          <w:p>
            <w:pPr>
              <w:numPr>
                <w:ilvl w:val="0"/>
                <w:numId w:val="0"/>
              </w:numPr>
              <w:spacing w:line="276" w:lineRule="auto"/>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rPr>
              <w:t>根据供应商拟提供的设备性能、参数和配置进行评分</w:t>
            </w:r>
            <w:r>
              <w:rPr>
                <w:rFonts w:hint="eastAsia" w:ascii="宋体" w:hAnsi="宋体"/>
                <w:sz w:val="24"/>
                <w:lang w:eastAsia="zh-CN"/>
              </w:rPr>
              <w:t>最高可得</w:t>
            </w:r>
            <w:r>
              <w:rPr>
                <w:rFonts w:hint="default" w:ascii="宋体" w:hAnsi="宋体"/>
                <w:sz w:val="24"/>
                <w:lang w:val="en-US" w:eastAsia="zh-CN"/>
              </w:rPr>
              <w:t>35</w:t>
            </w:r>
            <w:r>
              <w:rPr>
                <w:rFonts w:hint="eastAsia" w:ascii="宋体" w:hAnsi="宋体"/>
                <w:sz w:val="24"/>
                <w:lang w:val="en-US" w:eastAsia="zh-CN"/>
              </w:rPr>
              <w:t>分，具体对比参数如下：</w:t>
            </w:r>
          </w:p>
          <w:p>
            <w:pPr>
              <w:numPr>
                <w:ilvl w:val="0"/>
                <w:numId w:val="0"/>
              </w:numPr>
              <w:spacing w:line="276" w:lineRule="auto"/>
              <w:rPr>
                <w:rFonts w:hint="default" w:ascii="宋体" w:hAnsi="宋体"/>
                <w:sz w:val="24"/>
                <w:lang w:val="en-US" w:eastAsia="zh-CN"/>
              </w:rPr>
            </w:pPr>
            <w:r>
              <w:rPr>
                <w:rFonts w:hint="eastAsia" w:ascii="宋体" w:hAnsi="宋体"/>
                <w:sz w:val="24"/>
                <w:lang w:val="en-US" w:eastAsia="zh-CN"/>
              </w:rPr>
              <w:t>（1）发动机作为挖掘机主要动力来源，由评分小组成员根据供应商提供的发动机包括但不限于品牌、产地、性能等进行对比，该项最高可得25分。</w:t>
            </w:r>
          </w:p>
          <w:p>
            <w:pPr>
              <w:numPr>
                <w:ilvl w:val="0"/>
                <w:numId w:val="0"/>
              </w:numPr>
              <w:spacing w:line="276" w:lineRule="auto"/>
              <w:rPr>
                <w:rFonts w:hint="eastAsia" w:ascii="宋体" w:hAnsi="宋体"/>
                <w:sz w:val="24"/>
                <w:lang w:val="en-US" w:eastAsia="zh-CN"/>
              </w:rPr>
            </w:pPr>
            <w:r>
              <w:rPr>
                <w:rFonts w:hint="eastAsia" w:ascii="宋体" w:hAnsi="宋体"/>
                <w:sz w:val="24"/>
                <w:lang w:val="en-US" w:eastAsia="zh-CN"/>
              </w:rPr>
              <w:t>（2）斗杆挖掘力（kN），挖掘力最大得5分，其次均得2分；</w:t>
            </w:r>
          </w:p>
          <w:p>
            <w:pPr>
              <w:numPr>
                <w:ilvl w:val="0"/>
                <w:numId w:val="0"/>
              </w:numPr>
              <w:spacing w:line="276" w:lineRule="auto"/>
              <w:rPr>
                <w:rFonts w:hint="eastAsia" w:ascii="宋体" w:hAnsi="宋体"/>
                <w:sz w:val="24"/>
                <w:lang w:val="en-US" w:eastAsia="zh-CN"/>
              </w:rPr>
            </w:pPr>
            <w:r>
              <w:rPr>
                <w:rFonts w:hint="eastAsia" w:ascii="宋体" w:hAnsi="宋体"/>
                <w:sz w:val="24"/>
                <w:lang w:val="en-US" w:eastAsia="zh-CN"/>
              </w:rPr>
              <w:t>（3）铲斗挖掘力（kN），挖掘力最大得5分，其次均得2分；</w:t>
            </w:r>
          </w:p>
          <w:p>
            <w:pPr>
              <w:spacing w:line="276" w:lineRule="auto"/>
              <w:rPr>
                <w:rFonts w:ascii="宋体" w:hAnsi="宋体"/>
                <w:sz w:val="24"/>
              </w:rPr>
            </w:pPr>
            <w:r>
              <w:rPr>
                <w:rFonts w:hint="eastAsia" w:ascii="宋体" w:hAnsi="宋体"/>
                <w:sz w:val="24"/>
              </w:rPr>
              <w:t>2.所提供设备取得国家专利的每提供一项专利证明得</w:t>
            </w:r>
            <w:r>
              <w:rPr>
                <w:rFonts w:hint="eastAsia" w:ascii="宋体" w:hAnsi="宋体"/>
                <w:sz w:val="24"/>
                <w:lang w:val="en-US" w:eastAsia="zh-CN"/>
              </w:rPr>
              <w:t>1</w:t>
            </w:r>
            <w:r>
              <w:rPr>
                <w:rFonts w:hint="eastAsia" w:ascii="宋体" w:hAnsi="宋体"/>
                <w:sz w:val="24"/>
              </w:rPr>
              <w:t>分，最高可得</w:t>
            </w:r>
            <w:r>
              <w:rPr>
                <w:rFonts w:hint="default" w:ascii="宋体" w:hAnsi="宋体"/>
                <w:sz w:val="24"/>
                <w:lang w:val="en-US"/>
              </w:rPr>
              <w:t>5</w:t>
            </w:r>
            <w:r>
              <w:rPr>
                <w:rFonts w:hint="eastAsia" w:ascii="宋体" w:hAnsi="宋体"/>
                <w:sz w:val="24"/>
              </w:rPr>
              <w:t>分，需提供专利证书复印件。</w:t>
            </w:r>
          </w:p>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1241" w:type="dxa"/>
            <w:noWrap w:val="0"/>
            <w:vAlign w:val="center"/>
          </w:tcPr>
          <w:p>
            <w:pPr>
              <w:spacing w:line="276" w:lineRule="auto"/>
              <w:jc w:val="center"/>
              <w:rPr>
                <w:rFonts w:ascii="宋体" w:hAnsi="宋体" w:cs="宋体"/>
                <w:sz w:val="24"/>
              </w:rPr>
            </w:pPr>
            <w:r>
              <w:rPr>
                <w:rFonts w:hint="eastAsia" w:ascii="宋体" w:hAnsi="宋体" w:cs="宋体"/>
                <w:sz w:val="24"/>
              </w:rPr>
              <w:t>商务要求</w:t>
            </w:r>
          </w:p>
        </w:tc>
        <w:tc>
          <w:tcPr>
            <w:tcW w:w="1028" w:type="dxa"/>
            <w:noWrap w:val="0"/>
            <w:vAlign w:val="center"/>
          </w:tcPr>
          <w:p>
            <w:pPr>
              <w:spacing w:line="276" w:lineRule="auto"/>
              <w:jc w:val="center"/>
              <w:rPr>
                <w:rFonts w:hint="default" w:ascii="宋体" w:hAnsi="宋体"/>
                <w:sz w:val="24"/>
                <w:lang w:val="en-US"/>
              </w:rPr>
            </w:pPr>
            <w:r>
              <w:rPr>
                <w:rFonts w:hint="default" w:ascii="宋体" w:hAnsi="宋体"/>
                <w:sz w:val="24"/>
                <w:lang w:val="en-US" w:eastAsia="zh-CN"/>
              </w:rPr>
              <w:t>30</w:t>
            </w:r>
          </w:p>
        </w:tc>
        <w:tc>
          <w:tcPr>
            <w:tcW w:w="6806" w:type="dxa"/>
            <w:noWrap w:val="0"/>
            <w:vAlign w:val="center"/>
          </w:tcPr>
          <w:p>
            <w:pPr>
              <w:numPr>
                <w:ilvl w:val="-1"/>
                <w:numId w:val="0"/>
              </w:numPr>
              <w:spacing w:line="276" w:lineRule="auto"/>
              <w:rPr>
                <w:rFonts w:hint="eastAsia" w:ascii="宋体" w:hAnsi="宋体"/>
                <w:sz w:val="24"/>
                <w:lang w:eastAsia="zh-CN"/>
              </w:rPr>
            </w:pPr>
            <w:r>
              <w:rPr>
                <w:rFonts w:hint="eastAsia" w:ascii="宋体" w:hAnsi="宋体"/>
                <w:sz w:val="24"/>
                <w:lang w:val="en-US" w:eastAsia="zh-CN"/>
              </w:rPr>
              <w:t>1.</w:t>
            </w:r>
            <w:r>
              <w:rPr>
                <w:rFonts w:hint="eastAsia" w:ascii="宋体" w:hAnsi="宋体"/>
                <w:sz w:val="24"/>
                <w:lang w:eastAsia="zh-CN"/>
              </w:rPr>
              <w:t>报价单位为设备品牌的生产厂家或指定经销商得</w:t>
            </w:r>
            <w:r>
              <w:rPr>
                <w:rFonts w:hint="eastAsia" w:ascii="宋体" w:hAnsi="宋体"/>
                <w:sz w:val="24"/>
                <w:lang w:val="en-US" w:eastAsia="zh-CN"/>
              </w:rPr>
              <w:t>10分</w:t>
            </w:r>
            <w:r>
              <w:rPr>
                <w:rFonts w:hint="eastAsia" w:ascii="宋体" w:hAnsi="宋体"/>
                <w:sz w:val="24"/>
                <w:lang w:eastAsia="zh-CN"/>
              </w:rPr>
              <w:t>，需提供相关证明资料并加盖公章，不能提供不得分。</w:t>
            </w:r>
          </w:p>
          <w:p>
            <w:pPr>
              <w:numPr>
                <w:ilvl w:val="-1"/>
                <w:numId w:val="0"/>
              </w:numPr>
              <w:spacing w:line="276" w:lineRule="auto"/>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提供的机械设备在江门地区内有售后服务点的（提供售后服务点营业执照</w:t>
            </w:r>
            <w:r>
              <w:rPr>
                <w:rFonts w:hint="eastAsia" w:ascii="宋体" w:hAnsi="宋体"/>
                <w:sz w:val="24"/>
                <w:lang w:val="en-US" w:eastAsia="zh-CN"/>
              </w:rPr>
              <w:t>并加盖公章</w:t>
            </w:r>
            <w:r>
              <w:rPr>
                <w:rFonts w:hint="eastAsia" w:ascii="宋体" w:hAnsi="宋体"/>
                <w:sz w:val="24"/>
                <w:lang w:eastAsia="zh-CN"/>
              </w:rPr>
              <w:t>）或能承诺</w:t>
            </w:r>
            <w:r>
              <w:rPr>
                <w:rFonts w:hint="eastAsia" w:ascii="宋体" w:hAnsi="宋体"/>
                <w:sz w:val="24"/>
                <w:lang w:val="en-US" w:eastAsia="zh-CN"/>
              </w:rPr>
              <w:t>3小时内上门（需提供承诺书并加盖公章）可</w:t>
            </w:r>
            <w:r>
              <w:rPr>
                <w:rFonts w:hint="eastAsia" w:ascii="宋体" w:hAnsi="宋体"/>
                <w:sz w:val="24"/>
                <w:lang w:eastAsia="zh-CN"/>
              </w:rPr>
              <w:t>得</w:t>
            </w:r>
            <w:r>
              <w:rPr>
                <w:rFonts w:hint="eastAsia" w:ascii="宋体" w:hAnsi="宋体"/>
                <w:sz w:val="24"/>
                <w:lang w:val="en-US" w:eastAsia="zh-CN"/>
              </w:rPr>
              <w:t>10分，没有服务点和不能承诺的不得分。</w:t>
            </w:r>
          </w:p>
          <w:p>
            <w:pPr>
              <w:spacing w:line="276" w:lineRule="auto"/>
              <w:rPr>
                <w:rFonts w:hint="default" w:ascii="宋体" w:hAnsi="宋体" w:eastAsia="宋体"/>
                <w:sz w:val="24"/>
                <w:lang w:val="en-US" w:eastAsia="zh-CN"/>
              </w:rPr>
            </w:pPr>
            <w:r>
              <w:rPr>
                <w:rFonts w:hint="eastAsia" w:ascii="宋体" w:hAnsi="宋体"/>
                <w:sz w:val="24"/>
              </w:rPr>
              <w:t>3.产品业绩（</w:t>
            </w:r>
            <w:r>
              <w:rPr>
                <w:rFonts w:hint="eastAsia" w:ascii="宋体" w:hAnsi="宋体"/>
                <w:sz w:val="24"/>
                <w:lang w:val="en-US" w:eastAsia="zh-CN"/>
              </w:rPr>
              <w:t>10</w:t>
            </w:r>
            <w:r>
              <w:rPr>
                <w:rFonts w:hint="eastAsia" w:ascii="宋体" w:hAnsi="宋体"/>
                <w:sz w:val="24"/>
              </w:rPr>
              <w:t>分）：供应商每提供2</w:t>
            </w:r>
            <w:r>
              <w:rPr>
                <w:rFonts w:ascii="宋体" w:hAnsi="宋体"/>
                <w:sz w:val="24"/>
              </w:rPr>
              <w:t>02</w:t>
            </w:r>
            <w:r>
              <w:rPr>
                <w:rFonts w:hint="eastAsia" w:ascii="宋体" w:hAnsi="宋体"/>
                <w:sz w:val="24"/>
                <w:lang w:val="en-US" w:eastAsia="zh-CN"/>
              </w:rPr>
              <w:t>4</w:t>
            </w:r>
            <w:r>
              <w:rPr>
                <w:rFonts w:hint="eastAsia" w:ascii="宋体" w:hAnsi="宋体"/>
                <w:sz w:val="24"/>
              </w:rPr>
              <w:t>年</w:t>
            </w:r>
            <w:r>
              <w:rPr>
                <w:rFonts w:hint="eastAsia" w:ascii="宋体" w:hAnsi="宋体"/>
                <w:sz w:val="24"/>
                <w:lang w:eastAsia="zh-CN"/>
              </w:rPr>
              <w:t>至今</w:t>
            </w:r>
            <w:r>
              <w:rPr>
                <w:rFonts w:hint="eastAsia" w:ascii="宋体" w:hAnsi="宋体"/>
                <w:sz w:val="24"/>
              </w:rPr>
              <w:t>有效销售合同的得2分，本项最多得</w:t>
            </w:r>
            <w:r>
              <w:rPr>
                <w:rFonts w:hint="eastAsia" w:ascii="宋体" w:hAnsi="宋体"/>
                <w:sz w:val="24"/>
                <w:lang w:val="en-US" w:eastAsia="zh-CN"/>
              </w:rPr>
              <w:t>10</w:t>
            </w:r>
            <w:r>
              <w:rPr>
                <w:rFonts w:hint="eastAsia" w:ascii="宋体" w:hAnsi="宋体"/>
                <w:sz w:val="24"/>
              </w:rPr>
              <w:t>分。供应商提供设备销售合同复印件加盖公章。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1" w:type="dxa"/>
            <w:noWrap w:val="0"/>
            <w:vAlign w:val="center"/>
          </w:tcPr>
          <w:p>
            <w:pPr>
              <w:spacing w:line="276" w:lineRule="auto"/>
              <w:jc w:val="center"/>
              <w:rPr>
                <w:rFonts w:ascii="宋体" w:hAnsi="宋体" w:cs="宋体"/>
                <w:sz w:val="24"/>
              </w:rPr>
            </w:pPr>
            <w:r>
              <w:rPr>
                <w:rFonts w:hint="eastAsia" w:ascii="宋体" w:hAnsi="宋体" w:cs="宋体"/>
                <w:sz w:val="24"/>
              </w:rPr>
              <w:t>合计</w:t>
            </w:r>
          </w:p>
        </w:tc>
        <w:tc>
          <w:tcPr>
            <w:tcW w:w="1028" w:type="dxa"/>
            <w:noWrap w:val="0"/>
            <w:vAlign w:val="center"/>
          </w:tcPr>
          <w:p>
            <w:pPr>
              <w:spacing w:line="276" w:lineRule="auto"/>
              <w:jc w:val="center"/>
              <w:rPr>
                <w:rFonts w:ascii="宋体" w:hAnsi="宋体" w:cs="宋体"/>
                <w:sz w:val="24"/>
              </w:rPr>
            </w:pPr>
            <w:r>
              <w:rPr>
                <w:rFonts w:hint="eastAsia" w:ascii="宋体" w:hAnsi="宋体" w:cs="宋体"/>
                <w:sz w:val="24"/>
              </w:rPr>
              <w:t>100</w:t>
            </w:r>
          </w:p>
        </w:tc>
        <w:tc>
          <w:tcPr>
            <w:tcW w:w="6806" w:type="dxa"/>
            <w:noWrap w:val="0"/>
            <w:vAlign w:val="center"/>
          </w:tcPr>
          <w:p>
            <w:pPr>
              <w:spacing w:line="276" w:lineRule="auto"/>
              <w:rPr>
                <w:rFonts w:ascii="宋体" w:hAnsi="宋体" w:cs="宋体"/>
                <w:sz w:val="24"/>
                <w:lang w:val="zh-CN"/>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YTBlOTcxMDhmNzVlMjQ2ODYyY2NlMDMyNmRlMWMifQ=="/>
    <w:docVar w:name="KGWebUrl" w:val="http://19.121.241.45/seeyon/officeservlet"/>
  </w:docVars>
  <w:rsids>
    <w:rsidRoot w:val="007E404F"/>
    <w:rsid w:val="0002467C"/>
    <w:rsid w:val="00036CEB"/>
    <w:rsid w:val="00084C1D"/>
    <w:rsid w:val="000D2CCE"/>
    <w:rsid w:val="000E14CC"/>
    <w:rsid w:val="000F7753"/>
    <w:rsid w:val="001704C4"/>
    <w:rsid w:val="001D4DFF"/>
    <w:rsid w:val="001E58F0"/>
    <w:rsid w:val="00211D13"/>
    <w:rsid w:val="00242801"/>
    <w:rsid w:val="00243EDE"/>
    <w:rsid w:val="00280D4A"/>
    <w:rsid w:val="00331263"/>
    <w:rsid w:val="00436D3C"/>
    <w:rsid w:val="00452F37"/>
    <w:rsid w:val="00460D46"/>
    <w:rsid w:val="00475BAE"/>
    <w:rsid w:val="00480D09"/>
    <w:rsid w:val="004836BA"/>
    <w:rsid w:val="004A2E7F"/>
    <w:rsid w:val="004B04B9"/>
    <w:rsid w:val="004C486B"/>
    <w:rsid w:val="004D16D2"/>
    <w:rsid w:val="004E4036"/>
    <w:rsid w:val="005A5849"/>
    <w:rsid w:val="005D161E"/>
    <w:rsid w:val="005F4BB3"/>
    <w:rsid w:val="00607EF0"/>
    <w:rsid w:val="006801FC"/>
    <w:rsid w:val="0068284B"/>
    <w:rsid w:val="006C4A01"/>
    <w:rsid w:val="006D4251"/>
    <w:rsid w:val="006F0997"/>
    <w:rsid w:val="006F66A9"/>
    <w:rsid w:val="007A30A7"/>
    <w:rsid w:val="007C39B2"/>
    <w:rsid w:val="007E404F"/>
    <w:rsid w:val="00823DC4"/>
    <w:rsid w:val="008350D2"/>
    <w:rsid w:val="00845D1F"/>
    <w:rsid w:val="00853BD6"/>
    <w:rsid w:val="008C2D88"/>
    <w:rsid w:val="00902809"/>
    <w:rsid w:val="00924BB0"/>
    <w:rsid w:val="00941905"/>
    <w:rsid w:val="0097385F"/>
    <w:rsid w:val="00A0620B"/>
    <w:rsid w:val="00A1011D"/>
    <w:rsid w:val="00AD09B3"/>
    <w:rsid w:val="00AE0EF0"/>
    <w:rsid w:val="00B47521"/>
    <w:rsid w:val="00B70541"/>
    <w:rsid w:val="00B72321"/>
    <w:rsid w:val="00C10D49"/>
    <w:rsid w:val="00C90FA3"/>
    <w:rsid w:val="00CA5B62"/>
    <w:rsid w:val="00CE5F52"/>
    <w:rsid w:val="00CF47DB"/>
    <w:rsid w:val="00D02FB4"/>
    <w:rsid w:val="00D0641F"/>
    <w:rsid w:val="00D62175"/>
    <w:rsid w:val="00D6491E"/>
    <w:rsid w:val="00D8358F"/>
    <w:rsid w:val="00DA1681"/>
    <w:rsid w:val="00E21D1E"/>
    <w:rsid w:val="00E25AED"/>
    <w:rsid w:val="00E262C9"/>
    <w:rsid w:val="00E45554"/>
    <w:rsid w:val="00E909BA"/>
    <w:rsid w:val="00EB2C2D"/>
    <w:rsid w:val="00EC4ED0"/>
    <w:rsid w:val="00F31720"/>
    <w:rsid w:val="00F84572"/>
    <w:rsid w:val="074C0C5A"/>
    <w:rsid w:val="11155FB1"/>
    <w:rsid w:val="1F971487"/>
    <w:rsid w:val="3F7D229A"/>
    <w:rsid w:val="6BDC6D37"/>
    <w:rsid w:val="727E0414"/>
    <w:rsid w:val="7BFED817"/>
    <w:rsid w:val="7D77B8B0"/>
    <w:rsid w:val="7EE57F89"/>
    <w:rsid w:val="B17DB3CD"/>
    <w:rsid w:val="BF7175B9"/>
    <w:rsid w:val="F3BF8DF8"/>
    <w:rsid w:val="FFB7B024"/>
    <w:rsid w:val="FFFB99C4"/>
    <w:rsid w:val="FFFD4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adjustRightInd w:val="0"/>
      <w:spacing w:line="360" w:lineRule="atLeast"/>
      <w:jc w:val="left"/>
      <w:textAlignment w:val="baseline"/>
    </w:pPr>
    <w:rPr>
      <w:rFonts w:ascii="宋体" w:hAnsi="Courier New" w:eastAsia="宋体" w:cs="Times New Roman"/>
      <w:kern w:val="0"/>
      <w:sz w:val="20"/>
      <w:szCs w:val="20"/>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纯文本 Char"/>
    <w:basedOn w:val="9"/>
    <w:link w:val="2"/>
    <w:qFormat/>
    <w:uiPriority w:val="0"/>
    <w:rPr>
      <w:rFonts w:ascii="宋体" w:hAnsi="Courier New" w:eastAsia="宋体" w:cs="Times New Roman"/>
      <w:kern w:val="0"/>
      <w:sz w:val="20"/>
      <w:szCs w:val="20"/>
    </w:rPr>
  </w:style>
  <w:style w:type="character" w:customStyle="1" w:styleId="12">
    <w:name w:val="批注框文本 Char"/>
    <w:basedOn w:val="9"/>
    <w:link w:val="3"/>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页眉 Char"/>
    <w:basedOn w:val="9"/>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1048</Words>
  <Characters>1067</Characters>
  <Lines>8</Lines>
  <Paragraphs>2</Paragraphs>
  <TotalTime>19</TotalTime>
  <ScaleCrop>false</ScaleCrop>
  <LinksUpToDate>false</LinksUpToDate>
  <CharactersWithSpaces>1067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2024-08-10T04:58:00Z</dcterms:created>
  <dc:creator>郭家明</dc:creator>
  <cp:lastModifiedBy>uos</cp:lastModifiedBy>
  <cp:lastPrinted>2024-08-05T07:28:00Z</cp:lastPrinted>
  <dcterms:modified xsi:type="dcterms:W3CDTF">2024-11-13T14:38:16Z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AE87016B7411763458493467EDC3BA57_43</vt:lpwstr>
  </property>
</Properties>
</file>