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1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大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大标宋_GBK" w:cs="Times New Roman"/>
          <w:kern w:val="0"/>
          <w:sz w:val="44"/>
          <w:szCs w:val="44"/>
        </w:rPr>
        <w:t>2024年江门市高层次人才研修</w:t>
      </w:r>
      <w:r>
        <w:rPr>
          <w:rFonts w:hint="default" w:ascii="Times New Roman" w:hAnsi="Times New Roman" w:eastAsia="方正大标宋_GBK" w:cs="Times New Roman"/>
          <w:kern w:val="0"/>
          <w:sz w:val="44"/>
          <w:szCs w:val="44"/>
          <w:lang w:val="en-US" w:eastAsia="zh-CN"/>
        </w:rPr>
        <w:t>——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大标宋_GBK" w:cs="Times New Roman"/>
          <w:kern w:val="0"/>
          <w:sz w:val="44"/>
          <w:szCs w:val="44"/>
        </w:rPr>
        <w:t>科技创新</w:t>
      </w:r>
      <w:r>
        <w:rPr>
          <w:rFonts w:hint="default" w:ascii="Times New Roman" w:hAnsi="Times New Roman" w:eastAsia="方正大标宋_GBK" w:cs="Times New Roman"/>
          <w:kern w:val="0"/>
          <w:sz w:val="44"/>
          <w:szCs w:val="44"/>
          <w:lang w:val="en-US" w:eastAsia="zh-CN"/>
        </w:rPr>
        <w:t>人才</w:t>
      </w:r>
      <w:r>
        <w:rPr>
          <w:rFonts w:hint="default" w:ascii="Times New Roman" w:hAnsi="Times New Roman" w:eastAsia="方正大标宋_GBK" w:cs="Times New Roman"/>
          <w:kern w:val="0"/>
          <w:sz w:val="44"/>
          <w:szCs w:val="44"/>
        </w:rPr>
        <w:t>研</w:t>
      </w:r>
      <w:r>
        <w:rPr>
          <w:rFonts w:hint="default" w:ascii="Times New Roman" w:hAnsi="Times New Roman" w:eastAsia="方正大标宋_GBK" w:cs="Times New Roman"/>
          <w:kern w:val="0"/>
          <w:sz w:val="44"/>
          <w:szCs w:val="44"/>
          <w:lang w:val="en-US" w:eastAsia="zh-CN"/>
        </w:rPr>
        <w:t>修班课程表</w:t>
      </w:r>
    </w:p>
    <w:p>
      <w:pPr>
        <w:rPr>
          <w:rFonts w:hint="default" w:ascii="Times New Roman" w:hAnsi="Times New Roman" w:cs="Times New Roman"/>
          <w:lang w:val="en-US"/>
        </w:rPr>
      </w:pPr>
    </w:p>
    <w:tbl>
      <w:tblPr>
        <w:tblStyle w:val="6"/>
        <w:tblW w:w="10140" w:type="dxa"/>
        <w:jc w:val="center"/>
        <w:tblInd w:w="-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2386"/>
        <w:gridCol w:w="4808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阶段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4808" w:type="dxa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培训内容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培训地点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494" w:type="dxa"/>
            <w:vMerge w:val="restar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第一阶段</w:t>
            </w:r>
          </w:p>
        </w:tc>
        <w:tc>
          <w:tcPr>
            <w:tcW w:w="2386" w:type="dxa"/>
            <w:vMerge w:val="restar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11月7日（周四）</w:t>
            </w:r>
          </w:p>
        </w:tc>
        <w:tc>
          <w:tcPr>
            <w:tcW w:w="48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1.企业的创新概论</w:t>
            </w:r>
          </w:p>
        </w:tc>
        <w:tc>
          <w:tcPr>
            <w:tcW w:w="1452" w:type="dxa"/>
            <w:vMerge w:val="restar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台山市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494" w:type="dxa"/>
            <w:vMerge w:val="continue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386" w:type="dxa"/>
            <w:vMerge w:val="continue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2.企业技术创新的思维和实操</w:t>
            </w:r>
          </w:p>
        </w:tc>
        <w:tc>
          <w:tcPr>
            <w:tcW w:w="1452" w:type="dxa"/>
            <w:vMerge w:val="continue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494" w:type="dxa"/>
            <w:vMerge w:val="continue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386" w:type="dxa"/>
            <w:vMerge w:val="restar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11月8日（周五）</w:t>
            </w:r>
          </w:p>
        </w:tc>
        <w:tc>
          <w:tcPr>
            <w:tcW w:w="48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1.如何培养技术创新人才</w:t>
            </w:r>
          </w:p>
        </w:tc>
        <w:tc>
          <w:tcPr>
            <w:tcW w:w="1452" w:type="dxa"/>
            <w:vMerge w:val="continue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494" w:type="dxa"/>
            <w:vMerge w:val="continue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386" w:type="dxa"/>
            <w:vMerge w:val="continue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2.企业需要扩展的创新思维</w:t>
            </w:r>
          </w:p>
        </w:tc>
        <w:tc>
          <w:tcPr>
            <w:tcW w:w="1452" w:type="dxa"/>
            <w:vMerge w:val="continue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exact"/>
          <w:jc w:val="center"/>
        </w:trPr>
        <w:tc>
          <w:tcPr>
            <w:tcW w:w="1494" w:type="dxa"/>
            <w:vMerge w:val="restar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第二阶段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11月21日（周四）</w:t>
            </w:r>
          </w:p>
        </w:tc>
        <w:tc>
          <w:tcPr>
            <w:tcW w:w="4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ANSYS Mechanical结构力学仿真分析及应用</w:t>
            </w:r>
          </w:p>
        </w:tc>
        <w:tc>
          <w:tcPr>
            <w:tcW w:w="1452" w:type="dxa"/>
            <w:vMerge w:val="continue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1494" w:type="dxa"/>
            <w:vMerge w:val="continue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386" w:type="dxa"/>
            <w:vMerge w:val="restar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11月22日（周五）</w:t>
            </w:r>
          </w:p>
        </w:tc>
        <w:tc>
          <w:tcPr>
            <w:tcW w:w="48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ANSYS CFD流体力学仿真分析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及应用</w:t>
            </w:r>
          </w:p>
        </w:tc>
        <w:tc>
          <w:tcPr>
            <w:tcW w:w="1452" w:type="dxa"/>
            <w:vMerge w:val="continue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494" w:type="dxa"/>
            <w:vMerge w:val="restar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第三阶段</w:t>
            </w:r>
          </w:p>
        </w:tc>
        <w:tc>
          <w:tcPr>
            <w:tcW w:w="2386" w:type="dxa"/>
            <w:vMerge w:val="restart"/>
            <w:noWrap w:val="0"/>
            <w:vAlign w:val="center"/>
          </w:tcPr>
          <w:p>
            <w:pPr>
              <w:widowControl/>
              <w:spacing w:line="204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11月28日（周四）</w:t>
            </w:r>
          </w:p>
        </w:tc>
        <w:tc>
          <w:tcPr>
            <w:tcW w:w="4808" w:type="dxa"/>
            <w:noWrap w:val="0"/>
            <w:vAlign w:val="center"/>
          </w:tcPr>
          <w:p>
            <w:pPr>
              <w:widowControl/>
              <w:spacing w:line="204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1.人工智能的应用</w:t>
            </w:r>
          </w:p>
        </w:tc>
        <w:tc>
          <w:tcPr>
            <w:tcW w:w="1452" w:type="dxa"/>
            <w:vMerge w:val="continue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494" w:type="dxa"/>
            <w:vMerge w:val="continue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386" w:type="dxa"/>
            <w:vMerge w:val="continue"/>
            <w:noWrap w:val="0"/>
            <w:vAlign w:val="center"/>
          </w:tcPr>
          <w:p>
            <w:pPr>
              <w:widowControl/>
              <w:spacing w:line="204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08" w:type="dxa"/>
            <w:noWrap w:val="0"/>
            <w:vAlign w:val="center"/>
          </w:tcPr>
          <w:p>
            <w:pPr>
              <w:widowControl/>
              <w:spacing w:line="204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企业高价值专利培育布局及标准化战略规划</w:t>
            </w:r>
          </w:p>
        </w:tc>
        <w:tc>
          <w:tcPr>
            <w:tcW w:w="1452" w:type="dxa"/>
            <w:vMerge w:val="continue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494" w:type="dxa"/>
            <w:vMerge w:val="continue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386" w:type="dxa"/>
            <w:vMerge w:val="restart"/>
            <w:noWrap w:val="0"/>
            <w:vAlign w:val="center"/>
          </w:tcPr>
          <w:p>
            <w:pPr>
              <w:widowControl/>
              <w:spacing w:line="204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11月29日（周五）</w:t>
            </w:r>
          </w:p>
        </w:tc>
        <w:tc>
          <w:tcPr>
            <w:tcW w:w="4808" w:type="dxa"/>
            <w:noWrap w:val="0"/>
            <w:vAlign w:val="center"/>
          </w:tcPr>
          <w:p>
            <w:pPr>
              <w:widowControl/>
              <w:spacing w:line="204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1.科技成果查新、索引</w:t>
            </w:r>
          </w:p>
        </w:tc>
        <w:tc>
          <w:tcPr>
            <w:tcW w:w="1452" w:type="dxa"/>
            <w:vMerge w:val="continue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94" w:type="dxa"/>
            <w:vMerge w:val="continue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386" w:type="dxa"/>
            <w:vMerge w:val="continue"/>
            <w:noWrap w:val="0"/>
            <w:vAlign w:val="center"/>
          </w:tcPr>
          <w:p>
            <w:pPr>
              <w:widowControl/>
              <w:spacing w:line="204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08" w:type="dxa"/>
            <w:noWrap w:val="0"/>
            <w:vAlign w:val="center"/>
          </w:tcPr>
          <w:p>
            <w:pPr>
              <w:widowControl/>
              <w:spacing w:line="204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专利信息检索</w:t>
            </w:r>
          </w:p>
        </w:tc>
        <w:tc>
          <w:tcPr>
            <w:tcW w:w="1452" w:type="dxa"/>
            <w:vMerge w:val="continue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494" w:type="dxa"/>
            <w:vMerge w:val="continue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386" w:type="dxa"/>
            <w:vMerge w:val="continue"/>
            <w:noWrap w:val="0"/>
            <w:vAlign w:val="center"/>
          </w:tcPr>
          <w:p>
            <w:pPr>
              <w:widowControl/>
              <w:spacing w:line="204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08" w:type="dxa"/>
            <w:noWrap w:val="0"/>
            <w:vAlign w:val="center"/>
          </w:tcPr>
          <w:p>
            <w:pPr>
              <w:widowControl/>
              <w:spacing w:line="204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专利开放许可与备案以及合同登记</w:t>
            </w:r>
          </w:p>
        </w:tc>
        <w:tc>
          <w:tcPr>
            <w:tcW w:w="1452" w:type="dxa"/>
            <w:vMerge w:val="continue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4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311B2"/>
    <w:rsid w:val="5243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江门市科技局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2024-10-14T09:59:00Z</dcterms:created>
  <dc:creator>莫奔华</dc:creator>
  <cp:lastModifiedBy>莫奔华</cp:lastModifiedBy>
  <dcterms:modified xsi:type="dcterms:W3CDTF">2024-10-14T09:59:30Z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