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</w:rPr>
        <w:t>附件3</w:t>
      </w:r>
    </w:p>
    <w:p>
      <w:pPr>
        <w:pStyle w:val="2"/>
        <w:spacing w:after="0" w:line="560" w:lineRule="exact"/>
        <w:ind w:left="0" w:leftChars="0" w:firstLine="0" w:firstLineChars="0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2024年江门市应急管理局及直属单位干部职工体检服务项目</w:t>
      </w:r>
      <w:r>
        <w:rPr>
          <w:rFonts w:asciiTheme="majorEastAsia" w:hAnsiTheme="majorEastAsia" w:eastAsiaTheme="majorEastAsia" w:cstheme="majorEastAsia"/>
          <w:b/>
          <w:bCs/>
          <w:sz w:val="44"/>
          <w:szCs w:val="44"/>
        </w:rPr>
        <w:t>招标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综合评分表</w:t>
      </w:r>
    </w:p>
    <w:p/>
    <w:tbl>
      <w:tblPr>
        <w:tblStyle w:val="5"/>
        <w:tblW w:w="1490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2049"/>
        <w:gridCol w:w="1211"/>
        <w:gridCol w:w="9007"/>
        <w:gridCol w:w="13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tblHeader/>
          <w:jc w:val="center"/>
        </w:trPr>
        <w:tc>
          <w:tcPr>
            <w:tcW w:w="336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黑体"/>
                <w:b/>
                <w:bCs/>
                <w:kern w:val="0"/>
                <w:sz w:val="24"/>
                <w:szCs w:val="24"/>
              </w:rPr>
              <w:t>评审项目分值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黑体"/>
                <w:b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90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黑体"/>
                <w:b/>
                <w:bCs/>
                <w:kern w:val="0"/>
                <w:sz w:val="24"/>
                <w:szCs w:val="24"/>
              </w:rPr>
              <w:t>评审标准分值</w:t>
            </w:r>
          </w:p>
        </w:tc>
        <w:tc>
          <w:tcPr>
            <w:tcW w:w="13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黑体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6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投标报价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（权重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/>
                <w:kern w:val="0"/>
                <w:sz w:val="24"/>
                <w:szCs w:val="24"/>
              </w:rPr>
              <w:t>%）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9007" w:type="dxa"/>
          </w:tcPr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left="57"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以所有合格供应商评标价的最低价作为评分基准价。供应商的价格分按下式计算：价格分=（评分基准价/评标价）×</w:t>
            </w:r>
            <w:r>
              <w:rPr>
                <w:rFonts w:hint="eastAsia" w:ascii="宋体" w:hAnsi="宋体" w:cs="宋体"/>
                <w:sz w:val="24"/>
                <w:szCs w:val="24"/>
                <w:lang w:val="en"/>
              </w:rPr>
              <w:t>30</w:t>
            </w:r>
          </w:p>
        </w:tc>
        <w:tc>
          <w:tcPr>
            <w:tcW w:w="13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315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技术部分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（权重50%）</w:t>
            </w: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响应情况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9007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根据</w:t>
            </w:r>
            <w:r>
              <w:rPr>
                <w:rFonts w:hint="eastAsia" w:ascii="宋体" w:hAnsi="宋体" w:cs="宋体"/>
                <w:sz w:val="24"/>
                <w:szCs w:val="24"/>
              </w:rPr>
              <w:t>投标人提供的</w:t>
            </w:r>
            <w:r>
              <w:rPr>
                <w:rFonts w:ascii="宋体" w:hAnsi="宋体" w:cs="宋体"/>
                <w:sz w:val="24"/>
                <w:szCs w:val="24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</w:rPr>
              <w:t>方案</w:t>
            </w:r>
            <w:r>
              <w:rPr>
                <w:rFonts w:ascii="宋体" w:hAnsi="宋体" w:cs="宋体"/>
                <w:sz w:val="24"/>
                <w:szCs w:val="24"/>
              </w:rPr>
              <w:t>中，对项目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服务响应情况</w:t>
            </w:r>
            <w:r>
              <w:rPr>
                <w:rFonts w:ascii="宋体" w:hAnsi="宋体" w:cs="宋体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运作流程等进行综合比较。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优（</w:t>
            </w:r>
            <w:r>
              <w:rPr>
                <w:rFonts w:ascii="宋体" w:hAnsi="宋体" w:cs="宋体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分）方案完全符合项目要求，服务承诺完全符合项目要求且有优于采购文件要求的承诺或措施，有优质的服务保障，进度安排合理、管理机制完善、科学，整体统一协调，且可行性高。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良（</w:t>
            </w:r>
            <w:r>
              <w:rPr>
                <w:rFonts w:ascii="宋体" w:hAnsi="宋体" w:cs="宋体"/>
                <w:sz w:val="24"/>
                <w:szCs w:val="24"/>
              </w:rPr>
              <w:t>15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分）方案基本符合项目要求，服务承诺基本符合项目要求，有合理的服务保障，进度安排合理、管理机制较完善，可行性较高。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一般（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分）提供简单的服务方案，服务承诺勉强符合项目要求，基本可行，进度安排简单。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1315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投入设备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00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针对体检投入设备的数量、品牌、型号等进行综合比较。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优（</w:t>
            </w: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分）体检设备配置齐全合理，设备充足齐全，主要设备规格参数及性能优。良（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分）体检设备配置齐全合理，主要设备规格参数及性能较优。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一般（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分）体检设备配置合理。</w:t>
            </w:r>
          </w:p>
          <w:p>
            <w:pPr>
              <w:pStyle w:val="2"/>
              <w:spacing w:line="400" w:lineRule="exact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注：提供体检设备清单等并加盖投标人公章。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7" w:hRule="atLeast"/>
          <w:jc w:val="center"/>
        </w:trPr>
        <w:tc>
          <w:tcPr>
            <w:tcW w:w="1315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服务水平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00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对现场体检服务的体验、体检后体检分析等进行综合比较。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优（10分）体检环境干净、布局合理，体检报告分析详尽。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良（5分）体检环境较干净、布局合理，体检报告分析较详尽。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line="400" w:lineRule="exact"/>
              <w:ind w:right="57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一般（1分）体检环境一般、布局合理，体检报告分析简单。</w:t>
            </w:r>
          </w:p>
          <w:p>
            <w:pPr>
              <w:pStyle w:val="2"/>
              <w:spacing w:line="400" w:lineRule="exact"/>
              <w:ind w:left="0" w:leftChars="0" w:firstLine="0" w:firstLineChars="0"/>
            </w:pPr>
            <w:r>
              <w:rPr>
                <w:rFonts w:hint="eastAsia" w:ascii="宋体" w:hAnsi="宋体" w:cs="宋体"/>
                <w:sz w:val="24"/>
                <w:szCs w:val="24"/>
              </w:rPr>
              <w:t>注：提供体检环境照片、现场指引和体检分析报告样式等并加盖投标人公章。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315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商务部分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（权重20%）</w:t>
            </w: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同类项目</w:t>
            </w:r>
          </w:p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业绩情况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007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2022年1月1日至今（以合同签订时间为准）同类</w:t>
            </w:r>
            <w:r>
              <w:rPr>
                <w:rFonts w:ascii="宋体" w:hAnsi="宋体" w:cs="宋体"/>
                <w:sz w:val="24"/>
                <w:szCs w:val="24"/>
              </w:rPr>
              <w:t>党政机关</w:t>
            </w:r>
            <w:r>
              <w:rPr>
                <w:rFonts w:hint="eastAsia" w:ascii="宋体" w:hAnsi="宋体" w:cs="宋体"/>
                <w:sz w:val="24"/>
                <w:szCs w:val="24"/>
              </w:rPr>
              <w:t>体检服务项目经验，每提供一份得1分，最高得10分。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注：提供服务单位清单并加盖投标人公章。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5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投入</w:t>
            </w:r>
            <w:r>
              <w:rPr>
                <w:rFonts w:hint="eastAsia" w:ascii="宋体" w:hAnsi="宋体" w:cs="宋体"/>
                <w:sz w:val="24"/>
                <w:szCs w:val="24"/>
              </w:rPr>
              <w:t>人员</w:t>
            </w:r>
          </w:p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配置能力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007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体检项目投入人员中具有副高级或以上职称有3人以上（含3人）的，得基本分1分，每增加1人得1分。（此项满分5分）</w:t>
            </w:r>
          </w:p>
          <w:p>
            <w:pPr>
              <w:widowControl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2、体检项目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投入的副高级或以上职称的人员中具有本科学历的，每人加1分；具有研究生学历的，每人加2分；具有博士学历的，</w:t>
            </w:r>
            <w:r>
              <w:rPr>
                <w:rFonts w:ascii="宋体" w:hAnsi="宋体"/>
                <w:kern w:val="0"/>
                <w:sz w:val="24"/>
                <w:szCs w:val="24"/>
              </w:rPr>
              <w:t>每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人加3分。（此项满分5分）</w:t>
            </w:r>
          </w:p>
          <w:p>
            <w:pPr>
              <w:pStyle w:val="2"/>
              <w:spacing w:line="400" w:lineRule="exact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注：提供参与体检服务配置的人员名册并加盖投标人公章。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3582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>
      <w:pPr>
        <w:spacing w:line="400" w:lineRule="exact"/>
        <w:ind w:firstLine="240" w:firstLineChars="100"/>
        <w:rPr>
          <w:sz w:val="24"/>
          <w:szCs w:val="24"/>
        </w:rPr>
      </w:pPr>
    </w:p>
    <w:p>
      <w:pPr>
        <w:spacing w:line="400" w:lineRule="exact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评审人员签名：</w:t>
      </w:r>
    </w:p>
    <w:p>
      <w:pPr>
        <w:spacing w:line="400" w:lineRule="exact"/>
        <w:rPr>
          <w:sz w:val="24"/>
          <w:szCs w:val="24"/>
        </w:rPr>
      </w:pPr>
    </w:p>
    <w:bookmarkEnd w:id="0"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BD00F"/>
    <w:multiLevelType w:val="singleLevel"/>
    <w:tmpl w:val="CDFBD0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9.121.241.45/seeyon/officeservlet"/>
  </w:docVars>
  <w:rsids>
    <w:rsidRoot w:val="00915668"/>
    <w:rsid w:val="002650C6"/>
    <w:rsid w:val="00596CA3"/>
    <w:rsid w:val="006A1FA3"/>
    <w:rsid w:val="0078611D"/>
    <w:rsid w:val="00915668"/>
    <w:rsid w:val="00D46C49"/>
    <w:rsid w:val="00E642B4"/>
    <w:rsid w:val="13FFEF55"/>
    <w:rsid w:val="365FA46B"/>
    <w:rsid w:val="3B7D6B44"/>
    <w:rsid w:val="3CEFED4F"/>
    <w:rsid w:val="482A2E8A"/>
    <w:rsid w:val="57EF40EB"/>
    <w:rsid w:val="5DDCE226"/>
    <w:rsid w:val="60E35FA0"/>
    <w:rsid w:val="6FCCC6B8"/>
    <w:rsid w:val="6FDF6096"/>
    <w:rsid w:val="73BF7FAD"/>
    <w:rsid w:val="7ED78794"/>
    <w:rsid w:val="7FCF411B"/>
    <w:rsid w:val="A7FBD6FD"/>
    <w:rsid w:val="C5FF81C8"/>
    <w:rsid w:val="D3AF075D"/>
    <w:rsid w:val="EEA7F74D"/>
    <w:rsid w:val="F0EBF1D4"/>
    <w:rsid w:val="F5FE4175"/>
    <w:rsid w:val="F7F7CDCC"/>
    <w:rsid w:val="F7FBF33C"/>
    <w:rsid w:val="FAEF1DE3"/>
    <w:rsid w:val="FAFF280E"/>
    <w:rsid w:val="FBF32465"/>
    <w:rsid w:val="FD77014A"/>
    <w:rsid w:val="FE7F24EA"/>
    <w:rsid w:val="FF5A443D"/>
    <w:rsid w:val="FF7FB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838</Characters>
  <Lines>6</Lines>
  <Paragraphs>1</Paragraphs>
  <TotalTime>5</TotalTime>
  <ScaleCrop>false</ScaleCrop>
  <LinksUpToDate>false</LinksUpToDate>
  <CharactersWithSpaces>983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2024-09-05T23:45:00Z</dcterms:created>
  <dc:creator>admin</dc:creator>
  <cp:lastModifiedBy>greatwall</cp:lastModifiedBy>
  <dcterms:modified xsi:type="dcterms:W3CDTF">2024-09-06T09:37:40Z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1CE4789AD21F38F03A0ED8668359F048</vt:lpwstr>
  </property>
</Properties>
</file>