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E1" w:rsidRDefault="001E148B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附件：</w:t>
      </w:r>
    </w:p>
    <w:p w:rsidR="00F351E1" w:rsidRPr="0030525A" w:rsidRDefault="001E148B" w:rsidP="002A7F6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 w:rsidRPr="0030525A">
        <w:rPr>
          <w:rFonts w:ascii="方正小标宋简体" w:eastAsia="方正小标宋简体" w:hAnsi="方正小标宋简体" w:cs="方正小标宋简体" w:hint="eastAsia"/>
          <w:sz w:val="44"/>
          <w:szCs w:val="44"/>
        </w:rPr>
        <w:t>江门市</w:t>
      </w:r>
      <w:r w:rsidR="007F4852" w:rsidRPr="0030525A">
        <w:rPr>
          <w:rFonts w:ascii="方正小标宋简体" w:eastAsia="方正小标宋简体" w:hAnsi="方正小标宋简体" w:cs="方正小标宋简体" w:hint="eastAsia"/>
          <w:sz w:val="44"/>
          <w:szCs w:val="44"/>
        </w:rPr>
        <w:t>台山</w:t>
      </w:r>
      <w:r w:rsidRPr="0030525A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公路事务中心公务用车</w:t>
      </w:r>
    </w:p>
    <w:p w:rsidR="00F351E1" w:rsidRPr="0030525A" w:rsidRDefault="001E148B" w:rsidP="002A7F6D">
      <w:pPr>
        <w:spacing w:line="600" w:lineRule="exact"/>
        <w:jc w:val="center"/>
        <w:rPr>
          <w:sz w:val="44"/>
          <w:szCs w:val="44"/>
        </w:rPr>
      </w:pPr>
      <w:r w:rsidRPr="0030525A">
        <w:rPr>
          <w:rFonts w:ascii="方正小标宋简体" w:eastAsia="方正小标宋简体" w:hAnsi="方正小标宋简体" w:cs="方正小标宋简体" w:hint="eastAsia"/>
          <w:sz w:val="44"/>
          <w:szCs w:val="44"/>
        </w:rPr>
        <w:t>定点加油服务采购评分标准</w:t>
      </w:r>
    </w:p>
    <w:bookmarkEnd w:id="0"/>
    <w:p w:rsidR="00F351E1" w:rsidRDefault="00F351E1" w:rsidP="00B027B2">
      <w:pPr>
        <w:pStyle w:val="a4"/>
        <w:spacing w:line="600" w:lineRule="atLeast"/>
        <w:rPr>
          <w:rFonts w:hAnsi="宋体" w:cs="宋体"/>
        </w:rPr>
      </w:pPr>
    </w:p>
    <w:p w:rsidR="00F351E1" w:rsidRPr="00BE303F" w:rsidRDefault="001E148B" w:rsidP="003F3A28">
      <w:pPr>
        <w:pStyle w:val="a4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BE303F">
        <w:rPr>
          <w:rFonts w:ascii="黑体" w:eastAsia="黑体" w:hAnsi="黑体" w:cs="宋体" w:hint="eastAsia"/>
          <w:bCs/>
          <w:sz w:val="32"/>
          <w:szCs w:val="32"/>
        </w:rPr>
        <w:t>一、评分选取方式</w:t>
      </w:r>
    </w:p>
    <w:p w:rsidR="00F351E1" w:rsidRPr="00C65BDA" w:rsidRDefault="001E148B" w:rsidP="003F3A28">
      <w:pPr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C65BDA">
        <w:rPr>
          <w:rFonts w:ascii="宋体" w:hAnsi="宋体" w:cs="宋体" w:hint="eastAsia"/>
          <w:sz w:val="28"/>
          <w:szCs w:val="28"/>
        </w:rPr>
        <w:t>本次采购采用</w:t>
      </w:r>
      <w:r w:rsidR="00132DF1" w:rsidRPr="00C65BDA">
        <w:rPr>
          <w:rFonts w:ascii="宋体" w:hAnsi="宋体" w:cs="宋体" w:hint="eastAsia"/>
          <w:sz w:val="28"/>
          <w:szCs w:val="28"/>
        </w:rPr>
        <w:t>综合选取</w:t>
      </w:r>
      <w:r w:rsidRPr="00C65BDA">
        <w:rPr>
          <w:rFonts w:ascii="宋体" w:hAnsi="宋体" w:cs="宋体" w:hint="eastAsia"/>
          <w:sz w:val="28"/>
          <w:szCs w:val="28"/>
        </w:rPr>
        <w:t>的方式确定中选机构。评分小组先对报名的投标方进行初步评审；然后对满足初步评审要求的投标方，照详细评审规定的评分标准进行打分。</w:t>
      </w:r>
    </w:p>
    <w:p w:rsidR="00F351E1" w:rsidRPr="00C65BDA" w:rsidRDefault="001E148B" w:rsidP="003F3A28">
      <w:pPr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C65BDA">
        <w:rPr>
          <w:rFonts w:ascii="宋体" w:hAnsi="宋体" w:cs="宋体" w:hint="eastAsia"/>
          <w:sz w:val="28"/>
          <w:szCs w:val="28"/>
        </w:rPr>
        <w:t>评分小组成员对投标方的详细评审各评审因素进行评分，计算出各评审因素的算术平均值后合计总和作为该投标方的得分，并按得分由高到低顺序推荐中选机构。</w:t>
      </w:r>
    </w:p>
    <w:p w:rsidR="00F351E1" w:rsidRDefault="001E148B" w:rsidP="003F3A28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C65BDA">
        <w:rPr>
          <w:rFonts w:ascii="仿宋_GB2312" w:hAnsi="华文仿宋" w:hint="eastAsia"/>
          <w:sz w:val="28"/>
          <w:szCs w:val="28"/>
        </w:rPr>
        <w:t>如有两家或以上投标方的综合得分相同且得分均为最高，</w:t>
      </w:r>
      <w:r w:rsidRPr="00C65BDA">
        <w:rPr>
          <w:rFonts w:ascii="宋体" w:hAnsi="宋体" w:cs="宋体" w:hint="eastAsia"/>
          <w:sz w:val="28"/>
          <w:szCs w:val="28"/>
        </w:rPr>
        <w:t>评分小组视投标方的情况综合比较，投票确定其名次。</w:t>
      </w:r>
    </w:p>
    <w:p w:rsidR="003F3A28" w:rsidRPr="00C65BDA" w:rsidRDefault="003F3A28" w:rsidP="00C65BDA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F351E1" w:rsidRPr="00BE303F" w:rsidRDefault="001E148B" w:rsidP="003F3A28">
      <w:pPr>
        <w:pStyle w:val="a4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BE303F">
        <w:rPr>
          <w:rFonts w:ascii="黑体" w:eastAsia="黑体" w:hAnsi="黑体" w:cs="宋体" w:hint="eastAsia"/>
          <w:bCs/>
          <w:sz w:val="32"/>
          <w:szCs w:val="32"/>
        </w:rPr>
        <w:t>二、初步评审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713"/>
      </w:tblGrid>
      <w:tr w:rsidR="00F351E1">
        <w:trPr>
          <w:trHeight w:val="920"/>
        </w:trPr>
        <w:tc>
          <w:tcPr>
            <w:tcW w:w="1809" w:type="dxa"/>
            <w:shd w:val="clear" w:color="auto" w:fill="auto"/>
            <w:vAlign w:val="center"/>
          </w:tcPr>
          <w:p w:rsidR="00F351E1" w:rsidRPr="00C65BDA" w:rsidRDefault="001E148B"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65BDA">
              <w:rPr>
                <w:rFonts w:ascii="宋体" w:hAnsi="宋体" w:cs="宋体" w:hint="eastAsia"/>
                <w:b/>
                <w:sz w:val="28"/>
                <w:szCs w:val="28"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F351E1" w:rsidRPr="00C65BDA" w:rsidRDefault="001E148B"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65BDA">
              <w:rPr>
                <w:rFonts w:ascii="宋体" w:hAnsi="宋体" w:cs="宋体" w:hint="eastAsia"/>
                <w:b/>
                <w:sz w:val="28"/>
                <w:szCs w:val="28"/>
              </w:rPr>
              <w:t>评审标准</w:t>
            </w:r>
          </w:p>
        </w:tc>
      </w:tr>
      <w:tr w:rsidR="00F351E1">
        <w:trPr>
          <w:trHeight w:val="1935"/>
        </w:trPr>
        <w:tc>
          <w:tcPr>
            <w:tcW w:w="1809" w:type="dxa"/>
            <w:shd w:val="clear" w:color="auto" w:fill="auto"/>
            <w:vAlign w:val="center"/>
          </w:tcPr>
          <w:p w:rsidR="00F351E1" w:rsidRPr="00AB5305" w:rsidRDefault="00AB5305" w:rsidP="00C65BDA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AB5305">
              <w:rPr>
                <w:rFonts w:ascii="宋体" w:hAnsi="宋体" w:cs="宋体" w:hint="eastAsia"/>
                <w:b/>
              </w:rPr>
              <w:t>资格性审查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AB5305" w:rsidRDefault="00AB5305" w:rsidP="00AB5305">
            <w:pPr>
              <w:widowControl/>
              <w:spacing w:line="360" w:lineRule="exact"/>
              <w:ind w:right="108" w:firstLineChars="196" w:firstLine="412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符合《中华人民共和国政府采购法》第二十二条和《中华人民共和国政府采购法实施条例》第十七条的规定；</w:t>
            </w:r>
          </w:p>
          <w:p w:rsidR="00AB5305" w:rsidRDefault="00AB5305" w:rsidP="00AB5305">
            <w:pPr>
              <w:widowControl/>
              <w:spacing w:line="360" w:lineRule="exact"/>
              <w:ind w:right="108" w:firstLineChars="196" w:firstLine="412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t>具有《成品油批发经营批准证书》或《成品油零售经营批准证书》</w:t>
            </w:r>
            <w:r>
              <w:t>(</w:t>
            </w:r>
            <w:r>
              <w:t>提供有效的《成品油批发经营批准证书》或《成品油零售经营批准证书》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；</w:t>
            </w:r>
          </w:p>
          <w:p w:rsidR="00AB5305" w:rsidRDefault="00AB5305" w:rsidP="00AB5305">
            <w:pPr>
              <w:widowControl/>
              <w:spacing w:line="360" w:lineRule="exact"/>
              <w:ind w:right="108" w:firstLineChars="196" w:firstLine="412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具有独立承担民事责任能力的在中华人民共和国境内注册的法人；</w:t>
            </w:r>
          </w:p>
          <w:p w:rsidR="00AB5305" w:rsidRDefault="00AB5305" w:rsidP="00AB5305">
            <w:pPr>
              <w:widowControl/>
              <w:spacing w:line="360" w:lineRule="exact"/>
              <w:ind w:right="108" w:firstLineChars="196" w:firstLine="412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近三年内未被列入失信被执行人名单、重大税收违法案件当事人名单、政府采购严重违法失信行为记录名单，无受到政府采购行政处罚且相关信用惩戒期限未满情形；</w:t>
            </w:r>
          </w:p>
          <w:p w:rsidR="00F351E1" w:rsidRDefault="00AB5305" w:rsidP="003F3A28">
            <w:pPr>
              <w:widowControl/>
              <w:spacing w:line="360" w:lineRule="exact"/>
              <w:ind w:right="108" w:firstLineChars="196" w:firstLine="412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本项目不接受联合体供应商投标；不允许转包、分包。</w:t>
            </w:r>
          </w:p>
        </w:tc>
      </w:tr>
    </w:tbl>
    <w:p w:rsidR="0030525A" w:rsidRDefault="0030525A">
      <w:pPr>
        <w:pStyle w:val="a4"/>
        <w:rPr>
          <w:rFonts w:ascii="黑体" w:eastAsia="黑体" w:hAnsi="黑体" w:cs="宋体" w:hint="eastAsia"/>
          <w:bCs/>
          <w:sz w:val="21"/>
          <w:szCs w:val="21"/>
        </w:rPr>
      </w:pPr>
    </w:p>
    <w:p w:rsidR="00F351E1" w:rsidRPr="00BE303F" w:rsidRDefault="00D9573D" w:rsidP="00B027B2">
      <w:pPr>
        <w:pStyle w:val="a4"/>
        <w:ind w:firstLineChars="200" w:firstLine="640"/>
        <w:rPr>
          <w:sz w:val="32"/>
          <w:szCs w:val="32"/>
        </w:rPr>
        <w:sectPr w:rsidR="00F351E1" w:rsidRPr="00BE303F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BE303F">
        <w:rPr>
          <w:rFonts w:ascii="黑体" w:eastAsia="黑体" w:hAnsi="黑体" w:cs="宋体" w:hint="eastAsia"/>
          <w:bCs/>
          <w:sz w:val="32"/>
          <w:szCs w:val="32"/>
        </w:rPr>
        <w:t>三、详细评</w:t>
      </w:r>
      <w:r w:rsidRPr="00BE303F">
        <w:rPr>
          <w:rFonts w:ascii="黑体" w:eastAsia="黑体" w:hAnsi="黑体" w:cs="黑体" w:hint="eastAsia"/>
          <w:sz w:val="32"/>
          <w:szCs w:val="32"/>
        </w:rPr>
        <w:t>审</w:t>
      </w:r>
    </w:p>
    <w:tbl>
      <w:tblPr>
        <w:tblW w:w="10026" w:type="dxa"/>
        <w:jc w:val="center"/>
        <w:tblLayout w:type="fixed"/>
        <w:tblCellMar>
          <w:bottom w:w="67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797"/>
        <w:gridCol w:w="6134"/>
        <w:gridCol w:w="1440"/>
      </w:tblGrid>
      <w:tr w:rsidR="00D65196" w:rsidTr="00D9573D">
        <w:trPr>
          <w:trHeight w:val="719"/>
          <w:tblHeader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Pr="00B97586" w:rsidRDefault="00D65196" w:rsidP="006630DC">
            <w:pPr>
              <w:widowControl/>
              <w:spacing w:line="400" w:lineRule="exact"/>
              <w:ind w:right="109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97586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Pr="00B97586" w:rsidRDefault="00D65196" w:rsidP="006630DC">
            <w:pPr>
              <w:widowControl/>
              <w:spacing w:line="400" w:lineRule="exact"/>
              <w:ind w:right="109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97586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Pr="00B97586" w:rsidRDefault="00D65196" w:rsidP="00B97586">
            <w:pPr>
              <w:widowControl/>
              <w:tabs>
                <w:tab w:val="left" w:pos="2420"/>
              </w:tabs>
              <w:spacing w:line="400" w:lineRule="exact"/>
              <w:ind w:right="107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97586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Pr="00B97586" w:rsidRDefault="00D65196" w:rsidP="006630DC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97586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单项分数（分）</w:t>
            </w:r>
          </w:p>
        </w:tc>
      </w:tr>
      <w:tr w:rsidR="00D65196" w:rsidTr="006630DC">
        <w:trPr>
          <w:trHeight w:val="1491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08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08"/>
              <w:jc w:val="center"/>
              <w:rPr>
                <w:rStyle w:val="ac"/>
                <w:rFonts w:ascii="仿宋" w:eastAsia="仿宋" w:hAnsi="仿宋" w:hint="eastAsia"/>
                <w:sz w:val="24"/>
                <w:szCs w:val="24"/>
              </w:rPr>
            </w:pPr>
            <w:r>
              <w:rPr>
                <w:rStyle w:val="ac"/>
                <w:rFonts w:ascii="仿宋" w:eastAsia="仿宋" w:hAnsi="仿宋" w:hint="eastAsia"/>
                <w:sz w:val="24"/>
                <w:szCs w:val="24"/>
              </w:rPr>
              <w:t>总体服务</w:t>
            </w:r>
          </w:p>
          <w:p w:rsidR="00D65196" w:rsidRDefault="00D65196" w:rsidP="006630DC">
            <w:pPr>
              <w:widowControl/>
              <w:spacing w:line="360" w:lineRule="exact"/>
              <w:ind w:right="108"/>
              <w:jc w:val="center"/>
              <w:rPr>
                <w:rStyle w:val="ac"/>
                <w:szCs w:val="30"/>
              </w:rPr>
            </w:pPr>
            <w:r>
              <w:rPr>
                <w:rStyle w:val="ac"/>
                <w:rFonts w:ascii="仿宋" w:eastAsia="仿宋" w:hAnsi="仿宋"/>
                <w:sz w:val="24"/>
                <w:szCs w:val="24"/>
              </w:rPr>
              <w:t>方案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08" w:firstLineChars="196" w:firstLine="412"/>
            </w:pPr>
            <w:r>
              <w:t>根据</w:t>
            </w:r>
            <w:r>
              <w:rPr>
                <w:rFonts w:hint="eastAsia"/>
              </w:rPr>
              <w:t>供应商</w:t>
            </w:r>
            <w:r>
              <w:t>提供的总体服务方案进行评审，包括服务方案是否详细、可行、合理等。</w:t>
            </w:r>
            <w:r>
              <w:rPr>
                <w:rFonts w:hint="eastAsia"/>
              </w:rPr>
              <w:t xml:space="preserve"> </w:t>
            </w:r>
            <w:r>
              <w:t>优：方案详细、可行、合理，符合项目实际情况，有利于项目组织实施的，得</w:t>
            </w:r>
            <w:r>
              <w:t>15</w:t>
            </w:r>
            <w:r>
              <w:t>分；</w:t>
            </w:r>
            <w:r>
              <w:rPr>
                <w:rFonts w:hint="eastAsia"/>
              </w:rPr>
              <w:t xml:space="preserve"> </w:t>
            </w:r>
            <w:r>
              <w:t>中：方案较详细、较可行、较合理，较符合项目实际情况，较有利于项目组织实施的，得</w:t>
            </w:r>
            <w:r>
              <w:t>10</w:t>
            </w:r>
            <w:r>
              <w:t>分；</w:t>
            </w:r>
            <w:r>
              <w:t xml:space="preserve"> </w:t>
            </w:r>
            <w:r>
              <w:t>差：方案不详细、不可行、不合理，不符合项目实际情况，不利于项目组织实施的，得</w:t>
            </w:r>
            <w:r>
              <w:t>5</w:t>
            </w:r>
            <w:r>
              <w:t>分；</w:t>
            </w:r>
            <w:r>
              <w:t xml:space="preserve">  </w:t>
            </w:r>
            <w:r>
              <w:t>注：未提供相关方案的不得分。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1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</w:t>
            </w:r>
          </w:p>
        </w:tc>
      </w:tr>
      <w:tr w:rsidR="00D65196" w:rsidTr="006630DC">
        <w:trPr>
          <w:trHeight w:val="1491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08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08"/>
              <w:jc w:val="center"/>
              <w:rPr>
                <w:rStyle w:val="ac"/>
                <w:rFonts w:ascii="仿宋" w:eastAsia="仿宋" w:hAnsi="仿宋" w:hint="eastAsia"/>
                <w:sz w:val="24"/>
                <w:szCs w:val="24"/>
              </w:rPr>
            </w:pPr>
            <w:r>
              <w:rPr>
                <w:rStyle w:val="ac"/>
                <w:rFonts w:ascii="仿宋" w:eastAsia="仿宋" w:hAnsi="仿宋"/>
                <w:sz w:val="24"/>
                <w:szCs w:val="24"/>
              </w:rPr>
              <w:t>加油站</w:t>
            </w:r>
          </w:p>
          <w:p w:rsidR="00D65196" w:rsidRDefault="00D65196" w:rsidP="006630DC">
            <w:pPr>
              <w:widowControl/>
              <w:spacing w:line="360" w:lineRule="exact"/>
              <w:ind w:right="108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Style w:val="ac"/>
                <w:rFonts w:ascii="仿宋" w:eastAsia="仿宋" w:hAnsi="仿宋"/>
                <w:sz w:val="24"/>
                <w:szCs w:val="24"/>
              </w:rPr>
              <w:t>分布</w:t>
            </w:r>
            <w:r>
              <w:rPr>
                <w:rStyle w:val="ac"/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196" w:rsidRDefault="00D65196" w:rsidP="006630DC">
            <w:pPr>
              <w:ind w:firstLineChars="200" w:firstLine="420"/>
            </w:pPr>
            <w:r>
              <w:t>根据</w:t>
            </w:r>
            <w:r>
              <w:rPr>
                <w:rFonts w:hint="eastAsia"/>
              </w:rPr>
              <w:t>供应商</w:t>
            </w:r>
            <w:r>
              <w:t>提供的加油站分布</w:t>
            </w:r>
            <w:r>
              <w:rPr>
                <w:rFonts w:hint="eastAsia"/>
              </w:rPr>
              <w:t>情况</w:t>
            </w:r>
            <w:r>
              <w:t>进行评审，加油点数量、地理位置分布合理及服务便捷度等。</w:t>
            </w:r>
            <w:r>
              <w:t xml:space="preserve">   </w:t>
            </w:r>
            <w:r>
              <w:t>优：</w:t>
            </w:r>
            <w:r>
              <w:rPr>
                <w:rFonts w:hint="eastAsia"/>
              </w:rPr>
              <w:t>江门市</w:t>
            </w:r>
            <w:r w:rsidR="00C77E8C">
              <w:rPr>
                <w:rFonts w:hint="eastAsia"/>
              </w:rPr>
              <w:t>台山市</w:t>
            </w:r>
            <w:r>
              <w:t>加油点数量达</w:t>
            </w:r>
            <w:r>
              <w:t>15</w:t>
            </w:r>
            <w:r>
              <w:t>个以上得</w:t>
            </w:r>
            <w:r>
              <w:t>15</w:t>
            </w:r>
            <w:r>
              <w:t>分；</w:t>
            </w:r>
            <w:r>
              <w:t xml:space="preserve">   </w:t>
            </w:r>
            <w:r>
              <w:t>中：</w:t>
            </w:r>
            <w:r>
              <w:rPr>
                <w:rFonts w:hint="eastAsia"/>
              </w:rPr>
              <w:t>江门市</w:t>
            </w:r>
            <w:r w:rsidR="00C77E8C">
              <w:rPr>
                <w:rFonts w:hint="eastAsia"/>
              </w:rPr>
              <w:t>台山市</w:t>
            </w:r>
            <w:r>
              <w:t>加油点</w:t>
            </w:r>
            <w:r>
              <w:rPr>
                <w:rFonts w:hint="eastAsia"/>
              </w:rPr>
              <w:t>合计</w:t>
            </w:r>
            <w:r>
              <w:t>数量为</w:t>
            </w:r>
            <w:r>
              <w:t>10</w:t>
            </w:r>
            <w:r>
              <w:t>～</w:t>
            </w:r>
            <w:r>
              <w:t>14</w:t>
            </w:r>
            <w:r>
              <w:t>个得</w:t>
            </w:r>
            <w:r>
              <w:t>10</w:t>
            </w:r>
            <w:r>
              <w:t>分；</w:t>
            </w:r>
            <w:r>
              <w:t xml:space="preserve">   </w:t>
            </w:r>
            <w:r>
              <w:t>差：</w:t>
            </w:r>
            <w:r>
              <w:rPr>
                <w:rFonts w:hint="eastAsia"/>
              </w:rPr>
              <w:t>江门市</w:t>
            </w:r>
            <w:r w:rsidR="00C77E8C">
              <w:rPr>
                <w:rFonts w:hint="eastAsia"/>
              </w:rPr>
              <w:t>台山市</w:t>
            </w:r>
            <w:r>
              <w:rPr>
                <w:rFonts w:hint="eastAsia"/>
              </w:rPr>
              <w:t>两区</w:t>
            </w:r>
            <w:r>
              <w:t>加油点</w:t>
            </w:r>
            <w:r>
              <w:rPr>
                <w:rFonts w:hint="eastAsia"/>
              </w:rPr>
              <w:t>合计</w:t>
            </w:r>
            <w:r>
              <w:t>加油点数量为</w:t>
            </w:r>
            <w:r>
              <w:t>5</w:t>
            </w:r>
            <w:r>
              <w:t>～</w:t>
            </w:r>
            <w:r>
              <w:t>9</w:t>
            </w:r>
            <w:r>
              <w:t>个得</w:t>
            </w:r>
            <w:r>
              <w:t>5</w:t>
            </w:r>
            <w:r>
              <w:t>分；</w:t>
            </w:r>
            <w:r>
              <w:t xml:space="preserve">   </w:t>
            </w:r>
            <w:r>
              <w:t>注：未提供相关</w:t>
            </w:r>
            <w:r>
              <w:rPr>
                <w:rFonts w:hint="eastAsia"/>
              </w:rPr>
              <w:t>加油站情况</w:t>
            </w:r>
            <w:r>
              <w:t>或不足</w:t>
            </w:r>
            <w:r>
              <w:t>5</w:t>
            </w:r>
            <w:r>
              <w:t>个的不得分。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1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</w:tr>
      <w:tr w:rsidR="00D65196" w:rsidTr="006630DC">
        <w:trPr>
          <w:trHeight w:val="2363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08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08"/>
              <w:jc w:val="center"/>
              <w:rPr>
                <w:rStyle w:val="ac"/>
                <w:rFonts w:ascii="仿宋" w:eastAsia="仿宋" w:hAnsi="仿宋" w:hint="eastAsia"/>
                <w:sz w:val="24"/>
                <w:szCs w:val="24"/>
              </w:rPr>
            </w:pPr>
            <w:r>
              <w:rPr>
                <w:rStyle w:val="ac"/>
                <w:rFonts w:ascii="仿宋" w:eastAsia="仿宋" w:hAnsi="仿宋" w:hint="eastAsia"/>
                <w:sz w:val="24"/>
                <w:szCs w:val="24"/>
              </w:rPr>
              <w:t>加油卡</w:t>
            </w:r>
          </w:p>
          <w:p w:rsidR="00D65196" w:rsidRDefault="00D65196" w:rsidP="006630DC">
            <w:pPr>
              <w:widowControl/>
              <w:spacing w:line="360" w:lineRule="exact"/>
              <w:ind w:right="108"/>
              <w:jc w:val="center"/>
              <w:rPr>
                <w:rStyle w:val="ac"/>
                <w:rFonts w:ascii="仿宋" w:eastAsia="仿宋" w:hAnsi="仿宋"/>
                <w:sz w:val="24"/>
                <w:szCs w:val="24"/>
              </w:rPr>
            </w:pPr>
            <w:r>
              <w:rPr>
                <w:rStyle w:val="ac"/>
                <w:rFonts w:ascii="仿宋" w:eastAsia="仿宋" w:hAnsi="仿宋" w:hint="eastAsia"/>
                <w:sz w:val="24"/>
                <w:szCs w:val="24"/>
              </w:rPr>
              <w:t>管理措施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Pr="00D9573D" w:rsidRDefault="00D65196" w:rsidP="00D9573D">
            <w:pPr>
              <w:widowControl/>
              <w:spacing w:line="360" w:lineRule="exact"/>
              <w:ind w:right="108" w:firstLineChars="200" w:firstLine="420"/>
            </w:pPr>
            <w:r>
              <w:rPr>
                <w:rFonts w:hint="eastAsia"/>
              </w:rPr>
              <w:t>1.</w:t>
            </w:r>
            <w:r>
              <w:t>根据</w:t>
            </w:r>
            <w:r>
              <w:rPr>
                <w:rFonts w:hint="eastAsia"/>
              </w:rPr>
              <w:t>供应商</w:t>
            </w:r>
            <w:r>
              <w:t>提供的加油卡管理措施进行评审，包括管理措施是否详细、可行、合理等。优：措施详细、可行、合理，满足项目需要，有利于项目组织实施的，得</w:t>
            </w:r>
            <w:r>
              <w:rPr>
                <w:rFonts w:hint="eastAsia"/>
              </w:rPr>
              <w:t>20</w:t>
            </w:r>
            <w:r>
              <w:t>分；中：措施较详细、较可行、较合理，较满足项目需要，较有利于项目组织实施的，得</w:t>
            </w:r>
            <w:r>
              <w:rPr>
                <w:rFonts w:hint="eastAsia"/>
              </w:rPr>
              <w:t>15</w:t>
            </w:r>
            <w:r>
              <w:t>分；</w:t>
            </w:r>
            <w:r>
              <w:t xml:space="preserve">   </w:t>
            </w:r>
            <w:r>
              <w:t>差：措施不详细、不可行、不合理</w:t>
            </w:r>
            <w:r>
              <w:t xml:space="preserve"> </w:t>
            </w:r>
            <w:r>
              <w:t>，不满足项目需要，不利于项目组织实施的，得</w:t>
            </w:r>
            <w:r>
              <w:rPr>
                <w:rFonts w:hint="eastAsia"/>
              </w:rPr>
              <w:t>10</w:t>
            </w:r>
            <w:r>
              <w:t>分；</w:t>
            </w:r>
            <w:r w:rsidR="00D9573D">
              <w:t xml:space="preserve">  </w:t>
            </w:r>
            <w:r>
              <w:t>注：</w:t>
            </w:r>
            <w:r>
              <w:rPr>
                <w:rFonts w:hint="eastAsia"/>
              </w:rPr>
              <w:t>1.</w:t>
            </w:r>
            <w:r>
              <w:t>未提供相关措施的不得分</w:t>
            </w:r>
            <w:r w:rsidR="00D9573D">
              <w:rPr>
                <w:rFonts w:hint="eastAsia"/>
              </w:rPr>
              <w:t>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能在广东省公务车管理平台获取加油数据的加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1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D65196" w:rsidTr="006630DC">
        <w:trPr>
          <w:trHeight w:val="85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08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08"/>
              <w:jc w:val="center"/>
              <w:rPr>
                <w:rStyle w:val="ac"/>
                <w:rFonts w:ascii="仿宋" w:eastAsia="仿宋" w:hAnsi="仿宋"/>
                <w:sz w:val="24"/>
                <w:szCs w:val="24"/>
              </w:rPr>
            </w:pPr>
            <w:r>
              <w:rPr>
                <w:rStyle w:val="ac"/>
                <w:rFonts w:ascii="仿宋" w:eastAsia="仿宋" w:hAnsi="仿宋" w:hint="eastAsia"/>
                <w:sz w:val="24"/>
                <w:szCs w:val="24"/>
              </w:rPr>
              <w:t>安全保障措施及应急方案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08" w:firstLineChars="200" w:firstLine="420"/>
            </w:pPr>
            <w:r>
              <w:rPr>
                <w:rFonts w:hint="eastAsia"/>
              </w:rPr>
              <w:t>1.</w:t>
            </w:r>
            <w:r>
              <w:t>根据投标人提供的安全保障措施是否详细、具体、可行，配套设施符合国家有关要求的证明文件，属于委托营运的，能否提供双方的合作协议等进行评审。</w:t>
            </w:r>
            <w:r>
              <w:t xml:space="preserve">   </w:t>
            </w:r>
            <w:r>
              <w:t>优：安全保障措施详细、具体、可行，配套设施符合国家有关要求的证明文件的，得</w:t>
            </w:r>
            <w:r>
              <w:t>10</w:t>
            </w:r>
            <w:r>
              <w:t>分；</w:t>
            </w:r>
            <w:r>
              <w:t xml:space="preserve">   </w:t>
            </w:r>
            <w:r>
              <w:t>中：安全保障措施较详细、较具体、较可行，配套设施符合国家有关要求的证明文件的，得</w:t>
            </w:r>
            <w:r>
              <w:t>6</w:t>
            </w:r>
            <w:r>
              <w:t>分；</w:t>
            </w:r>
            <w:r>
              <w:t xml:space="preserve">   </w:t>
            </w:r>
            <w:r>
              <w:t>差：安全保障措施较差，配套设施未能符合国家有关要求的证明文件的，得</w:t>
            </w:r>
            <w:r>
              <w:t>3</w:t>
            </w:r>
            <w:r>
              <w:t>分；</w:t>
            </w:r>
            <w:r>
              <w:t xml:space="preserve">   </w:t>
            </w:r>
            <w:r>
              <w:t>注：未提供安全保障措施的不得分。</w:t>
            </w:r>
          </w:p>
          <w:p w:rsidR="00D65196" w:rsidRDefault="00D65196" w:rsidP="006630DC">
            <w:pPr>
              <w:widowControl/>
              <w:spacing w:line="360" w:lineRule="exact"/>
              <w:ind w:right="108" w:firstLineChars="200" w:firstLine="42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2.</w:t>
            </w:r>
            <w:r>
              <w:t>根据投标人提供的应急方案内容</w:t>
            </w:r>
            <w:r>
              <w:t xml:space="preserve"> (</w:t>
            </w:r>
            <w:r>
              <w:t>采购人紧急任务、不可抗力事件、加油故障或其他可能预测事件的处理等</w:t>
            </w:r>
            <w:r>
              <w:t xml:space="preserve">) </w:t>
            </w:r>
            <w:r>
              <w:t>是否全面，应对措施是否安全可行进行评审。</w:t>
            </w:r>
            <w:r>
              <w:t xml:space="preserve">   </w:t>
            </w:r>
            <w:r>
              <w:t>优：应急方案考虑周全，贴合实际，应对措施合理，得</w:t>
            </w:r>
            <w:r>
              <w:t>10</w:t>
            </w:r>
            <w:r>
              <w:t>分；</w:t>
            </w:r>
            <w:r>
              <w:t xml:space="preserve">  </w:t>
            </w:r>
            <w:r>
              <w:t>中：应急方案考虑欠缺，较贴合实际，应对措施一般，得</w:t>
            </w:r>
            <w:r>
              <w:t>6</w:t>
            </w:r>
            <w:r>
              <w:t>分；</w:t>
            </w:r>
            <w:r>
              <w:t xml:space="preserve">   </w:t>
            </w:r>
            <w:r>
              <w:t>差：应急</w:t>
            </w:r>
            <w:r>
              <w:t xml:space="preserve"> </w:t>
            </w:r>
            <w:r>
              <w:t>方案考虑欠缺，无法贴合实际，应对措施不合理，得</w:t>
            </w:r>
            <w:r>
              <w:t>3</w:t>
            </w:r>
            <w:r>
              <w:t>分；</w:t>
            </w:r>
            <w:r w:rsidR="00D9573D">
              <w:t xml:space="preserve">  </w:t>
            </w:r>
            <w:r>
              <w:t>注：未提供应急方案的不得分。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96" w:rsidRDefault="00D65196" w:rsidP="006630DC">
            <w:pPr>
              <w:widowControl/>
              <w:spacing w:line="360" w:lineRule="exact"/>
              <w:ind w:right="11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97586" w:rsidTr="006630DC">
        <w:trPr>
          <w:trHeight w:val="204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86" w:rsidRDefault="00B97586" w:rsidP="00B97586">
            <w:pPr>
              <w:widowControl/>
              <w:tabs>
                <w:tab w:val="left" w:pos="2420"/>
              </w:tabs>
              <w:spacing w:line="400" w:lineRule="exact"/>
              <w:ind w:right="107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86" w:rsidRDefault="00B97586" w:rsidP="002D5172">
            <w:pPr>
              <w:widowControl/>
              <w:spacing w:line="360" w:lineRule="exact"/>
              <w:ind w:right="108"/>
              <w:jc w:val="center"/>
              <w:rPr>
                <w:rStyle w:val="ac"/>
                <w:rFonts w:ascii="仿宋" w:eastAsia="仿宋" w:hAnsi="仿宋"/>
                <w:sz w:val="24"/>
                <w:szCs w:val="24"/>
              </w:rPr>
            </w:pPr>
            <w:r>
              <w:rPr>
                <w:rStyle w:val="ac"/>
                <w:rFonts w:ascii="仿宋" w:eastAsia="仿宋" w:hAnsi="仿宋" w:hint="eastAsia"/>
                <w:sz w:val="24"/>
                <w:szCs w:val="24"/>
              </w:rPr>
              <w:t>项目业绩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86" w:rsidRDefault="00B97586" w:rsidP="00EA442B">
            <w:pPr>
              <w:widowControl/>
              <w:ind w:firstLine="480"/>
            </w:pPr>
            <w:r>
              <w:rPr>
                <w:rFonts w:hint="eastAsia"/>
              </w:rPr>
              <w:t>供应商</w:t>
            </w:r>
            <w:r>
              <w:t>自</w:t>
            </w:r>
            <w:r>
              <w:t>20</w:t>
            </w:r>
            <w:r w:rsidR="00EA442B">
              <w:rPr>
                <w:rFonts w:hint="eastAsia"/>
              </w:rPr>
              <w:t>20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日以来</w:t>
            </w:r>
            <w:r>
              <w:t xml:space="preserve"> (</w:t>
            </w:r>
            <w:r>
              <w:t>以合同签订日期为准</w:t>
            </w:r>
            <w:r>
              <w:t xml:space="preserve">) </w:t>
            </w:r>
            <w:r>
              <w:t>至今承担或完成同类项目业绩情况，每提供一个业绩得</w:t>
            </w:r>
            <w:r>
              <w:t>2</w:t>
            </w:r>
            <w:r>
              <w:t>分，同一项目不得重复计分，本项最高得</w:t>
            </w:r>
            <w:r>
              <w:t>10</w:t>
            </w:r>
            <w:r>
              <w:t>分。需提供项目合同关键页复印件并加盖投标人单位公章，未提供相应评分项不得分。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86" w:rsidRDefault="00B97586" w:rsidP="002D5172">
            <w:pPr>
              <w:widowControl/>
              <w:spacing w:line="360" w:lineRule="exact"/>
              <w:ind w:right="11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97586" w:rsidTr="006630DC">
        <w:trPr>
          <w:trHeight w:val="278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86" w:rsidRDefault="00B97586" w:rsidP="006630DC">
            <w:pPr>
              <w:widowControl/>
              <w:spacing w:line="360" w:lineRule="exact"/>
              <w:ind w:right="108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86" w:rsidRDefault="00B97586" w:rsidP="004D4031">
            <w:pPr>
              <w:widowControl/>
              <w:spacing w:line="360" w:lineRule="exact"/>
              <w:ind w:right="108"/>
              <w:jc w:val="center"/>
              <w:rPr>
                <w:rStyle w:val="ac"/>
                <w:rFonts w:ascii="仿宋" w:eastAsia="仿宋" w:hAnsi="仿宋"/>
                <w:sz w:val="24"/>
                <w:szCs w:val="24"/>
              </w:rPr>
            </w:pPr>
            <w:r>
              <w:rPr>
                <w:rStyle w:val="ac"/>
                <w:rFonts w:ascii="仿宋" w:eastAsia="仿宋" w:hAnsi="仿宋" w:hint="eastAsia"/>
                <w:sz w:val="24"/>
                <w:szCs w:val="24"/>
              </w:rPr>
              <w:t>报价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86" w:rsidRDefault="00B97586" w:rsidP="00EA442B">
            <w:pPr>
              <w:widowControl/>
              <w:ind w:firstLine="480"/>
            </w:pPr>
            <w:r>
              <w:rPr>
                <w:rFonts w:hint="eastAsia"/>
              </w:rPr>
              <w:t>成品油油价由发改委根据近期国际市场油价变化情况，结合国内成品油价格形成机制，定期调整。在挂牌价的基础</w:t>
            </w:r>
            <w:r w:rsidR="00EA442B">
              <w:rPr>
                <w:rFonts w:hint="eastAsia"/>
              </w:rPr>
              <w:t>上</w:t>
            </w:r>
            <w:r>
              <w:rPr>
                <w:rFonts w:hint="eastAsia"/>
              </w:rPr>
              <w:t>优惠</w:t>
            </w:r>
            <w:r>
              <w:rPr>
                <w:rFonts w:hint="eastAsia"/>
              </w:rPr>
              <w:t>0.15-0.35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升的得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分；优惠</w:t>
            </w:r>
            <w:r>
              <w:rPr>
                <w:rFonts w:hint="eastAsia"/>
              </w:rPr>
              <w:t>0.36-0.65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升的得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分；优惠</w:t>
            </w:r>
            <w:r>
              <w:rPr>
                <w:rFonts w:hint="eastAsia"/>
              </w:rPr>
              <w:t>0.66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上以上的得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86" w:rsidRDefault="00B97586" w:rsidP="004D4031">
            <w:pPr>
              <w:widowControl/>
              <w:spacing w:line="360" w:lineRule="exact"/>
              <w:ind w:right="11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</w:t>
            </w:r>
          </w:p>
        </w:tc>
      </w:tr>
    </w:tbl>
    <w:p w:rsidR="00D65196" w:rsidRDefault="00D65196" w:rsidP="00D65196">
      <w:pP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D65196" w:rsidRDefault="00D65196" w:rsidP="00D65196">
      <w:pPr>
        <w:rPr>
          <w:rFonts w:ascii="仿宋" w:eastAsia="仿宋" w:hAnsi="仿宋"/>
          <w:sz w:val="24"/>
          <w:szCs w:val="24"/>
        </w:rPr>
      </w:pPr>
    </w:p>
    <w:p w:rsidR="00F351E1" w:rsidRDefault="00F351E1" w:rsidP="00D65196">
      <w:pPr>
        <w:spacing w:line="360" w:lineRule="auto"/>
        <w:ind w:firstLineChars="600" w:firstLine="1260"/>
      </w:pPr>
    </w:p>
    <w:sectPr w:rsidR="00F351E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5F" w:rsidRDefault="00E0065F">
      <w:pPr>
        <w:spacing w:line="240" w:lineRule="auto"/>
      </w:pPr>
      <w:r>
        <w:separator/>
      </w:r>
    </w:p>
  </w:endnote>
  <w:endnote w:type="continuationSeparator" w:id="0">
    <w:p w:rsidR="00E0065F" w:rsidRDefault="00E00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1E1" w:rsidRDefault="001E148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817B3" wp14:editId="6DB224B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51E1" w:rsidRDefault="001E148B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006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351E1" w:rsidRDefault="001E148B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006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210401"/>
    </w:sdtPr>
    <w:sdtEndPr/>
    <w:sdtContent>
      <w:p w:rsidR="00434B0D" w:rsidRDefault="00E006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7B2" w:rsidRPr="00B027B2">
          <w:rPr>
            <w:noProof/>
            <w:lang w:val="zh-CN"/>
          </w:rPr>
          <w:t>2</w:t>
        </w:r>
        <w:r>
          <w:fldChar w:fldCharType="end"/>
        </w:r>
      </w:p>
    </w:sdtContent>
  </w:sdt>
  <w:p w:rsidR="00434B0D" w:rsidRDefault="00E006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5F" w:rsidRDefault="00E0065F">
      <w:pPr>
        <w:spacing w:line="240" w:lineRule="auto"/>
      </w:pPr>
      <w:r>
        <w:separator/>
      </w:r>
    </w:p>
  </w:footnote>
  <w:footnote w:type="continuationSeparator" w:id="0">
    <w:p w:rsidR="00E0065F" w:rsidRDefault="00E006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0"/>
  <w:drawingGridHorizontalSpacing w:val="105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mMxNzE4ZGUwYTBkZjBjZmVkYmMzZTU0ODU3ZDEifQ=="/>
    <w:docVar w:name="KGWebUrl" w:val="http://19.121.241.45/seeyon/officeservlet"/>
  </w:docVars>
  <w:rsids>
    <w:rsidRoot w:val="5FDA3E7F"/>
    <w:rsid w:val="00011AAB"/>
    <w:rsid w:val="000149F6"/>
    <w:rsid w:val="00072B4B"/>
    <w:rsid w:val="00075575"/>
    <w:rsid w:val="00086208"/>
    <w:rsid w:val="0009653E"/>
    <w:rsid w:val="000F6568"/>
    <w:rsid w:val="001203DD"/>
    <w:rsid w:val="00130987"/>
    <w:rsid w:val="00132DF1"/>
    <w:rsid w:val="00141C1F"/>
    <w:rsid w:val="0015444C"/>
    <w:rsid w:val="0016305F"/>
    <w:rsid w:val="00171D34"/>
    <w:rsid w:val="00176F8F"/>
    <w:rsid w:val="001A4FDD"/>
    <w:rsid w:val="001A6DE8"/>
    <w:rsid w:val="001C0525"/>
    <w:rsid w:val="001D0A6F"/>
    <w:rsid w:val="001D1D4C"/>
    <w:rsid w:val="001D32FC"/>
    <w:rsid w:val="001E148B"/>
    <w:rsid w:val="001E2477"/>
    <w:rsid w:val="001E5A27"/>
    <w:rsid w:val="001F005E"/>
    <w:rsid w:val="001F7FAF"/>
    <w:rsid w:val="00213E18"/>
    <w:rsid w:val="002440D4"/>
    <w:rsid w:val="00256672"/>
    <w:rsid w:val="00271C46"/>
    <w:rsid w:val="0027528A"/>
    <w:rsid w:val="002A1B32"/>
    <w:rsid w:val="002A7F6D"/>
    <w:rsid w:val="002D5197"/>
    <w:rsid w:val="002F7CD5"/>
    <w:rsid w:val="0030525A"/>
    <w:rsid w:val="0031139D"/>
    <w:rsid w:val="003128D6"/>
    <w:rsid w:val="0031665C"/>
    <w:rsid w:val="003305A6"/>
    <w:rsid w:val="00340936"/>
    <w:rsid w:val="00367E9D"/>
    <w:rsid w:val="00375618"/>
    <w:rsid w:val="00391228"/>
    <w:rsid w:val="003D2713"/>
    <w:rsid w:val="003F3A28"/>
    <w:rsid w:val="003F4D61"/>
    <w:rsid w:val="00410EBE"/>
    <w:rsid w:val="004362A3"/>
    <w:rsid w:val="00436825"/>
    <w:rsid w:val="00436E71"/>
    <w:rsid w:val="00446955"/>
    <w:rsid w:val="004B0DF1"/>
    <w:rsid w:val="004C5413"/>
    <w:rsid w:val="004C7A93"/>
    <w:rsid w:val="004F1366"/>
    <w:rsid w:val="004F60CF"/>
    <w:rsid w:val="00514ABA"/>
    <w:rsid w:val="005202BF"/>
    <w:rsid w:val="005272B6"/>
    <w:rsid w:val="00532A2D"/>
    <w:rsid w:val="00581288"/>
    <w:rsid w:val="005A34CA"/>
    <w:rsid w:val="005B6543"/>
    <w:rsid w:val="005C709C"/>
    <w:rsid w:val="005D41D6"/>
    <w:rsid w:val="00604D0E"/>
    <w:rsid w:val="00614128"/>
    <w:rsid w:val="00620F92"/>
    <w:rsid w:val="00626FA1"/>
    <w:rsid w:val="00682BCD"/>
    <w:rsid w:val="0068795D"/>
    <w:rsid w:val="00691EE1"/>
    <w:rsid w:val="00693392"/>
    <w:rsid w:val="00694AA8"/>
    <w:rsid w:val="006A0419"/>
    <w:rsid w:val="006B6893"/>
    <w:rsid w:val="006D6701"/>
    <w:rsid w:val="006D6B97"/>
    <w:rsid w:val="006E7315"/>
    <w:rsid w:val="006F6D61"/>
    <w:rsid w:val="006F7569"/>
    <w:rsid w:val="00742848"/>
    <w:rsid w:val="0074383E"/>
    <w:rsid w:val="00746C63"/>
    <w:rsid w:val="007527C0"/>
    <w:rsid w:val="00755341"/>
    <w:rsid w:val="0077584C"/>
    <w:rsid w:val="007A3CDA"/>
    <w:rsid w:val="007B05B0"/>
    <w:rsid w:val="007D6EE2"/>
    <w:rsid w:val="007E18D4"/>
    <w:rsid w:val="007F4852"/>
    <w:rsid w:val="007F5017"/>
    <w:rsid w:val="008550E0"/>
    <w:rsid w:val="00882A81"/>
    <w:rsid w:val="00884D15"/>
    <w:rsid w:val="008B5178"/>
    <w:rsid w:val="008E3E6D"/>
    <w:rsid w:val="008F6626"/>
    <w:rsid w:val="0090735E"/>
    <w:rsid w:val="00913F34"/>
    <w:rsid w:val="0092540B"/>
    <w:rsid w:val="0092693E"/>
    <w:rsid w:val="00941E3B"/>
    <w:rsid w:val="00955CDE"/>
    <w:rsid w:val="009658AD"/>
    <w:rsid w:val="00970F05"/>
    <w:rsid w:val="00984883"/>
    <w:rsid w:val="009B26B2"/>
    <w:rsid w:val="009D2951"/>
    <w:rsid w:val="009E0EBA"/>
    <w:rsid w:val="00A13B83"/>
    <w:rsid w:val="00A26C31"/>
    <w:rsid w:val="00A345C8"/>
    <w:rsid w:val="00A359D3"/>
    <w:rsid w:val="00A42A1E"/>
    <w:rsid w:val="00A67672"/>
    <w:rsid w:val="00A918FB"/>
    <w:rsid w:val="00AA1788"/>
    <w:rsid w:val="00AB5305"/>
    <w:rsid w:val="00AC52C5"/>
    <w:rsid w:val="00AD79DB"/>
    <w:rsid w:val="00B01A83"/>
    <w:rsid w:val="00B027B2"/>
    <w:rsid w:val="00B17CC6"/>
    <w:rsid w:val="00B27CAF"/>
    <w:rsid w:val="00B4119B"/>
    <w:rsid w:val="00B4439D"/>
    <w:rsid w:val="00B52BF1"/>
    <w:rsid w:val="00B5675C"/>
    <w:rsid w:val="00B614E0"/>
    <w:rsid w:val="00B6735B"/>
    <w:rsid w:val="00B677B4"/>
    <w:rsid w:val="00B86BA6"/>
    <w:rsid w:val="00B97586"/>
    <w:rsid w:val="00BE303F"/>
    <w:rsid w:val="00C20E22"/>
    <w:rsid w:val="00C2221F"/>
    <w:rsid w:val="00C25867"/>
    <w:rsid w:val="00C305B4"/>
    <w:rsid w:val="00C62620"/>
    <w:rsid w:val="00C63139"/>
    <w:rsid w:val="00C65BDA"/>
    <w:rsid w:val="00C77E8C"/>
    <w:rsid w:val="00C809AA"/>
    <w:rsid w:val="00CC1947"/>
    <w:rsid w:val="00CC673E"/>
    <w:rsid w:val="00CC6EBF"/>
    <w:rsid w:val="00CE3524"/>
    <w:rsid w:val="00CF0E3A"/>
    <w:rsid w:val="00CF3806"/>
    <w:rsid w:val="00D16DD7"/>
    <w:rsid w:val="00D341D0"/>
    <w:rsid w:val="00D42ABC"/>
    <w:rsid w:val="00D65196"/>
    <w:rsid w:val="00D87D55"/>
    <w:rsid w:val="00D94F86"/>
    <w:rsid w:val="00D9573D"/>
    <w:rsid w:val="00DA567B"/>
    <w:rsid w:val="00DA7D8F"/>
    <w:rsid w:val="00DB56C0"/>
    <w:rsid w:val="00DC2B0B"/>
    <w:rsid w:val="00DC6FBF"/>
    <w:rsid w:val="00DD2B4D"/>
    <w:rsid w:val="00DD5414"/>
    <w:rsid w:val="00DE486F"/>
    <w:rsid w:val="00DF4637"/>
    <w:rsid w:val="00DF5BAF"/>
    <w:rsid w:val="00E0065F"/>
    <w:rsid w:val="00E0231C"/>
    <w:rsid w:val="00E302E1"/>
    <w:rsid w:val="00E52328"/>
    <w:rsid w:val="00E600FE"/>
    <w:rsid w:val="00E61E72"/>
    <w:rsid w:val="00E825ED"/>
    <w:rsid w:val="00EA1092"/>
    <w:rsid w:val="00EA1FC0"/>
    <w:rsid w:val="00EA442B"/>
    <w:rsid w:val="00EB2796"/>
    <w:rsid w:val="00EF0ED9"/>
    <w:rsid w:val="00EF2FF6"/>
    <w:rsid w:val="00F01D7F"/>
    <w:rsid w:val="00F04171"/>
    <w:rsid w:val="00F100E0"/>
    <w:rsid w:val="00F351E1"/>
    <w:rsid w:val="00F37F64"/>
    <w:rsid w:val="00F72AD7"/>
    <w:rsid w:val="00FA28E2"/>
    <w:rsid w:val="00FD157E"/>
    <w:rsid w:val="00FD2CF9"/>
    <w:rsid w:val="053E25DD"/>
    <w:rsid w:val="06077E6F"/>
    <w:rsid w:val="06F14A10"/>
    <w:rsid w:val="07F31225"/>
    <w:rsid w:val="084D1FF9"/>
    <w:rsid w:val="099F7B11"/>
    <w:rsid w:val="0B432F4B"/>
    <w:rsid w:val="0C2D286F"/>
    <w:rsid w:val="0E823830"/>
    <w:rsid w:val="0F7C39B0"/>
    <w:rsid w:val="10304E04"/>
    <w:rsid w:val="10E549A1"/>
    <w:rsid w:val="133E4C87"/>
    <w:rsid w:val="14DC4224"/>
    <w:rsid w:val="1C4226C5"/>
    <w:rsid w:val="1DC5035B"/>
    <w:rsid w:val="1F4C5CAB"/>
    <w:rsid w:val="1F85690D"/>
    <w:rsid w:val="211C3D4C"/>
    <w:rsid w:val="252561EE"/>
    <w:rsid w:val="255B30EF"/>
    <w:rsid w:val="270237C3"/>
    <w:rsid w:val="281D3002"/>
    <w:rsid w:val="2B8A3E01"/>
    <w:rsid w:val="2F1422BD"/>
    <w:rsid w:val="2FAC7A81"/>
    <w:rsid w:val="303D52BB"/>
    <w:rsid w:val="32D56BB5"/>
    <w:rsid w:val="37896B48"/>
    <w:rsid w:val="380A3B51"/>
    <w:rsid w:val="38240D97"/>
    <w:rsid w:val="38647A3B"/>
    <w:rsid w:val="3884708A"/>
    <w:rsid w:val="39D07CE9"/>
    <w:rsid w:val="3BC95DA1"/>
    <w:rsid w:val="3BDB4E6B"/>
    <w:rsid w:val="3CFB6F84"/>
    <w:rsid w:val="425139E4"/>
    <w:rsid w:val="5211523C"/>
    <w:rsid w:val="55FA2478"/>
    <w:rsid w:val="58D304A6"/>
    <w:rsid w:val="590B454D"/>
    <w:rsid w:val="595A40EE"/>
    <w:rsid w:val="59BA4C4C"/>
    <w:rsid w:val="5A7B1263"/>
    <w:rsid w:val="5C9D4E93"/>
    <w:rsid w:val="5FDA3E7F"/>
    <w:rsid w:val="62230D10"/>
    <w:rsid w:val="62E123C8"/>
    <w:rsid w:val="693E7026"/>
    <w:rsid w:val="724E3EEE"/>
    <w:rsid w:val="74B904F6"/>
    <w:rsid w:val="76FC2CDD"/>
    <w:rsid w:val="7762625C"/>
    <w:rsid w:val="7A941B60"/>
    <w:rsid w:val="7B8C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Plain Text"/>
    <w:basedOn w:val="a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qFormat/>
    <w:rPr>
      <w:sz w:val="21"/>
      <w:szCs w:val="21"/>
    </w:rPr>
  </w:style>
  <w:style w:type="character" w:customStyle="1" w:styleId="20pt3">
    <w:name w:val="正文文本 (2) + 间距 0 pt3"/>
    <w:uiPriority w:val="99"/>
    <w:qFormat/>
    <w:rPr>
      <w:rFonts w:ascii="MingLiU" w:eastAsia="MingLiU" w:cs="MingLiU"/>
      <w:spacing w:val="0"/>
      <w:sz w:val="22"/>
      <w:szCs w:val="22"/>
      <w:u w:val="none"/>
    </w:rPr>
  </w:style>
  <w:style w:type="character" w:customStyle="1" w:styleId="Char">
    <w:name w:val="批注文字 Char"/>
    <w:link w:val="a3"/>
    <w:qFormat/>
    <w:rPr>
      <w:kern w:val="2"/>
      <w:sz w:val="21"/>
      <w:szCs w:val="21"/>
    </w:rPr>
  </w:style>
  <w:style w:type="character" w:customStyle="1" w:styleId="Char3">
    <w:name w:val="批注主题 Char"/>
    <w:link w:val="a8"/>
    <w:qFormat/>
    <w:rPr>
      <w:b/>
      <w:bCs/>
      <w:kern w:val="2"/>
      <w:sz w:val="21"/>
      <w:szCs w:val="21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2"/>
      <w:szCs w:val="22"/>
    </w:rPr>
  </w:style>
  <w:style w:type="character" w:styleId="ab">
    <w:name w:val="Placeholder Text"/>
    <w:basedOn w:val="a0"/>
    <w:uiPriority w:val="99"/>
    <w:unhideWhenUsed/>
    <w:qFormat/>
    <w:rPr>
      <w:color w:val="808080"/>
    </w:rPr>
  </w:style>
  <w:style w:type="character" w:customStyle="1" w:styleId="2">
    <w:name w:val="正文文本 (2)"/>
    <w:basedOn w:val="a0"/>
    <w:qFormat/>
    <w:rPr>
      <w:rFonts w:ascii="宋体" w:eastAsia="宋体" w:hAnsi="宋体" w:cs="宋体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character" w:styleId="ac">
    <w:name w:val="Strong"/>
    <w:uiPriority w:val="22"/>
    <w:qFormat/>
    <w:rsid w:val="00D651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Plain Text"/>
    <w:basedOn w:val="a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qFormat/>
    <w:rPr>
      <w:sz w:val="21"/>
      <w:szCs w:val="21"/>
    </w:rPr>
  </w:style>
  <w:style w:type="character" w:customStyle="1" w:styleId="20pt3">
    <w:name w:val="正文文本 (2) + 间距 0 pt3"/>
    <w:uiPriority w:val="99"/>
    <w:qFormat/>
    <w:rPr>
      <w:rFonts w:ascii="MingLiU" w:eastAsia="MingLiU" w:cs="MingLiU"/>
      <w:spacing w:val="0"/>
      <w:sz w:val="22"/>
      <w:szCs w:val="22"/>
      <w:u w:val="none"/>
    </w:rPr>
  </w:style>
  <w:style w:type="character" w:customStyle="1" w:styleId="Char">
    <w:name w:val="批注文字 Char"/>
    <w:link w:val="a3"/>
    <w:qFormat/>
    <w:rPr>
      <w:kern w:val="2"/>
      <w:sz w:val="21"/>
      <w:szCs w:val="21"/>
    </w:rPr>
  </w:style>
  <w:style w:type="character" w:customStyle="1" w:styleId="Char3">
    <w:name w:val="批注主题 Char"/>
    <w:link w:val="a8"/>
    <w:qFormat/>
    <w:rPr>
      <w:b/>
      <w:bCs/>
      <w:kern w:val="2"/>
      <w:sz w:val="21"/>
      <w:szCs w:val="21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2"/>
      <w:szCs w:val="22"/>
    </w:rPr>
  </w:style>
  <w:style w:type="character" w:styleId="ab">
    <w:name w:val="Placeholder Text"/>
    <w:basedOn w:val="a0"/>
    <w:uiPriority w:val="99"/>
    <w:unhideWhenUsed/>
    <w:qFormat/>
    <w:rPr>
      <w:color w:val="808080"/>
    </w:rPr>
  </w:style>
  <w:style w:type="character" w:customStyle="1" w:styleId="2">
    <w:name w:val="正文文本 (2)"/>
    <w:basedOn w:val="a0"/>
    <w:qFormat/>
    <w:rPr>
      <w:rFonts w:ascii="宋体" w:eastAsia="宋体" w:hAnsi="宋体" w:cs="宋体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character" w:styleId="ac">
    <w:name w:val="Strong"/>
    <w:uiPriority w:val="22"/>
    <w:qFormat/>
    <w:rsid w:val="00D65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4C4275-90B1-48C5-B5A1-61076C6F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3</Pages>
  <Words>268</Words>
  <Characters>1530</Characters>
  <Application>Microsoft Office Word</Application>
  <DocSecurity>0</DocSecurity>
  <Lines>12</Lines>
  <Paragraphs>3</Paragraphs>
  <ScaleCrop>false</ScaleCrop>
  <Company>江门市公路局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区展锴</dc:creator>
  <cp:lastModifiedBy>何羚</cp:lastModifiedBy>
  <cp:revision>25</cp:revision>
  <cp:lastPrinted>2024-09-02T08:35:00Z</cp:lastPrinted>
  <dcterms:created xsi:type="dcterms:W3CDTF">2024-08-15T02:06:00Z</dcterms:created>
  <dcterms:modified xsi:type="dcterms:W3CDTF">2024-09-03T03:28:00Z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366643D950BC4AFF962BA1E5E68284EF</vt:lpwstr>
  </property>
</Properties>
</file>