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2DDE4" w14:textId="77777777" w:rsidR="003F0DCC" w:rsidRDefault="002C2EDF">
      <w:pPr>
        <w:spacing w:line="56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江门市新会公路局养护中心</w:t>
      </w:r>
      <w:r>
        <w:rPr>
          <w:rFonts w:hint="eastAsia"/>
          <w:b/>
          <w:bCs/>
          <w:sz w:val="28"/>
          <w:szCs w:val="28"/>
        </w:rPr>
        <w:t>S271</w:t>
      </w:r>
      <w:r>
        <w:rPr>
          <w:rFonts w:hint="eastAsia"/>
          <w:b/>
          <w:bCs/>
          <w:sz w:val="28"/>
          <w:szCs w:val="28"/>
        </w:rPr>
        <w:t>线预防性养护工程</w:t>
      </w:r>
    </w:p>
    <w:p w14:paraId="78A25A7D" w14:textId="77777777" w:rsidR="003F0DCC" w:rsidRDefault="002C2EDF">
      <w:pPr>
        <w:spacing w:line="56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商品混凝土</w:t>
      </w:r>
      <w:r>
        <w:rPr>
          <w:rFonts w:hint="eastAsia"/>
          <w:b/>
          <w:bCs/>
          <w:sz w:val="28"/>
          <w:szCs w:val="28"/>
        </w:rPr>
        <w:t>采购招标评选办法</w:t>
      </w:r>
    </w:p>
    <w:p w14:paraId="121D5AD5" w14:textId="77777777" w:rsidR="003F0DCC" w:rsidRDefault="002C2EDF">
      <w:pPr>
        <w:spacing w:line="560" w:lineRule="exact"/>
        <w:ind w:firstLine="56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一、本招标项目采用综合评分选取方式</w:t>
      </w:r>
    </w:p>
    <w:p w14:paraId="7AB19A43" w14:textId="77777777" w:rsidR="003F0DCC" w:rsidRDefault="002C2EDF">
      <w:pPr>
        <w:spacing w:line="560" w:lineRule="exact"/>
        <w:ind w:firstLine="560"/>
        <w:jc w:val="left"/>
        <w:rPr>
          <w:sz w:val="24"/>
        </w:rPr>
      </w:pPr>
      <w:r>
        <w:rPr>
          <w:rFonts w:hint="eastAsia"/>
          <w:sz w:val="24"/>
        </w:rPr>
        <w:t>本次采购采用综合评</w:t>
      </w:r>
      <w:r>
        <w:rPr>
          <w:rFonts w:hint="eastAsia"/>
          <w:sz w:val="24"/>
        </w:rPr>
        <w:t>选</w:t>
      </w:r>
      <w:r>
        <w:rPr>
          <w:rFonts w:hint="eastAsia"/>
          <w:sz w:val="24"/>
        </w:rPr>
        <w:t>的方式确定中选单位。</w:t>
      </w:r>
      <w:r>
        <w:rPr>
          <w:rFonts w:hint="eastAsia"/>
          <w:sz w:val="24"/>
        </w:rPr>
        <w:t>招标</w:t>
      </w:r>
      <w:r>
        <w:rPr>
          <w:rFonts w:hint="eastAsia"/>
          <w:sz w:val="24"/>
        </w:rPr>
        <w:t>评选小组先对</w:t>
      </w:r>
      <w:r>
        <w:rPr>
          <w:rFonts w:hint="eastAsia"/>
          <w:sz w:val="24"/>
        </w:rPr>
        <w:t>投标</w:t>
      </w:r>
      <w:r>
        <w:rPr>
          <w:rFonts w:hint="eastAsia"/>
          <w:sz w:val="24"/>
        </w:rPr>
        <w:t>单位进行初步评审；然后对满足初步评审要求的</w:t>
      </w:r>
      <w:r>
        <w:rPr>
          <w:rFonts w:hint="eastAsia"/>
          <w:sz w:val="24"/>
        </w:rPr>
        <w:t>投标</w:t>
      </w:r>
      <w:r>
        <w:rPr>
          <w:rFonts w:hint="eastAsia"/>
          <w:sz w:val="24"/>
        </w:rPr>
        <w:t>单位</w:t>
      </w:r>
      <w:r>
        <w:rPr>
          <w:rFonts w:hint="eastAsia"/>
          <w:sz w:val="24"/>
        </w:rPr>
        <w:t>各级强度混凝土的报价进行加权得分计算，</w:t>
      </w:r>
      <w:r>
        <w:rPr>
          <w:rFonts w:hint="eastAsia"/>
          <w:sz w:val="24"/>
        </w:rPr>
        <w:t>按照</w:t>
      </w:r>
      <w:r>
        <w:rPr>
          <w:rFonts w:hint="eastAsia"/>
          <w:sz w:val="24"/>
        </w:rPr>
        <w:t>报价加权总得分由低到高</w:t>
      </w:r>
      <w:r>
        <w:rPr>
          <w:rFonts w:hint="eastAsia"/>
          <w:sz w:val="24"/>
        </w:rPr>
        <w:t>顺序推荐</w:t>
      </w:r>
      <w:r>
        <w:rPr>
          <w:rFonts w:hint="eastAsia"/>
          <w:sz w:val="24"/>
        </w:rPr>
        <w:t>最多三家为中标候选人，如两家以上（含两家）报价单位得分相同，则由评审小组商议确定报价单位顺位</w:t>
      </w:r>
      <w:r>
        <w:rPr>
          <w:rFonts w:hint="eastAsia"/>
          <w:sz w:val="24"/>
        </w:rPr>
        <w:t>。</w:t>
      </w:r>
    </w:p>
    <w:p w14:paraId="5BDAD1CE" w14:textId="77777777" w:rsidR="003F0DCC" w:rsidRDefault="002C2EDF">
      <w:pPr>
        <w:numPr>
          <w:ilvl w:val="0"/>
          <w:numId w:val="1"/>
        </w:numPr>
        <w:spacing w:line="560" w:lineRule="exact"/>
        <w:ind w:firstLine="56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初步评审</w:t>
      </w:r>
    </w:p>
    <w:tbl>
      <w:tblPr>
        <w:tblStyle w:val="a6"/>
        <w:tblW w:w="10532" w:type="dxa"/>
        <w:jc w:val="center"/>
        <w:tblLook w:val="04A0" w:firstRow="1" w:lastRow="0" w:firstColumn="1" w:lastColumn="0" w:noHBand="0" w:noVBand="1"/>
      </w:tblPr>
      <w:tblGrid>
        <w:gridCol w:w="1282"/>
        <w:gridCol w:w="2399"/>
        <w:gridCol w:w="6851"/>
      </w:tblGrid>
      <w:tr w:rsidR="003F0DCC" w14:paraId="13C7FC7F" w14:textId="77777777">
        <w:trPr>
          <w:jc w:val="center"/>
        </w:trPr>
        <w:tc>
          <w:tcPr>
            <w:tcW w:w="3681" w:type="dxa"/>
            <w:gridSpan w:val="2"/>
            <w:vAlign w:val="center"/>
          </w:tcPr>
          <w:p w14:paraId="70BD3B99" w14:textId="77777777" w:rsidR="003F0DCC" w:rsidRDefault="002C2ED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评审因素与评分值</w:t>
            </w:r>
          </w:p>
        </w:tc>
        <w:tc>
          <w:tcPr>
            <w:tcW w:w="6851" w:type="dxa"/>
            <w:vMerge w:val="restart"/>
            <w:vAlign w:val="center"/>
          </w:tcPr>
          <w:p w14:paraId="5335C43E" w14:textId="77777777" w:rsidR="003F0DCC" w:rsidRDefault="002C2ED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初评</w:t>
            </w:r>
            <w:r>
              <w:rPr>
                <w:rFonts w:hint="eastAsia"/>
                <w:sz w:val="24"/>
              </w:rPr>
              <w:t>标准</w:t>
            </w:r>
          </w:p>
        </w:tc>
      </w:tr>
      <w:tr w:rsidR="003F0DCC" w14:paraId="70EC389A" w14:textId="77777777">
        <w:trPr>
          <w:trHeight w:val="540"/>
          <w:jc w:val="center"/>
        </w:trPr>
        <w:tc>
          <w:tcPr>
            <w:tcW w:w="1282" w:type="dxa"/>
            <w:vAlign w:val="center"/>
          </w:tcPr>
          <w:p w14:paraId="34993059" w14:textId="77777777" w:rsidR="003F0DCC" w:rsidRDefault="002C2ED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评审因素</w:t>
            </w:r>
          </w:p>
        </w:tc>
        <w:tc>
          <w:tcPr>
            <w:tcW w:w="2399" w:type="dxa"/>
            <w:vAlign w:val="center"/>
          </w:tcPr>
          <w:p w14:paraId="24AD77AA" w14:textId="77777777" w:rsidR="003F0DCC" w:rsidRDefault="002C2ED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各评审因素细项</w:t>
            </w:r>
          </w:p>
        </w:tc>
        <w:tc>
          <w:tcPr>
            <w:tcW w:w="6851" w:type="dxa"/>
            <w:vMerge/>
            <w:vAlign w:val="center"/>
          </w:tcPr>
          <w:p w14:paraId="0030FFC0" w14:textId="77777777" w:rsidR="003F0DCC" w:rsidRDefault="003F0DCC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F0DCC" w14:paraId="1ECCA875" w14:textId="77777777">
        <w:trPr>
          <w:jc w:val="center"/>
        </w:trPr>
        <w:tc>
          <w:tcPr>
            <w:tcW w:w="1282" w:type="dxa"/>
            <w:vMerge w:val="restart"/>
            <w:vAlign w:val="center"/>
          </w:tcPr>
          <w:p w14:paraId="34B0DBED" w14:textId="77777777" w:rsidR="003F0DCC" w:rsidRDefault="002C2ED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初步评审</w:t>
            </w:r>
          </w:p>
        </w:tc>
        <w:tc>
          <w:tcPr>
            <w:tcW w:w="2399" w:type="dxa"/>
            <w:vAlign w:val="center"/>
          </w:tcPr>
          <w:p w14:paraId="4A9DF48E" w14:textId="77777777" w:rsidR="003F0DCC" w:rsidRDefault="002C2ED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满足《中华人民共和国政府采购法》第二十二条规定</w:t>
            </w:r>
          </w:p>
        </w:tc>
        <w:tc>
          <w:tcPr>
            <w:tcW w:w="6851" w:type="dxa"/>
            <w:vAlign w:val="center"/>
          </w:tcPr>
          <w:p w14:paraId="6E5D0EE8" w14:textId="77777777" w:rsidR="003F0DCC" w:rsidRDefault="002C2EDF"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具有独立承担民事责任的能力；</w:t>
            </w:r>
          </w:p>
          <w:p w14:paraId="543DBA67" w14:textId="77777777" w:rsidR="003F0DCC" w:rsidRDefault="002C2EDF"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具有良好的商业信誉和健全的财务会计制度；</w:t>
            </w:r>
          </w:p>
          <w:p w14:paraId="6D84F8F1" w14:textId="77777777" w:rsidR="003F0DCC" w:rsidRDefault="002C2EDF"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具有履行合同所必需的设备和专业技术能力；</w:t>
            </w:r>
          </w:p>
          <w:p w14:paraId="3721AAFA" w14:textId="77777777" w:rsidR="003F0DCC" w:rsidRDefault="002C2EDF"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有依法缴纳税收和社会保障资金的良好记录；</w:t>
            </w:r>
          </w:p>
          <w:p w14:paraId="3C336B22" w14:textId="77777777" w:rsidR="003F0DCC" w:rsidRDefault="002C2EDF"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参加政府采购活动前三年内，在经营活动中没有重大违法记录；</w:t>
            </w:r>
          </w:p>
          <w:p w14:paraId="7947FE85" w14:textId="77777777" w:rsidR="003F0DCC" w:rsidRDefault="002C2EDF"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法律、行政法规规定的其他条件。</w:t>
            </w:r>
          </w:p>
        </w:tc>
      </w:tr>
      <w:tr w:rsidR="003F0DCC" w14:paraId="10447096" w14:textId="77777777">
        <w:trPr>
          <w:trHeight w:val="850"/>
          <w:jc w:val="center"/>
        </w:trPr>
        <w:tc>
          <w:tcPr>
            <w:tcW w:w="1282" w:type="dxa"/>
            <w:vMerge/>
            <w:vAlign w:val="center"/>
          </w:tcPr>
          <w:p w14:paraId="3745E094" w14:textId="77777777" w:rsidR="003F0DCC" w:rsidRDefault="003F0DCC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99" w:type="dxa"/>
            <w:vAlign w:val="center"/>
          </w:tcPr>
          <w:p w14:paraId="0716FCBD" w14:textId="77777777" w:rsidR="003F0DCC" w:rsidRDefault="002C2ED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6851" w:type="dxa"/>
            <w:vAlign w:val="center"/>
          </w:tcPr>
          <w:p w14:paraId="5E7253AE" w14:textId="77777777" w:rsidR="003F0DCC" w:rsidRDefault="002C2EDF">
            <w:pPr>
              <w:spacing w:line="500" w:lineRule="exact"/>
              <w:jc w:val="lef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含商品</w:t>
            </w:r>
            <w:proofErr w:type="gramEnd"/>
            <w:r>
              <w:rPr>
                <w:rFonts w:hint="eastAsia"/>
                <w:sz w:val="24"/>
              </w:rPr>
              <w:t>混凝土生产销售。</w:t>
            </w:r>
          </w:p>
        </w:tc>
      </w:tr>
      <w:tr w:rsidR="003F0DCC" w14:paraId="78788B64" w14:textId="77777777">
        <w:trPr>
          <w:jc w:val="center"/>
        </w:trPr>
        <w:tc>
          <w:tcPr>
            <w:tcW w:w="1282" w:type="dxa"/>
            <w:vMerge/>
            <w:vAlign w:val="center"/>
          </w:tcPr>
          <w:p w14:paraId="47DC4681" w14:textId="77777777" w:rsidR="003F0DCC" w:rsidRDefault="003F0DCC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99" w:type="dxa"/>
            <w:vAlign w:val="center"/>
          </w:tcPr>
          <w:p w14:paraId="1F4D698A" w14:textId="77777777" w:rsidR="003F0DCC" w:rsidRDefault="002C2ED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企业信</w:t>
            </w: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6851" w:type="dxa"/>
            <w:vAlign w:val="center"/>
          </w:tcPr>
          <w:p w14:paraId="3D632757" w14:textId="77777777" w:rsidR="003F0DCC" w:rsidRDefault="002C2EDF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无不良记录，不处于中国政府采购网（</w:t>
            </w:r>
            <w:r>
              <w:rPr>
                <w:rFonts w:hint="eastAsia"/>
                <w:sz w:val="24"/>
              </w:rPr>
              <w:t>http://www.ccgp.gov.cm/)</w:t>
            </w:r>
            <w:r>
              <w:rPr>
                <w:rFonts w:hint="eastAsia"/>
                <w:sz w:val="24"/>
              </w:rPr>
              <w:t>“政府采购严重违法失信行为信息记录”的名单中。</w:t>
            </w:r>
          </w:p>
        </w:tc>
      </w:tr>
      <w:tr w:rsidR="003F0DCC" w14:paraId="7FBF7195" w14:textId="77777777">
        <w:trPr>
          <w:trHeight w:val="850"/>
          <w:jc w:val="center"/>
        </w:trPr>
        <w:tc>
          <w:tcPr>
            <w:tcW w:w="1282" w:type="dxa"/>
            <w:vMerge/>
            <w:vAlign w:val="center"/>
          </w:tcPr>
          <w:p w14:paraId="5BFCCDAD" w14:textId="77777777" w:rsidR="003F0DCC" w:rsidRDefault="003F0DCC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99" w:type="dxa"/>
            <w:vAlign w:val="center"/>
          </w:tcPr>
          <w:p w14:paraId="43F87915" w14:textId="77777777" w:rsidR="003F0DCC" w:rsidRDefault="002C2ED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混合材料</w:t>
            </w:r>
            <w:r>
              <w:rPr>
                <w:rFonts w:ascii="宋体" w:eastAsia="宋体" w:hAnsi="宋体" w:cs="宋体" w:hint="eastAsia"/>
                <w:sz w:val="24"/>
              </w:rPr>
              <w:t>掺入总量及指标要求</w:t>
            </w:r>
          </w:p>
        </w:tc>
        <w:tc>
          <w:tcPr>
            <w:tcW w:w="6851" w:type="dxa"/>
            <w:vAlign w:val="center"/>
          </w:tcPr>
          <w:p w14:paraId="0BEA4CD6" w14:textId="77777777" w:rsidR="003F0DCC" w:rsidRDefault="002C2EDF">
            <w:pPr>
              <w:numPr>
                <w:ilvl w:val="0"/>
                <w:numId w:val="3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混合材料质量符合国家或部颁标准。</w:t>
            </w:r>
          </w:p>
          <w:p w14:paraId="27EE7C87" w14:textId="77777777" w:rsidR="003F0DCC" w:rsidRDefault="002C2EDF">
            <w:pPr>
              <w:numPr>
                <w:ilvl w:val="0"/>
                <w:numId w:val="3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粉煤、矿粉掺入总量及指标要求</w:t>
            </w:r>
          </w:p>
          <w:p w14:paraId="179CB78B" w14:textId="77777777" w:rsidR="003F0DCC" w:rsidRDefault="002C2EDF">
            <w:pPr>
              <w:numPr>
                <w:ilvl w:val="0"/>
                <w:numId w:val="4"/>
              </w:numPr>
              <w:tabs>
                <w:tab w:val="left" w:pos="312"/>
              </w:tabs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C15</w:t>
            </w:r>
            <w:r>
              <w:rPr>
                <w:rFonts w:hint="eastAsia"/>
                <w:sz w:val="24"/>
              </w:rPr>
              <w:t>：混合用材总掺入量≤</w:t>
            </w:r>
            <w:r>
              <w:rPr>
                <w:rFonts w:hint="eastAsia"/>
                <w:sz w:val="24"/>
              </w:rPr>
              <w:t>40%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ascii="仿宋" w:eastAsia="仿宋" w:hAnsi="仿宋" w:cs="仿宋" w:hint="eastAsia"/>
                <w:sz w:val="24"/>
              </w:rPr>
              <w:t>Ⅱ级</w:t>
            </w:r>
            <w:r>
              <w:rPr>
                <w:rFonts w:hint="eastAsia"/>
                <w:sz w:val="24"/>
              </w:rPr>
              <w:t>粉煤灰，</w:t>
            </w:r>
            <w:r>
              <w:rPr>
                <w:rFonts w:hint="eastAsia"/>
                <w:sz w:val="24"/>
              </w:rPr>
              <w:t>S95</w:t>
            </w:r>
            <w:r>
              <w:rPr>
                <w:rFonts w:hint="eastAsia"/>
                <w:sz w:val="24"/>
              </w:rPr>
              <w:t>级矿粉。</w:t>
            </w:r>
          </w:p>
          <w:p w14:paraId="17E5D20F" w14:textId="77777777" w:rsidR="003F0DCC" w:rsidRDefault="002C2EDF">
            <w:pPr>
              <w:numPr>
                <w:ilvl w:val="0"/>
                <w:numId w:val="4"/>
              </w:numPr>
              <w:tabs>
                <w:tab w:val="left" w:pos="312"/>
              </w:tabs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C45</w:t>
            </w:r>
            <w:r>
              <w:rPr>
                <w:rFonts w:hint="eastAsia"/>
                <w:sz w:val="24"/>
              </w:rPr>
              <w:t>：混合用材总掺入量≤</w:t>
            </w:r>
            <w:r>
              <w:rPr>
                <w:rFonts w:hint="eastAsia"/>
                <w:sz w:val="24"/>
              </w:rPr>
              <w:t>20%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ascii="仿宋" w:eastAsia="仿宋" w:hAnsi="仿宋" w:cs="仿宋" w:hint="eastAsia"/>
                <w:sz w:val="24"/>
              </w:rPr>
              <w:t>Ⅱ级</w:t>
            </w:r>
            <w:r>
              <w:rPr>
                <w:rFonts w:hint="eastAsia"/>
                <w:sz w:val="24"/>
              </w:rPr>
              <w:t>粉煤灰，</w:t>
            </w:r>
            <w:r>
              <w:rPr>
                <w:rFonts w:hint="eastAsia"/>
                <w:sz w:val="24"/>
              </w:rPr>
              <w:t>S95</w:t>
            </w:r>
            <w:r>
              <w:rPr>
                <w:rFonts w:hint="eastAsia"/>
                <w:sz w:val="24"/>
              </w:rPr>
              <w:t>级矿粉。</w:t>
            </w:r>
          </w:p>
        </w:tc>
      </w:tr>
      <w:tr w:rsidR="003F0DCC" w14:paraId="7557BE85" w14:textId="77777777">
        <w:trPr>
          <w:trHeight w:val="850"/>
          <w:jc w:val="center"/>
        </w:trPr>
        <w:tc>
          <w:tcPr>
            <w:tcW w:w="1282" w:type="dxa"/>
            <w:vMerge/>
            <w:vAlign w:val="center"/>
          </w:tcPr>
          <w:p w14:paraId="67616E77" w14:textId="77777777" w:rsidR="003F0DCC" w:rsidRDefault="003F0DCC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4EF535C1" w14:textId="77777777" w:rsidR="003F0DCC" w:rsidRDefault="002C2ED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联合投标</w:t>
            </w:r>
          </w:p>
        </w:tc>
        <w:tc>
          <w:tcPr>
            <w:tcW w:w="6851" w:type="dxa"/>
            <w:shd w:val="clear" w:color="auto" w:fill="auto"/>
            <w:vAlign w:val="center"/>
          </w:tcPr>
          <w:p w14:paraId="69132973" w14:textId="77777777" w:rsidR="003F0DCC" w:rsidRDefault="002C2EDF">
            <w:p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不接受联合投标</w:t>
            </w:r>
          </w:p>
        </w:tc>
      </w:tr>
    </w:tbl>
    <w:p w14:paraId="793D1FB8" w14:textId="77777777" w:rsidR="003F0DCC" w:rsidRDefault="002C2EDF">
      <w:pPr>
        <w:numPr>
          <w:ilvl w:val="0"/>
          <w:numId w:val="1"/>
        </w:numPr>
        <w:spacing w:line="560" w:lineRule="exact"/>
        <w:ind w:firstLine="56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详细评审</w:t>
      </w:r>
    </w:p>
    <w:p w14:paraId="09B89F33" w14:textId="77777777" w:rsidR="003F0DCC" w:rsidRDefault="002C2EDF">
      <w:pPr>
        <w:numPr>
          <w:ilvl w:val="0"/>
          <w:numId w:val="5"/>
        </w:numPr>
        <w:spacing w:line="560" w:lineRule="exact"/>
        <w:jc w:val="left"/>
        <w:rPr>
          <w:sz w:val="24"/>
        </w:rPr>
      </w:pPr>
      <w:r>
        <w:rPr>
          <w:rFonts w:hint="eastAsia"/>
          <w:sz w:val="24"/>
        </w:rPr>
        <w:t>报价加权得分计算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7"/>
        <w:gridCol w:w="1258"/>
        <w:gridCol w:w="957"/>
        <w:gridCol w:w="1154"/>
        <w:gridCol w:w="1096"/>
        <w:gridCol w:w="912"/>
        <w:gridCol w:w="1258"/>
        <w:gridCol w:w="2540"/>
      </w:tblGrid>
      <w:tr w:rsidR="003F0DCC" w14:paraId="22CFAD94" w14:textId="77777777">
        <w:tc>
          <w:tcPr>
            <w:tcW w:w="787" w:type="dxa"/>
            <w:vAlign w:val="center"/>
          </w:tcPr>
          <w:p w14:paraId="79946BA8" w14:textId="77777777" w:rsidR="003F0DCC" w:rsidRDefault="002C2EDF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258" w:type="dxa"/>
            <w:vAlign w:val="center"/>
          </w:tcPr>
          <w:p w14:paraId="3E113D83" w14:textId="77777777" w:rsidR="003F0DCC" w:rsidRDefault="002C2EDF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报价单位</w:t>
            </w:r>
          </w:p>
        </w:tc>
        <w:tc>
          <w:tcPr>
            <w:tcW w:w="957" w:type="dxa"/>
            <w:vAlign w:val="center"/>
          </w:tcPr>
          <w:p w14:paraId="4E2C9B13" w14:textId="77777777" w:rsidR="003F0DCC" w:rsidRDefault="002C2EDF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混凝土品目</w:t>
            </w:r>
          </w:p>
        </w:tc>
        <w:tc>
          <w:tcPr>
            <w:tcW w:w="1154" w:type="dxa"/>
            <w:vAlign w:val="center"/>
          </w:tcPr>
          <w:p w14:paraId="67C4D997" w14:textId="77777777" w:rsidR="003F0DCC" w:rsidRDefault="002C2EDF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报价</w:t>
            </w:r>
          </w:p>
          <w:p w14:paraId="1389A259" w14:textId="77777777" w:rsidR="003F0DCC" w:rsidRDefault="002C2EDF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（元</w:t>
            </w:r>
            <w:r>
              <w:rPr>
                <w:rFonts w:ascii="宋体" w:eastAsia="宋体" w:hAnsi="宋体" w:cs="宋体" w:hint="eastAsia"/>
                <w:sz w:val="24"/>
              </w:rPr>
              <w:t>/m</w:t>
            </w:r>
            <w:r>
              <w:rPr>
                <w:rFonts w:ascii="宋体" w:eastAsia="宋体" w:hAnsi="宋体" w:cs="宋体" w:hint="eastAsia"/>
                <w:sz w:val="24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096" w:type="dxa"/>
            <w:vAlign w:val="center"/>
          </w:tcPr>
          <w:p w14:paraId="5083A41F" w14:textId="77777777" w:rsidR="003F0DCC" w:rsidRDefault="002C2EDF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权值</w:t>
            </w:r>
          </w:p>
        </w:tc>
        <w:tc>
          <w:tcPr>
            <w:tcW w:w="912" w:type="dxa"/>
            <w:vAlign w:val="center"/>
          </w:tcPr>
          <w:p w14:paraId="60772AFC" w14:textId="77777777" w:rsidR="003F0DCC" w:rsidRDefault="002C2EDF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加权得分</w:t>
            </w:r>
          </w:p>
        </w:tc>
        <w:tc>
          <w:tcPr>
            <w:tcW w:w="1258" w:type="dxa"/>
            <w:vAlign w:val="center"/>
          </w:tcPr>
          <w:p w14:paraId="0AF02B63" w14:textId="77777777" w:rsidR="003F0DCC" w:rsidRDefault="002C2EDF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加权值总得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分</w:t>
            </w:r>
          </w:p>
        </w:tc>
        <w:tc>
          <w:tcPr>
            <w:tcW w:w="2540" w:type="dxa"/>
            <w:vAlign w:val="center"/>
          </w:tcPr>
          <w:p w14:paraId="421BFCEB" w14:textId="77777777" w:rsidR="003F0DCC" w:rsidRDefault="002C2EDF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注</w:t>
            </w:r>
          </w:p>
        </w:tc>
      </w:tr>
      <w:tr w:rsidR="003F0DCC" w14:paraId="62EB7989" w14:textId="77777777">
        <w:trPr>
          <w:trHeight w:hRule="exact" w:val="1701"/>
        </w:trPr>
        <w:tc>
          <w:tcPr>
            <w:tcW w:w="787" w:type="dxa"/>
            <w:vAlign w:val="center"/>
          </w:tcPr>
          <w:p w14:paraId="5AF04496" w14:textId="77777777" w:rsidR="003F0DCC" w:rsidRDefault="002C2EDF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258" w:type="dxa"/>
            <w:vAlign w:val="center"/>
          </w:tcPr>
          <w:p w14:paraId="7DA62DF3" w14:textId="77777777" w:rsidR="003F0DCC" w:rsidRDefault="003F0DCC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57" w:type="dxa"/>
            <w:vAlign w:val="center"/>
          </w:tcPr>
          <w:p w14:paraId="5C598ACD" w14:textId="77777777" w:rsidR="003F0DCC" w:rsidRDefault="002C2EDF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C15</w:t>
            </w:r>
          </w:p>
        </w:tc>
        <w:tc>
          <w:tcPr>
            <w:tcW w:w="1154" w:type="dxa"/>
            <w:vAlign w:val="center"/>
          </w:tcPr>
          <w:p w14:paraId="32943DB3" w14:textId="77777777" w:rsidR="003F0DCC" w:rsidRDefault="003F0DCC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73608F9E" w14:textId="77777777" w:rsidR="003F0DCC" w:rsidRDefault="002C2EDF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0.3</w:t>
            </w:r>
          </w:p>
        </w:tc>
        <w:tc>
          <w:tcPr>
            <w:tcW w:w="912" w:type="dxa"/>
            <w:vAlign w:val="center"/>
          </w:tcPr>
          <w:p w14:paraId="6F05C56B" w14:textId="77777777" w:rsidR="003F0DCC" w:rsidRDefault="003F0DCC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8" w:type="dxa"/>
            <w:vMerge w:val="restart"/>
            <w:vAlign w:val="center"/>
          </w:tcPr>
          <w:p w14:paraId="00F058A9" w14:textId="77777777" w:rsidR="003F0DCC" w:rsidRDefault="003F0DCC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40" w:type="dxa"/>
            <w:vMerge w:val="restart"/>
            <w:vAlign w:val="center"/>
          </w:tcPr>
          <w:p w14:paraId="62FDA068" w14:textId="77777777" w:rsidR="003F0DCC" w:rsidRDefault="002C2EDF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一、加权得分计算公式：</w:t>
            </w:r>
          </w:p>
          <w:p w14:paraId="3F295EE9" w14:textId="77777777" w:rsidR="003F0DCC" w:rsidRDefault="002C2EDF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加权得分＝报价×权值。</w:t>
            </w:r>
          </w:p>
          <w:p w14:paraId="49DA1259" w14:textId="77777777" w:rsidR="003F0DCC" w:rsidRDefault="002C2EDF">
            <w:pPr>
              <w:numPr>
                <w:ilvl w:val="0"/>
                <w:numId w:val="6"/>
              </w:numPr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加权总得分为各级强度混凝土报价加权得分值相加总和。</w:t>
            </w:r>
          </w:p>
        </w:tc>
      </w:tr>
      <w:tr w:rsidR="003F0DCC" w14:paraId="0EAA422F" w14:textId="77777777">
        <w:trPr>
          <w:trHeight w:hRule="exact" w:val="1701"/>
        </w:trPr>
        <w:tc>
          <w:tcPr>
            <w:tcW w:w="787" w:type="dxa"/>
            <w:vAlign w:val="center"/>
          </w:tcPr>
          <w:p w14:paraId="55049B60" w14:textId="77777777" w:rsidR="003F0DCC" w:rsidRDefault="002C2EDF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258" w:type="dxa"/>
            <w:vAlign w:val="center"/>
          </w:tcPr>
          <w:p w14:paraId="0506554D" w14:textId="77777777" w:rsidR="003F0DCC" w:rsidRDefault="003F0DCC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6DBA083B" w14:textId="77777777" w:rsidR="003F0DCC" w:rsidRDefault="002C2EDF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C45</w:t>
            </w:r>
          </w:p>
        </w:tc>
        <w:tc>
          <w:tcPr>
            <w:tcW w:w="1154" w:type="dxa"/>
            <w:vAlign w:val="center"/>
          </w:tcPr>
          <w:p w14:paraId="2695EAC2" w14:textId="77777777" w:rsidR="003F0DCC" w:rsidRDefault="003F0DCC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5F9B17EB" w14:textId="77777777" w:rsidR="003F0DCC" w:rsidRDefault="002C2EDF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0.7</w:t>
            </w:r>
          </w:p>
        </w:tc>
        <w:tc>
          <w:tcPr>
            <w:tcW w:w="912" w:type="dxa"/>
            <w:vAlign w:val="center"/>
          </w:tcPr>
          <w:p w14:paraId="1A8C7E36" w14:textId="77777777" w:rsidR="003F0DCC" w:rsidRDefault="003F0DCC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58" w:type="dxa"/>
            <w:vMerge/>
            <w:vAlign w:val="center"/>
          </w:tcPr>
          <w:p w14:paraId="4A176FE7" w14:textId="77777777" w:rsidR="003F0DCC" w:rsidRDefault="003F0DCC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40" w:type="dxa"/>
            <w:vMerge/>
            <w:vAlign w:val="center"/>
          </w:tcPr>
          <w:p w14:paraId="250DDFCB" w14:textId="77777777" w:rsidR="003F0DCC" w:rsidRDefault="003F0DCC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7E37BEB8" w14:textId="77777777" w:rsidR="003F0DCC" w:rsidRDefault="003F0DCC">
      <w:pPr>
        <w:spacing w:line="400" w:lineRule="exact"/>
        <w:jc w:val="left"/>
        <w:rPr>
          <w:rFonts w:ascii="宋体" w:eastAsia="宋体" w:hAnsi="宋体" w:cs="宋体"/>
          <w:sz w:val="24"/>
        </w:rPr>
      </w:pPr>
    </w:p>
    <w:p w14:paraId="3AA689D5" w14:textId="77777777" w:rsidR="003F0DCC" w:rsidRDefault="003F0DCC">
      <w:pPr>
        <w:spacing w:line="560" w:lineRule="exact"/>
        <w:jc w:val="right"/>
        <w:rPr>
          <w:rFonts w:ascii="宋体" w:eastAsia="宋体" w:hAnsi="宋体" w:cs="宋体"/>
          <w:sz w:val="24"/>
        </w:rPr>
      </w:pPr>
    </w:p>
    <w:p w14:paraId="57220011" w14:textId="77777777" w:rsidR="003F0DCC" w:rsidRDefault="003F0DCC">
      <w:pPr>
        <w:spacing w:line="560" w:lineRule="exact"/>
        <w:jc w:val="right"/>
        <w:rPr>
          <w:rFonts w:ascii="宋体" w:eastAsia="宋体" w:hAnsi="宋体" w:cs="宋体"/>
          <w:sz w:val="24"/>
        </w:rPr>
      </w:pPr>
    </w:p>
    <w:p w14:paraId="1BC0497B" w14:textId="77777777" w:rsidR="003F0DCC" w:rsidRDefault="003F0DCC">
      <w:pPr>
        <w:spacing w:line="560" w:lineRule="exact"/>
        <w:jc w:val="right"/>
        <w:rPr>
          <w:rFonts w:ascii="宋体" w:eastAsia="宋体" w:hAnsi="宋体" w:cs="宋体"/>
          <w:sz w:val="24"/>
        </w:rPr>
      </w:pPr>
    </w:p>
    <w:p w14:paraId="2E1E75A7" w14:textId="77777777" w:rsidR="003F0DCC" w:rsidRDefault="002C2EDF">
      <w:pPr>
        <w:spacing w:line="560" w:lineRule="exact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招标人：江门市新会公路局养护中心</w:t>
      </w:r>
    </w:p>
    <w:p w14:paraId="71F0CD2D" w14:textId="5CBC4AF2" w:rsidR="003F0DCC" w:rsidRDefault="002C2EDF">
      <w:pPr>
        <w:spacing w:line="560" w:lineRule="exact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</w:t>
      </w:r>
      <w:r w:rsidR="00FC775D">
        <w:rPr>
          <w:rFonts w:ascii="宋体" w:eastAsia="宋体" w:hAnsi="宋体" w:cs="宋体" w:hint="eastAsia"/>
          <w:sz w:val="24"/>
        </w:rPr>
        <w:t xml:space="preserve">      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日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期：</w:t>
      </w:r>
      <w:r>
        <w:rPr>
          <w:rFonts w:ascii="宋体" w:eastAsia="宋体" w:hAnsi="宋体" w:cs="宋体" w:hint="eastAsia"/>
          <w:sz w:val="24"/>
        </w:rPr>
        <w:t>2024</w:t>
      </w:r>
      <w:r>
        <w:rPr>
          <w:rFonts w:ascii="宋体" w:eastAsia="宋体" w:hAnsi="宋体" w:cs="宋体" w:hint="eastAsia"/>
          <w:sz w:val="24"/>
        </w:rPr>
        <w:t>年</w:t>
      </w:r>
      <w:r w:rsidR="00FC775D"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日</w:t>
      </w:r>
    </w:p>
    <w:sectPr w:rsidR="003F0DC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E386F" w14:textId="77777777" w:rsidR="002C2EDF" w:rsidRDefault="002C2EDF" w:rsidP="00FC775D">
      <w:r>
        <w:separator/>
      </w:r>
    </w:p>
  </w:endnote>
  <w:endnote w:type="continuationSeparator" w:id="0">
    <w:p w14:paraId="3ECE0741" w14:textId="77777777" w:rsidR="002C2EDF" w:rsidRDefault="002C2EDF" w:rsidP="00FC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B6ADF" w14:textId="77777777" w:rsidR="002C2EDF" w:rsidRDefault="002C2EDF" w:rsidP="00FC775D">
      <w:r>
        <w:separator/>
      </w:r>
    </w:p>
  </w:footnote>
  <w:footnote w:type="continuationSeparator" w:id="0">
    <w:p w14:paraId="55680FB5" w14:textId="77777777" w:rsidR="002C2EDF" w:rsidRDefault="002C2EDF" w:rsidP="00FC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5C7F4E"/>
    <w:multiLevelType w:val="singleLevel"/>
    <w:tmpl w:val="D25C7F4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0D02EAA"/>
    <w:multiLevelType w:val="singleLevel"/>
    <w:tmpl w:val="E0D02EA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4DF0E96"/>
    <w:multiLevelType w:val="singleLevel"/>
    <w:tmpl w:val="04DF0E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051850C"/>
    <w:multiLevelType w:val="singleLevel"/>
    <w:tmpl w:val="1051850C"/>
    <w:lvl w:ilvl="0">
      <w:start w:val="1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4">
    <w:nsid w:val="40CEBF69"/>
    <w:multiLevelType w:val="singleLevel"/>
    <w:tmpl w:val="40CEBF6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F15A3AA"/>
    <w:multiLevelType w:val="singleLevel"/>
    <w:tmpl w:val="5F15A3AA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zkxYjFiMmFkYWNlOWMyMTc1NmU0ZmI1MjE4ODIifQ=="/>
  </w:docVars>
  <w:rsids>
    <w:rsidRoot w:val="0B7D4A0D"/>
    <w:rsid w:val="00056A68"/>
    <w:rsid w:val="002C2EDF"/>
    <w:rsid w:val="00347F45"/>
    <w:rsid w:val="003F0DCC"/>
    <w:rsid w:val="004B5441"/>
    <w:rsid w:val="007E7D0F"/>
    <w:rsid w:val="009C223A"/>
    <w:rsid w:val="00A33586"/>
    <w:rsid w:val="00B506CE"/>
    <w:rsid w:val="00B82116"/>
    <w:rsid w:val="00CC2947"/>
    <w:rsid w:val="00DC5072"/>
    <w:rsid w:val="00ED6C57"/>
    <w:rsid w:val="00FA775F"/>
    <w:rsid w:val="00FC775D"/>
    <w:rsid w:val="01635C49"/>
    <w:rsid w:val="04830723"/>
    <w:rsid w:val="05B0679A"/>
    <w:rsid w:val="0874152A"/>
    <w:rsid w:val="098849BD"/>
    <w:rsid w:val="0B7D4A0D"/>
    <w:rsid w:val="113D3447"/>
    <w:rsid w:val="12903B41"/>
    <w:rsid w:val="12A00B7B"/>
    <w:rsid w:val="12C910FC"/>
    <w:rsid w:val="12DB5F87"/>
    <w:rsid w:val="14883EEC"/>
    <w:rsid w:val="182E2E69"/>
    <w:rsid w:val="18892D35"/>
    <w:rsid w:val="18B573A8"/>
    <w:rsid w:val="1F4D6497"/>
    <w:rsid w:val="28524F22"/>
    <w:rsid w:val="28974D43"/>
    <w:rsid w:val="293D309F"/>
    <w:rsid w:val="29820EEF"/>
    <w:rsid w:val="2A052FDD"/>
    <w:rsid w:val="2FE9188B"/>
    <w:rsid w:val="306443BF"/>
    <w:rsid w:val="31781C5A"/>
    <w:rsid w:val="32C739DA"/>
    <w:rsid w:val="38A24CCD"/>
    <w:rsid w:val="3AF45588"/>
    <w:rsid w:val="3B546B61"/>
    <w:rsid w:val="3D255BCB"/>
    <w:rsid w:val="3EE74E40"/>
    <w:rsid w:val="3FE61C4A"/>
    <w:rsid w:val="402B1A9F"/>
    <w:rsid w:val="41282F08"/>
    <w:rsid w:val="4715773F"/>
    <w:rsid w:val="47E10C42"/>
    <w:rsid w:val="4A6F69D9"/>
    <w:rsid w:val="4CFF54A1"/>
    <w:rsid w:val="4DBA685E"/>
    <w:rsid w:val="4E1A3BE8"/>
    <w:rsid w:val="4FDB698B"/>
    <w:rsid w:val="4FEE6915"/>
    <w:rsid w:val="527C7665"/>
    <w:rsid w:val="52904CED"/>
    <w:rsid w:val="53074AA3"/>
    <w:rsid w:val="573A4FED"/>
    <w:rsid w:val="584B2674"/>
    <w:rsid w:val="5E44187C"/>
    <w:rsid w:val="65AC4B11"/>
    <w:rsid w:val="670E33AA"/>
    <w:rsid w:val="6B054A88"/>
    <w:rsid w:val="76434265"/>
    <w:rsid w:val="77433A3A"/>
    <w:rsid w:val="7ADB2036"/>
    <w:rsid w:val="7D5D42EC"/>
    <w:rsid w:val="7D723DB3"/>
    <w:rsid w:val="7E35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122</Words>
  <Characters>700</Characters>
  <Application>Microsoft Office Word</Application>
  <DocSecurity>0</DocSecurity>
  <Lines>5</Lines>
  <Paragraphs>1</Paragraphs>
  <ScaleCrop>false</ScaleCrop>
  <Company>江门市市公路事务中心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温耀堂</cp:lastModifiedBy>
  <cp:revision>4</cp:revision>
  <cp:lastPrinted>2023-07-12T07:46:00Z</cp:lastPrinted>
  <dcterms:created xsi:type="dcterms:W3CDTF">2023-07-04T12:11:00Z</dcterms:created>
  <dcterms:modified xsi:type="dcterms:W3CDTF">2024-09-02T06:31:00Z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794397463D1141DCABFDF2D7EDAD2C87_13</vt:lpwstr>
  </property>
</Properties>
</file>