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pPr>
        <w:pStyle w:val="BodyText"/>
        <w:autoSpaceDE w:val="0"/>
        <w:adjustRightInd w:val="0"/>
        <w:spacing w:after="0" w:line="360" w:lineRule="auto"/>
        <w:contextualSpacing/>
        <w:rPr>
          <w:rFonts w:ascii="黑体" w:eastAsia="黑体" w:hAnsi="黑体"/>
          <w:sz w:val="32"/>
          <w:szCs w:val="32"/>
        </w:rPr>
      </w:pPr>
      <w:r>
        <w:rPr>
          <w:rFonts w:ascii="黑体" w:eastAsia="黑体" w:hAnsi="黑体" w:hint="eastAsia"/>
          <w:sz w:val="32"/>
          <w:szCs w:val="32"/>
        </w:rPr>
        <w:t>附件</w:t>
      </w:r>
    </w:p>
    <w:p>
      <w:pPr>
        <w:pStyle w:val="BodyText"/>
        <w:autoSpaceDE w:val="0"/>
        <w:adjustRightInd w:val="0"/>
        <w:spacing w:after="0" w:line="360" w:lineRule="auto"/>
        <w:contextualSpacing/>
        <w:rPr>
          <w:rFonts w:ascii="黑体" w:eastAsia="黑体" w:hAnsi="黑体"/>
          <w:sz w:val="32"/>
          <w:szCs w:val="32"/>
        </w:rPr>
      </w:pPr>
      <w:r>
        <w:rPr>
          <w:rFonts w:ascii="黑体" w:eastAsia="黑体" w:hAnsi="黑体" w:hint="eastAsia"/>
          <w:sz w:val="32"/>
          <w:szCs w:val="32"/>
        </w:rPr>
        <w:t xml:space="preserve"> </w:t>
      </w:r>
    </w:p>
    <w:p>
      <w:pPr>
        <w:pStyle w:val="BodyText"/>
        <w:autoSpaceDE w:val="0"/>
        <w:spacing w:after="0" w:line="360" w:lineRule="auto"/>
        <w:contextualSpacing/>
        <w:jc w:val="center"/>
        <w:rPr>
          <w:rFonts w:ascii="方正小标宋简体" w:eastAsia="方正小标宋简体"/>
          <w:sz w:val="36"/>
          <w:szCs w:val="36"/>
        </w:rPr>
      </w:pPr>
      <w:r>
        <w:rPr>
          <w:rFonts w:ascii="方正小标宋简体" w:eastAsia="方正小标宋简体" w:hint="eastAsia"/>
          <w:sz w:val="36"/>
          <w:szCs w:val="36"/>
        </w:rPr>
        <w:t>首次需要提供的资料清单</w:t>
      </w:r>
    </w:p>
    <w:tbl>
      <w:tblPr>
        <w:tblStyle w:val="TableNormal"/>
        <w:tblW w:w="52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66"/>
        <w:gridCol w:w="4010"/>
        <w:gridCol w:w="1651"/>
        <w:gridCol w:w="1670"/>
        <w:gridCol w:w="1376"/>
      </w:tblGrid>
      <w:tr>
        <w:tblPrEx>
          <w:tblW w:w="52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jc w:val="center"/>
        </w:trPr>
        <w:tc>
          <w:tcPr>
            <w:tcW w:w="777" w:type="dxa"/>
            <w:vMerge w:val="restart"/>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仿宋_GB2312" w:eastAsia="仿宋_GB2312"/>
                <w:b/>
                <w:kern w:val="0"/>
                <w:sz w:val="24"/>
              </w:rPr>
            </w:pPr>
            <w:r>
              <w:rPr>
                <w:rFonts w:ascii="仿宋_GB2312" w:eastAsia="仿宋_GB2312" w:hint="eastAsia"/>
                <w:b/>
                <w:kern w:val="0"/>
                <w:sz w:val="24"/>
              </w:rPr>
              <w:t>序号</w:t>
            </w:r>
          </w:p>
        </w:tc>
        <w:tc>
          <w:tcPr>
            <w:tcW w:w="4120" w:type="dxa"/>
            <w:vMerge w:val="restart"/>
            <w:tcBorders>
              <w:top w:val="single" w:sz="4" w:space="0" w:color="auto"/>
              <w:left w:val="nil"/>
              <w:bottom w:val="single" w:sz="4" w:space="0" w:color="auto"/>
              <w:right w:val="single" w:sz="4" w:space="0" w:color="auto"/>
            </w:tcBorders>
            <w:vAlign w:val="center"/>
          </w:tcPr>
          <w:p>
            <w:pPr>
              <w:spacing w:line="360" w:lineRule="auto"/>
              <w:jc w:val="center"/>
              <w:rPr>
                <w:rFonts w:ascii="仿宋_GB2312" w:eastAsia="仿宋_GB2312"/>
                <w:b/>
                <w:kern w:val="0"/>
                <w:sz w:val="24"/>
              </w:rPr>
            </w:pPr>
            <w:r>
              <w:rPr>
                <w:rFonts w:ascii="仿宋_GB2312" w:eastAsia="仿宋_GB2312" w:hint="eastAsia"/>
                <w:b/>
                <w:kern w:val="0"/>
                <w:sz w:val="24"/>
              </w:rPr>
              <w:t>目   录</w:t>
            </w:r>
          </w:p>
        </w:tc>
        <w:tc>
          <w:tcPr>
            <w:tcW w:w="3407" w:type="dxa"/>
            <w:gridSpan w:val="2"/>
            <w:tcBorders>
              <w:top w:val="single" w:sz="4" w:space="0" w:color="auto"/>
              <w:left w:val="nil"/>
              <w:bottom w:val="single" w:sz="4" w:space="0" w:color="auto"/>
              <w:right w:val="single" w:sz="4" w:space="0" w:color="auto"/>
            </w:tcBorders>
          </w:tcPr>
          <w:p>
            <w:pPr>
              <w:spacing w:line="360" w:lineRule="auto"/>
              <w:jc w:val="center"/>
              <w:rPr>
                <w:rFonts w:ascii="仿宋_GB2312" w:eastAsia="仿宋_GB2312"/>
                <w:b/>
                <w:kern w:val="0"/>
                <w:sz w:val="24"/>
              </w:rPr>
            </w:pPr>
            <w:r>
              <w:rPr>
                <w:rFonts w:ascii="仿宋_GB2312" w:eastAsia="仿宋_GB2312" w:hint="eastAsia"/>
                <w:b/>
                <w:kern w:val="0"/>
                <w:sz w:val="24"/>
              </w:rPr>
              <w:t>提供情况</w:t>
            </w:r>
          </w:p>
        </w:tc>
        <w:tc>
          <w:tcPr>
            <w:tcW w:w="1408" w:type="dxa"/>
            <w:vMerge w:val="restart"/>
            <w:tcBorders>
              <w:top w:val="single" w:sz="4" w:space="0" w:color="auto"/>
              <w:left w:val="nil"/>
              <w:bottom w:val="single" w:sz="4" w:space="0" w:color="auto"/>
              <w:right w:val="single" w:sz="4" w:space="0" w:color="auto"/>
            </w:tcBorders>
            <w:vAlign w:val="center"/>
          </w:tcPr>
          <w:p>
            <w:pPr>
              <w:adjustRightInd w:val="0"/>
              <w:snapToGrid w:val="0"/>
              <w:jc w:val="center"/>
              <w:rPr>
                <w:rFonts w:ascii="仿宋_GB2312" w:eastAsia="仿宋_GB2312"/>
                <w:b/>
                <w:sz w:val="24"/>
              </w:rPr>
            </w:pPr>
            <w:r>
              <w:rPr>
                <w:rFonts w:ascii="仿宋_GB2312" w:eastAsia="仿宋_GB2312" w:hint="eastAsia"/>
                <w:b/>
                <w:sz w:val="24"/>
              </w:rPr>
              <w:t>备注</w:t>
            </w:r>
          </w:p>
        </w:tc>
      </w:tr>
      <w:tr>
        <w:tblPrEx>
          <w:tblW w:w="5228" w:type="pct"/>
          <w:jc w:val="center"/>
          <w:tblCellMar>
            <w:top w:w="0" w:type="dxa"/>
            <w:left w:w="108" w:type="dxa"/>
            <w:bottom w:w="0" w:type="dxa"/>
            <w:right w:w="108" w:type="dxa"/>
          </w:tblCellMar>
        </w:tblPrEx>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Calibri"/>
                <w:b/>
                <w:kern w:val="0"/>
                <w:sz w:val="24"/>
              </w:rPr>
            </w:pPr>
          </w:p>
        </w:tc>
        <w:tc>
          <w:tcPr>
            <w:tcW w:w="0" w:type="auto"/>
            <w:vMerge/>
            <w:tcBorders>
              <w:top w:val="single" w:sz="4" w:space="0" w:color="auto"/>
              <w:left w:val="nil"/>
              <w:bottom w:val="single" w:sz="4" w:space="0" w:color="auto"/>
              <w:right w:val="single" w:sz="4" w:space="0" w:color="auto"/>
            </w:tcBorders>
            <w:vAlign w:val="center"/>
          </w:tcPr>
          <w:p>
            <w:pPr>
              <w:widowControl/>
              <w:jc w:val="left"/>
              <w:rPr>
                <w:rFonts w:ascii="仿宋_GB2312" w:eastAsia="仿宋_GB2312" w:hAnsi="Calibri"/>
                <w:b/>
                <w:kern w:val="0"/>
                <w:sz w:val="24"/>
              </w:rPr>
            </w:pPr>
          </w:p>
        </w:tc>
        <w:tc>
          <w:tcPr>
            <w:tcW w:w="1694" w:type="dxa"/>
            <w:tcBorders>
              <w:top w:val="single" w:sz="4" w:space="0" w:color="auto"/>
              <w:left w:val="nil"/>
              <w:bottom w:val="single" w:sz="4" w:space="0" w:color="auto"/>
              <w:right w:val="single" w:sz="4" w:space="0" w:color="auto"/>
            </w:tcBorders>
          </w:tcPr>
          <w:p>
            <w:pPr>
              <w:spacing w:line="360" w:lineRule="auto"/>
              <w:jc w:val="center"/>
              <w:rPr>
                <w:rFonts w:ascii="仿宋_GB2312" w:eastAsia="仿宋_GB2312"/>
                <w:b/>
                <w:kern w:val="0"/>
                <w:sz w:val="24"/>
              </w:rPr>
            </w:pPr>
            <w:r>
              <w:rPr>
                <w:rFonts w:ascii="仿宋_GB2312" w:eastAsia="仿宋_GB2312" w:hint="eastAsia"/>
                <w:b/>
                <w:kern w:val="0"/>
                <w:sz w:val="24"/>
              </w:rPr>
              <w:t>提供人签名</w:t>
            </w:r>
          </w:p>
        </w:tc>
        <w:tc>
          <w:tcPr>
            <w:tcW w:w="1713" w:type="dxa"/>
            <w:tcBorders>
              <w:top w:val="single" w:sz="4" w:space="0" w:color="auto"/>
              <w:left w:val="nil"/>
              <w:bottom w:val="single" w:sz="4" w:space="0" w:color="auto"/>
              <w:right w:val="single" w:sz="4" w:space="0" w:color="auto"/>
            </w:tcBorders>
            <w:vAlign w:val="center"/>
          </w:tcPr>
          <w:p>
            <w:pPr>
              <w:adjustRightInd w:val="0"/>
              <w:snapToGrid w:val="0"/>
              <w:jc w:val="center"/>
              <w:rPr>
                <w:rFonts w:ascii="仿宋_GB2312" w:eastAsia="仿宋_GB2312"/>
                <w:b/>
                <w:sz w:val="24"/>
              </w:rPr>
            </w:pPr>
            <w:r>
              <w:rPr>
                <w:rFonts w:ascii="仿宋_GB2312" w:eastAsia="仿宋_GB2312" w:hint="eastAsia"/>
                <w:b/>
                <w:kern w:val="0"/>
                <w:sz w:val="24"/>
              </w:rPr>
              <w:t>提供日期</w:t>
            </w:r>
          </w:p>
        </w:tc>
        <w:tc>
          <w:tcPr>
            <w:tcW w:w="0" w:type="auto"/>
            <w:vMerge/>
            <w:tcBorders>
              <w:top w:val="single" w:sz="4" w:space="0" w:color="auto"/>
              <w:left w:val="nil"/>
              <w:bottom w:val="single" w:sz="4" w:space="0" w:color="auto"/>
              <w:right w:val="single" w:sz="4" w:space="0" w:color="auto"/>
            </w:tcBorders>
            <w:vAlign w:val="center"/>
          </w:tcPr>
          <w:p>
            <w:pPr>
              <w:widowControl/>
              <w:jc w:val="left"/>
              <w:rPr>
                <w:rFonts w:ascii="仿宋_GB2312" w:eastAsia="仿宋_GB2312" w:hAnsi="Calibri"/>
                <w:b/>
                <w:sz w:val="24"/>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bookmarkStart w:id="0" w:name="_GoBack" w:colFirst="1" w:colLast="4"/>
            <w:r>
              <w:rPr>
                <w:rFonts w:ascii="仿宋_GB2312" w:eastAsia="仿宋_GB2312" w:hAnsi="宋体" w:hint="eastAsia"/>
                <w:sz w:val="24"/>
              </w:rPr>
              <w:t>1</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声明书</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2</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事务所章程或合伙协议</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1134"/>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3</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近3年合伙人会议和管理委员会或股东会和董事会等治理层组成及会议决议、会议纪要、会议记录</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4</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合伙人行为规范和违规处理制度</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5</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事务所关键岗位人员职责及权限</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6</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事务所人力资源管理制度及薪酬政策</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1134"/>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7</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员工业绩评价考评指标及2023年度全体人员年度考核情况表以及年度考核评价结果</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794"/>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8</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事务所近3年从业人员晋升情况明细表</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794"/>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9</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近一年分所负责人和分所关键管理人员任免记录和相关批准文件（如适用）</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794"/>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10</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事务所内部培训制度（包括业务培训与职业道德培训）</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794"/>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11</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事务所业务培训情况明细表（2023年1月1日-2024年6月30日）</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12</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事务所质量管理制度</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13</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事务所质量管理体系评价制度</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14</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事务所风险评估程序相关制度</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794"/>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15</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事务所技术标准文档（如实务指引、范例、工作底稿模板等）</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16</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业务咨询制度</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17</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重大分歧处理制度</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18</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质量控制复核制度</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19</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业务档案管理制度</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20</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事务所报告签发制度</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21</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事务所公章、印章管理制度</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22</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数据、信息与网络安全制度</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73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23</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事务所投诉举报制度及反报复保护制度</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24</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事务所质量管理事故问责制度</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25</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职业道德制度或职业道德守则</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73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26</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2023年1月1日至2024年6月30日出具报告清单（按模版填写）</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73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27</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事务所业务报告发文登记簿（2023年1月1日-检查组进点日）</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1134"/>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28</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事务所业务档案登记簿及工作底稿借阅登记簿（2023年1月1日-检查组进点日）</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1134"/>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29</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近2年事务所内部执业质量检查自查报告、质量控制部门或风险控制部门的质量监控记录及检查结果处理报告</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73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30</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事务所对执业质量检查发现问题的整改报告（最近一次）</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31</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2023年度、2024年上半年财务报表</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73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32</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事务所会计核算制度及费用和支出管理制度</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33</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事务所业务收费标准</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73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34</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会计师事务所（分所）支出明细表（与财政年度报备相同）</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r>
        <w:tblPrEx>
          <w:tblW w:w="5228" w:type="pct"/>
          <w:jc w:val="center"/>
          <w:tblCellMar>
            <w:top w:w="0" w:type="dxa"/>
            <w:left w:w="108" w:type="dxa"/>
            <w:bottom w:w="0" w:type="dxa"/>
            <w:right w:w="108" w:type="dxa"/>
          </w:tblCellMar>
        </w:tblPrEx>
        <w:trPr>
          <w:trHeight w:val="737"/>
          <w:jc w:val="center"/>
        </w:trPr>
        <w:tc>
          <w:tcPr>
            <w:tcW w:w="777" w:type="dxa"/>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仿宋_GB2312" w:eastAsia="仿宋_GB2312" w:hAnsi="宋体"/>
                <w:sz w:val="24"/>
              </w:rPr>
            </w:pPr>
            <w:r>
              <w:rPr>
                <w:rFonts w:ascii="仿宋_GB2312" w:eastAsia="仿宋_GB2312" w:hAnsi="宋体" w:hint="eastAsia"/>
                <w:sz w:val="24"/>
              </w:rPr>
              <w:t>35</w:t>
            </w:r>
          </w:p>
        </w:tc>
        <w:tc>
          <w:tcPr>
            <w:tcW w:w="4120"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r>
              <w:rPr>
                <w:rFonts w:ascii="仿宋_GB2312" w:eastAsia="仿宋_GB2312" w:hAnsi="宋体" w:hint="eastAsia"/>
                <w:color w:val="000000" w:themeColor="text1"/>
                <w:sz w:val="24"/>
                <w14:textFill>
                  <w14:solidFill>
                    <w14:schemeClr w14:val="tx1"/>
                  </w14:solidFill>
                </w14:textFill>
              </w:rPr>
              <w:t>2023年度职业保险单或2023年度风险基金提取明细账</w:t>
            </w:r>
          </w:p>
        </w:tc>
        <w:tc>
          <w:tcPr>
            <w:tcW w:w="1694" w:type="dxa"/>
            <w:tcBorders>
              <w:top w:val="single" w:sz="4" w:space="0" w:color="auto"/>
              <w:left w:val="nil"/>
              <w:bottom w:val="single" w:sz="4" w:space="0" w:color="auto"/>
              <w:right w:val="single" w:sz="4" w:space="0" w:color="auto"/>
            </w:tcBorders>
            <w:vAlign w:val="center"/>
          </w:tcPr>
          <w:p>
            <w:pPr>
              <w:spacing w:line="360" w:lineRule="auto"/>
              <w:rPr>
                <w:rFonts w:ascii="仿宋_GB2312" w:eastAsia="仿宋_GB2312" w:hAnsi="仿宋" w:cs="Arial"/>
                <w:b/>
                <w:bCs/>
                <w:color w:val="000000" w:themeColor="text1"/>
                <w:kern w:val="0"/>
                <w:sz w:val="24"/>
                <w14:textFill>
                  <w14:solidFill>
                    <w14:schemeClr w14:val="tx1"/>
                  </w14:solidFill>
                </w14:textFill>
              </w:rPr>
            </w:pPr>
          </w:p>
        </w:tc>
        <w:tc>
          <w:tcPr>
            <w:tcW w:w="1713" w:type="dxa"/>
            <w:tcBorders>
              <w:top w:val="single" w:sz="4" w:space="0" w:color="auto"/>
              <w:left w:val="nil"/>
              <w:bottom w:val="single" w:sz="4" w:space="0" w:color="auto"/>
              <w:right w:val="single" w:sz="4" w:space="0" w:color="auto"/>
            </w:tcBorders>
            <w:vAlign w:val="center"/>
          </w:tcPr>
          <w:p>
            <w:pPr>
              <w:rPr>
                <w:rFonts w:ascii="仿宋_GB2312" w:eastAsia="仿宋_GB2312" w:hAnsi="仿宋" w:cs="Arial"/>
                <w:bCs/>
                <w:color w:val="000000" w:themeColor="text1"/>
                <w:kern w:val="0"/>
                <w:sz w:val="24"/>
                <w14:textFill>
                  <w14:solidFill>
                    <w14:schemeClr w14:val="tx1"/>
                  </w14:solidFill>
                </w14:textFill>
              </w:rPr>
            </w:pPr>
          </w:p>
        </w:tc>
        <w:tc>
          <w:tcPr>
            <w:tcW w:w="1408" w:type="dxa"/>
            <w:tcBorders>
              <w:top w:val="single" w:sz="4" w:space="0" w:color="auto"/>
              <w:left w:val="nil"/>
              <w:bottom w:val="single" w:sz="4" w:space="0" w:color="auto"/>
              <w:right w:val="single" w:sz="4" w:space="0" w:color="auto"/>
            </w:tcBorders>
            <w:vAlign w:val="center"/>
          </w:tcPr>
          <w:p>
            <w:pPr>
              <w:adjustRightInd w:val="0"/>
              <w:snapToGrid w:val="0"/>
              <w:rPr>
                <w:rFonts w:ascii="仿宋_GB2312" w:eastAsia="仿宋_GB2312" w:hAnsi="宋体"/>
                <w:color w:val="000000" w:themeColor="text1"/>
                <w:sz w:val="24"/>
                <w14:textFill>
                  <w14:solidFill>
                    <w14:schemeClr w14:val="tx1"/>
                  </w14:solidFill>
                </w14:textFill>
              </w:rPr>
            </w:pPr>
          </w:p>
        </w:tc>
      </w:tr>
    </w:tbl>
    <w:p>
      <w:pPr>
        <w:pStyle w:val="BodyText"/>
        <w:autoSpaceDE w:val="0"/>
        <w:adjustRightInd w:val="0"/>
        <w:spacing w:after="0" w:line="360" w:lineRule="auto"/>
        <w:contextualSpacing/>
        <w:rPr>
          <w:rFonts w:ascii="仿宋_GB2312" w:eastAsia="仿宋_GB2312"/>
          <w:szCs w:val="21"/>
        </w:rPr>
      </w:pPr>
      <w:bookmarkEnd w:id="0"/>
    </w:p>
    <w:sectPr>
      <w:footerReference w:type="default" r:id="rId5"/>
      <w:pgSz w:w="11906" w:h="16838"/>
      <w:pgMar w:top="1247" w:right="1531" w:bottom="1134" w:left="1531" w:header="851" w:footer="907"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w:pict>
        <v:shapetype id="_x0000_t202" coordsize="21600,21600" o:spt="202" path="m,l,21600r21600,l21600,xe">
          <v:stroke joinstyle="miter"/>
          <v:path gradientshapeok="t" o:connecttype="rect"/>
        </v:shapetype>
        <v:shape id="_x0000_s4097" o:spid="_x0000_s2049" type="#_x0000_t202" style="width:2in;height:2in;margin-top:0;margin-left:0;mso-height-relative:page;mso-position-horizontal:outside;mso-position-horizontal-relative:margin;mso-width-relative:page;mso-wrap-style:none;position:absolute;z-index:251658240"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- 1 -</w:t>
                </w:r>
                <w:r>
                  <w:fldChar w:fldCharType="end"/>
                </w:r>
              </w:p>
            </w:txbxContent>
          </v:textbox>
          <w10:wrap anchorx="margin"/>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8FE"/>
    <w:rsid w:val="DFDD4DB3"/>
    <w:rsid w:val="0001381E"/>
    <w:rsid w:val="00056B14"/>
    <w:rsid w:val="00064BAD"/>
    <w:rsid w:val="00074100"/>
    <w:rsid w:val="00082718"/>
    <w:rsid w:val="0009541D"/>
    <w:rsid w:val="00236177"/>
    <w:rsid w:val="00251123"/>
    <w:rsid w:val="00266089"/>
    <w:rsid w:val="002A1CF7"/>
    <w:rsid w:val="002E6929"/>
    <w:rsid w:val="00331421"/>
    <w:rsid w:val="00332EC3"/>
    <w:rsid w:val="003A18FE"/>
    <w:rsid w:val="003D1667"/>
    <w:rsid w:val="00401B5C"/>
    <w:rsid w:val="00414BBA"/>
    <w:rsid w:val="004165BD"/>
    <w:rsid w:val="00427DB2"/>
    <w:rsid w:val="00477E02"/>
    <w:rsid w:val="0051324F"/>
    <w:rsid w:val="005A6F1A"/>
    <w:rsid w:val="00661F90"/>
    <w:rsid w:val="00700906"/>
    <w:rsid w:val="007173B1"/>
    <w:rsid w:val="007F3557"/>
    <w:rsid w:val="008146AA"/>
    <w:rsid w:val="00842481"/>
    <w:rsid w:val="00855883"/>
    <w:rsid w:val="00876B98"/>
    <w:rsid w:val="00883779"/>
    <w:rsid w:val="00886AEE"/>
    <w:rsid w:val="00893C4C"/>
    <w:rsid w:val="008A2DD8"/>
    <w:rsid w:val="008A2FC5"/>
    <w:rsid w:val="008F75D5"/>
    <w:rsid w:val="0094590C"/>
    <w:rsid w:val="009537CD"/>
    <w:rsid w:val="009A07B6"/>
    <w:rsid w:val="009E277D"/>
    <w:rsid w:val="009E4F18"/>
    <w:rsid w:val="00A17F61"/>
    <w:rsid w:val="00A62830"/>
    <w:rsid w:val="00AA3D68"/>
    <w:rsid w:val="00AA6D00"/>
    <w:rsid w:val="00AB0A5D"/>
    <w:rsid w:val="00AB317A"/>
    <w:rsid w:val="00AF2F8D"/>
    <w:rsid w:val="00B02D3D"/>
    <w:rsid w:val="00B56788"/>
    <w:rsid w:val="00B57F56"/>
    <w:rsid w:val="00B72FF7"/>
    <w:rsid w:val="00B976FA"/>
    <w:rsid w:val="00BA270D"/>
    <w:rsid w:val="00BA2B99"/>
    <w:rsid w:val="00BC4274"/>
    <w:rsid w:val="00BD44B5"/>
    <w:rsid w:val="00BF1E2E"/>
    <w:rsid w:val="00C061E4"/>
    <w:rsid w:val="00C82B05"/>
    <w:rsid w:val="00C942B4"/>
    <w:rsid w:val="00CE126D"/>
    <w:rsid w:val="00D433AC"/>
    <w:rsid w:val="00D90A74"/>
    <w:rsid w:val="00E024F5"/>
    <w:rsid w:val="00E042C1"/>
    <w:rsid w:val="00E37075"/>
    <w:rsid w:val="00E518BA"/>
    <w:rsid w:val="00E6370B"/>
    <w:rsid w:val="00E777D1"/>
    <w:rsid w:val="00ED4090"/>
    <w:rsid w:val="00FB25C9"/>
    <w:rsid w:val="00FB429A"/>
    <w:rsid w:val="061A42AD"/>
    <w:rsid w:val="097E2076"/>
    <w:rsid w:val="14BF2570"/>
    <w:rsid w:val="2E6A0804"/>
    <w:rsid w:val="3B917306"/>
    <w:rsid w:val="5B6014A4"/>
    <w:rsid w:val="64EB2CEF"/>
    <w:rsid w:val="6F2350B0"/>
    <w:rsid w:val="71071FC7"/>
    <w:rsid w:val="7D676E20"/>
    <w:rsid w:val="7F8B7400"/>
  </w:rsids>
  <w:docVars>
    <w:docVar w:name="commondata" w:val="eyJoZGlkIjoiMTNkN2E2NDgyOGI2ZDlmYWUwNjU5YzQ4OTJiMTAxN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link w:val="a2"/>
    <w:qFormat/>
    <w:pPr>
      <w:spacing w:after="120"/>
    </w:pPr>
    <w:rPr>
      <w:rFonts w:ascii="Calibri" w:hAnsi="Calibri"/>
      <w:szCs w:val="22"/>
    </w:rPr>
  </w:style>
  <w:style w:type="paragraph" w:styleId="Date">
    <w:name w:val="Date"/>
    <w:basedOn w:val="Normal"/>
    <w:next w:val="Normal"/>
    <w:link w:val="a4"/>
    <w:qFormat/>
    <w:pPr>
      <w:ind w:left="100" w:leftChars="2500"/>
    </w:pPr>
  </w:style>
  <w:style w:type="paragraph" w:styleId="BalloonText">
    <w:name w:val="Balloon Text"/>
    <w:basedOn w:val="Normal"/>
    <w:link w:val="a"/>
    <w:qFormat/>
    <w:rPr>
      <w:sz w:val="18"/>
      <w:szCs w:val="18"/>
    </w:rPr>
  </w:style>
  <w:style w:type="paragraph" w:styleId="Footer">
    <w:name w:val="footer"/>
    <w:basedOn w:val="Normal"/>
    <w:link w:val="a0"/>
    <w:uiPriority w:val="99"/>
    <w:qFormat/>
    <w:pPr>
      <w:tabs>
        <w:tab w:val="center" w:pos="4153"/>
        <w:tab w:val="right" w:pos="8306"/>
      </w:tabs>
      <w:snapToGrid w:val="0"/>
      <w:jc w:val="left"/>
    </w:pPr>
    <w:rPr>
      <w:sz w:val="18"/>
      <w:szCs w:val="18"/>
    </w:rPr>
  </w:style>
  <w:style w:type="paragraph" w:styleId="Header">
    <w:name w:val="header"/>
    <w:basedOn w:val="Normal"/>
    <w:link w:val="a1"/>
    <w:uiPriority w:val="99"/>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link w:val="a3"/>
    <w:uiPriority w:val="99"/>
    <w:unhideWhenUsed/>
    <w:qFormat/>
    <w:pPr>
      <w:widowControl/>
      <w:spacing w:before="100" w:beforeAutospacing="1" w:after="100" w:afterAutospacing="1"/>
      <w:jc w:val="left"/>
    </w:pPr>
    <w:rPr>
      <w:rFonts w:ascii="宋体" w:hAnsi="宋体" w:cs="宋体"/>
      <w:kern w:val="0"/>
      <w:sz w:val="24"/>
    </w:rPr>
  </w:style>
  <w:style w:type="character" w:customStyle="1" w:styleId="a">
    <w:name w:val="批注框文本 字符"/>
    <w:link w:val="BalloonText"/>
    <w:qFormat/>
    <w:rPr>
      <w:kern w:val="2"/>
      <w:sz w:val="18"/>
      <w:szCs w:val="18"/>
    </w:rPr>
  </w:style>
  <w:style w:type="character" w:customStyle="1" w:styleId="a0">
    <w:name w:val="页脚 字符"/>
    <w:link w:val="Footer"/>
    <w:uiPriority w:val="99"/>
    <w:qFormat/>
    <w:rPr>
      <w:kern w:val="2"/>
      <w:sz w:val="18"/>
      <w:szCs w:val="18"/>
    </w:rPr>
  </w:style>
  <w:style w:type="character" w:customStyle="1" w:styleId="a1">
    <w:name w:val="页眉 字符"/>
    <w:link w:val="Header"/>
    <w:uiPriority w:val="99"/>
    <w:qFormat/>
    <w:rPr>
      <w:kern w:val="2"/>
      <w:sz w:val="18"/>
      <w:szCs w:val="18"/>
    </w:rPr>
  </w:style>
  <w:style w:type="character" w:customStyle="1" w:styleId="a2">
    <w:name w:val="正文文本 字符"/>
    <w:basedOn w:val="DefaultParagraphFont"/>
    <w:link w:val="BodyText"/>
    <w:qFormat/>
    <w:rPr>
      <w:rFonts w:ascii="Calibri" w:hAnsi="Calibri"/>
      <w:kern w:val="2"/>
      <w:sz w:val="21"/>
      <w:szCs w:val="22"/>
    </w:rPr>
  </w:style>
  <w:style w:type="character" w:customStyle="1" w:styleId="a3">
    <w:name w:val="普通(网站) 字符"/>
    <w:link w:val="NormalWeb"/>
    <w:uiPriority w:val="99"/>
    <w:qFormat/>
    <w:locked/>
    <w:rPr>
      <w:rFonts w:ascii="宋体" w:hAnsi="宋体" w:cs="宋体"/>
      <w:sz w:val="24"/>
      <w:szCs w:val="24"/>
    </w:rPr>
  </w:style>
  <w:style w:type="character" w:customStyle="1" w:styleId="a4">
    <w:name w:val="日期 字符"/>
    <w:basedOn w:val="DefaultParagraphFont"/>
    <w:link w:val="Dat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1105</Characters>
  <Application>Microsoft Office Word</Application>
  <DocSecurity>0</DocSecurity>
  <Lines>9</Lines>
  <Paragraphs>2</Paragraphs>
  <ScaleCrop>false</ScaleCrop>
  <Company>Microsoft</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陈一星</cp:lastModifiedBy>
  <cp:revision>2</cp:revision>
  <cp:lastPrinted>2019-04-01T15:06:00Z</cp:lastPrinted>
  <dcterms:created xsi:type="dcterms:W3CDTF">2024-08-12T14:09:00Z</dcterms:created>
  <dcterms:modified xsi:type="dcterms:W3CDTF">2024-08-23T15:19:35Z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219C8E2727424042A2AEF62BA1A3B5E8_13</vt:lpwstr>
  </property>
  <property fmtid="{D5CDD505-2E9C-101B-9397-08002B2CF9AE}" pid="3" name="KSOProductBuildVer">
    <vt:lpwstr>2052-11.8.2.11961</vt:lpwstr>
  </property>
</Properties>
</file>