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宋体" w:eastAsia="宋体" w:cs="宋体"/>
          <w:b/>
          <w:bCs/>
          <w:kern w:val="2"/>
          <w:sz w:val="36"/>
          <w:szCs w:val="36"/>
        </w:rPr>
      </w:pPr>
      <w:r>
        <w:rPr>
          <w:rFonts w:hint="eastAsia" w:hAnsi="宋体" w:eastAsia="宋体" w:cs="宋体"/>
          <w:b/>
          <w:bCs/>
          <w:kern w:val="2"/>
          <w:sz w:val="36"/>
          <w:szCs w:val="36"/>
        </w:rPr>
        <w:t>江门市市区公路事务中心公务用车定点加油服务“统采分签”项目采购综合评分标准</w:t>
      </w:r>
    </w:p>
    <w:p>
      <w:pPr>
        <w:ind w:left="-420" w:leftChars="-200" w:right="-313" w:rightChars="-149"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一、评分选取方式</w:t>
      </w:r>
    </w:p>
    <w:p>
      <w:pPr>
        <w:ind w:left="-420" w:leftChars="-200" w:right="-313" w:rightChars="-149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本次采购采用综合选取的方式确定中选单位。评选小组先对报名单位进行初步评审；然后对满足初步评审要求的单位，按照详细评审规定的评分标准进行打分。</w:t>
      </w:r>
    </w:p>
    <w:p>
      <w:pPr>
        <w:ind w:left="-420" w:leftChars="-200" w:right="-313" w:rightChars="-149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评选小组成员对报名单位的详细评审中各评审因素进行评分，计算出各评审因素的算术平均值后合计总和作为该单位的得分，并按得分由高到低顺序推荐中选单位。</w:t>
      </w:r>
    </w:p>
    <w:p>
      <w:pPr>
        <w:ind w:left="-420" w:leftChars="-200" w:right="-313" w:rightChars="-149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综合评分相等时，评选小组视报名单位的情况综合比较，投票确定其名次。</w:t>
      </w:r>
    </w:p>
    <w:p>
      <w:pPr>
        <w:pStyle w:val="2"/>
      </w:pPr>
    </w:p>
    <w:p>
      <w:pPr>
        <w:spacing w:line="400" w:lineRule="exact"/>
        <w:ind w:left="-420" w:leftChars="-200" w:right="-313" w:rightChars="-149"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初步审查</w:t>
      </w:r>
    </w:p>
    <w:tbl>
      <w:tblPr>
        <w:tblStyle w:val="7"/>
        <w:tblW w:w="9743" w:type="dxa"/>
        <w:jc w:val="center"/>
        <w:tblLayout w:type="fixed"/>
        <w:tblCellMar>
          <w:top w:w="0" w:type="dxa"/>
          <w:left w:w="108" w:type="dxa"/>
          <w:bottom w:w="67" w:type="dxa"/>
          <w:right w:w="0" w:type="dxa"/>
        </w:tblCellMar>
      </w:tblPr>
      <w:tblGrid>
        <w:gridCol w:w="2984"/>
        <w:gridCol w:w="6759"/>
      </w:tblGrid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698" w:hRule="atLeast"/>
          <w:tblHeader/>
          <w:jc w:val="center"/>
        </w:trPr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109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审查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107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</w:rPr>
              <w:t>审查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3817" w:hRule="atLeast"/>
          <w:jc w:val="center"/>
        </w:trPr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720" w:lineRule="atLeast"/>
              <w:jc w:val="center"/>
              <w:textAlignment w:val="baseline"/>
              <w:rPr>
                <w:rFonts w:ascii="仿宋" w:hAnsi="仿宋" w:eastAsia="仿宋" w:cs="Times New Roman"/>
                <w:color w:val="000000"/>
              </w:rPr>
            </w:pPr>
            <w:r>
              <w:rPr>
                <w:rStyle w:val="9"/>
                <w:rFonts w:ascii="仿宋" w:hAnsi="仿宋" w:eastAsia="仿宋" w:cs="Times New Roman"/>
              </w:rPr>
              <w:t>资格性审查</w:t>
            </w:r>
          </w:p>
        </w:tc>
        <w:tc>
          <w:tcPr>
            <w:tcW w:w="6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 w:firstLine="411" w:firstLineChars="196"/>
            </w:pPr>
            <w:r>
              <w:rPr>
                <w:rFonts w:hint="eastAsia"/>
              </w:rPr>
              <w:t>1.符合《中华人民共和国政府采购法》第二十二条和《中华人民共和国政府采购法实施条例》第十七条的规定；</w:t>
            </w:r>
          </w:p>
          <w:p>
            <w:pPr>
              <w:widowControl/>
              <w:spacing w:line="360" w:lineRule="exact"/>
              <w:ind w:right="108" w:firstLine="411" w:firstLineChars="196"/>
            </w:pPr>
            <w:r>
              <w:rPr>
                <w:rFonts w:hint="eastAsia"/>
              </w:rPr>
              <w:t>2.</w:t>
            </w:r>
            <w:r>
              <w:t xml:space="preserve"> 具有《成品油批发经营批准证书》或《成品油零售经营批准证书》(提供有效的《成品油批发经营批准证书》或《成品油零售经营批准证书》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spacing w:line="360" w:lineRule="exact"/>
              <w:ind w:right="108" w:firstLine="411" w:firstLineChars="196"/>
            </w:pPr>
            <w:r>
              <w:rPr>
                <w:rFonts w:hint="eastAsia"/>
              </w:rPr>
              <w:t>3.具有独立承担民事责任能力的在中华人民共和国境内注册的法人；</w:t>
            </w:r>
          </w:p>
          <w:p>
            <w:pPr>
              <w:widowControl/>
              <w:spacing w:line="360" w:lineRule="exact"/>
              <w:ind w:right="108" w:firstLine="411" w:firstLineChars="196"/>
            </w:pPr>
            <w:r>
              <w:rPr>
                <w:rFonts w:hint="eastAsia"/>
              </w:rPr>
              <w:t>4.近三年内未被列入失信被执行人名单、重大税收违法案件当事人名单、政府采购严重违法失信行为记录名单，无受到政府采购行政处罚且相关信用惩戒期限未满情形；</w:t>
            </w:r>
          </w:p>
          <w:p>
            <w:pPr>
              <w:widowControl/>
              <w:spacing w:line="360" w:lineRule="exact"/>
              <w:ind w:right="108" w:firstLine="411" w:firstLineChars="196"/>
            </w:pPr>
            <w:r>
              <w:rPr>
                <w:rFonts w:hint="eastAsia"/>
              </w:rPr>
              <w:t>5.本项目不接受联合体供应商投标；不允许转包、分包。</w:t>
            </w:r>
          </w:p>
        </w:tc>
      </w:tr>
    </w:tbl>
    <w:p>
      <w:pPr>
        <w:spacing w:line="400" w:lineRule="exact"/>
        <w:ind w:left="-420" w:leftChars="-200" w:right="-313" w:rightChars="-149" w:firstLine="422" w:firstLineChars="200"/>
        <w:rPr>
          <w:rFonts w:ascii="宋体" w:hAnsi="宋体" w:eastAsia="宋体" w:cs="宋体"/>
          <w:b/>
          <w:bCs/>
          <w:szCs w:val="21"/>
        </w:rPr>
      </w:pPr>
    </w:p>
    <w:p>
      <w:pPr>
        <w:pStyle w:val="2"/>
      </w:pPr>
    </w:p>
    <w:p>
      <w:pPr>
        <w:spacing w:line="400" w:lineRule="exact"/>
        <w:ind w:left="-420" w:leftChars="-200" w:right="-313" w:rightChars="-149"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三、详细评审</w:t>
      </w:r>
    </w:p>
    <w:tbl>
      <w:tblPr>
        <w:tblStyle w:val="7"/>
        <w:tblW w:w="10026" w:type="dxa"/>
        <w:jc w:val="center"/>
        <w:tblLayout w:type="fixed"/>
        <w:tblCellMar>
          <w:top w:w="0" w:type="dxa"/>
          <w:left w:w="108" w:type="dxa"/>
          <w:bottom w:w="67" w:type="dxa"/>
          <w:right w:w="0" w:type="dxa"/>
        </w:tblCellMar>
      </w:tblPr>
      <w:tblGrid>
        <w:gridCol w:w="655"/>
        <w:gridCol w:w="1797"/>
        <w:gridCol w:w="6134"/>
        <w:gridCol w:w="1440"/>
      </w:tblGrid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667" w:hRule="atLeast"/>
          <w:tblHeader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109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109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107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>单项分数（分）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Style w:val="9"/>
                <w:rFonts w:ascii="Times New Roman" w:hAnsi="Times New Roman" w:cs="Times New Roman"/>
                <w:szCs w:val="30"/>
              </w:rPr>
            </w:pP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</w:rPr>
              <w:t>总体服务</w:t>
            </w:r>
            <w:r>
              <w:rPr>
                <w:rStyle w:val="9"/>
                <w:rFonts w:ascii="仿宋" w:hAnsi="仿宋" w:eastAsia="仿宋" w:cs="Times New Roman"/>
                <w:sz w:val="24"/>
                <w:szCs w:val="24"/>
              </w:rPr>
              <w:t>方案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 w:firstLine="411" w:firstLineChars="196"/>
            </w:pP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提供的总体服务方案进行评审，包括服务方案是否详细、可行、合理等。</w:t>
            </w:r>
            <w:r>
              <w:rPr>
                <w:rFonts w:hint="eastAsia"/>
              </w:rPr>
              <w:t xml:space="preserve"> </w:t>
            </w:r>
            <w:r>
              <w:t>优：方案详细、可行、合理，符合项目实际情况，有利于项目组织实施的，得15分；</w:t>
            </w:r>
            <w:r>
              <w:rPr>
                <w:rFonts w:hint="eastAsia"/>
              </w:rPr>
              <w:t xml:space="preserve"> </w:t>
            </w:r>
            <w:r>
              <w:t>中：方案较详细、较可行、较合理，较符合项目实际情况，较有利于项目组织实施的，得10分； 差：方案不详细、不可行、不合理，不符合项目实际情况，不利于项目组织实施的，得5分；  注：未提供相关方案的不得分。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ascii="仿宋" w:hAnsi="仿宋" w:eastAsia="仿宋" w:cs="Times New Roman"/>
                <w:sz w:val="24"/>
                <w:szCs w:val="24"/>
              </w:rPr>
              <w:t>加油站分布</w:t>
            </w: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jc w:val="left"/>
            </w:pP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提供的加油站分布</w:t>
            </w:r>
            <w:r>
              <w:rPr>
                <w:rFonts w:hint="eastAsia"/>
                <w:lang w:val="en-US" w:eastAsia="zh-CN"/>
              </w:rPr>
              <w:t>情况</w:t>
            </w:r>
            <w:r>
              <w:t>进行评审，加油点数量、地理位置分布合理及服务便捷度等。   优：</w:t>
            </w:r>
            <w:r>
              <w:rPr>
                <w:rFonts w:hint="eastAsia"/>
                <w:lang w:val="en-US" w:eastAsia="zh-CN"/>
              </w:rPr>
              <w:t>江门市蓬江区、江海区两区</w:t>
            </w:r>
            <w:r>
              <w:t>加油点</w:t>
            </w:r>
            <w:r>
              <w:rPr>
                <w:rFonts w:hint="eastAsia"/>
                <w:lang w:val="en-US" w:eastAsia="zh-CN"/>
              </w:rPr>
              <w:t>合计</w:t>
            </w:r>
            <w:r>
              <w:t>数量达15个以上得15分；   中：</w:t>
            </w:r>
            <w:r>
              <w:rPr>
                <w:rFonts w:hint="eastAsia"/>
                <w:lang w:val="en-US" w:eastAsia="zh-CN"/>
              </w:rPr>
              <w:t>江门市蓬江区、江海区两区</w:t>
            </w:r>
            <w:r>
              <w:t>加油点</w:t>
            </w:r>
            <w:r>
              <w:rPr>
                <w:rFonts w:hint="eastAsia"/>
                <w:lang w:val="en-US" w:eastAsia="zh-CN"/>
              </w:rPr>
              <w:t>合计</w:t>
            </w:r>
            <w:r>
              <w:t>数量为10～14个得10分；   差：</w:t>
            </w:r>
            <w:r>
              <w:rPr>
                <w:rFonts w:hint="eastAsia"/>
                <w:lang w:val="en-US" w:eastAsia="zh-CN"/>
              </w:rPr>
              <w:t>江门市蓬江区、江海区两区</w:t>
            </w:r>
            <w:r>
              <w:t>加油点</w:t>
            </w:r>
            <w:r>
              <w:rPr>
                <w:rFonts w:hint="eastAsia"/>
                <w:lang w:val="en-US" w:eastAsia="zh-CN"/>
              </w:rPr>
              <w:t>合计</w:t>
            </w:r>
            <w:r>
              <w:t>加油点数量为5～9个得5分；   注：未提供相关</w:t>
            </w:r>
            <w:r>
              <w:rPr>
                <w:rFonts w:hint="eastAsia"/>
                <w:lang w:val="en-US" w:eastAsia="zh-CN"/>
              </w:rPr>
              <w:t>加油站情况</w:t>
            </w:r>
            <w:r>
              <w:t>或不足5个的不得分。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Style w:val="9"/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</w:rPr>
              <w:t>加油卡管理措施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 w:firstLine="420" w:firstLineChars="200"/>
            </w:pPr>
            <w:r>
              <w:rPr>
                <w:rFonts w:hint="eastAsia"/>
              </w:rPr>
              <w:t>1.</w:t>
            </w:r>
            <w:r>
              <w:t>根据</w:t>
            </w:r>
            <w:r>
              <w:rPr>
                <w:rFonts w:hint="eastAsia"/>
              </w:rPr>
              <w:t>供应商</w:t>
            </w:r>
            <w:r>
              <w:t>提供的加油卡管理措施进行评审，包括管理措施是否详细、可行、合理等。优：措施详细、可行、合理，满足项目需要，有利于项目组织实施的，得</w:t>
            </w:r>
            <w:r>
              <w:rPr>
                <w:rFonts w:hint="eastAsia"/>
              </w:rPr>
              <w:t>20</w:t>
            </w:r>
            <w:r>
              <w:t>分；中：措施较详细、较可行、较合理，较满足项目需要，较有利于项目组织实施的，得</w:t>
            </w:r>
            <w:r>
              <w:rPr>
                <w:rFonts w:hint="eastAsia"/>
              </w:rPr>
              <w:t>15</w:t>
            </w:r>
            <w:r>
              <w:t>分；   差：措施不详细、不可行、不合理 ，不满足项目需要，不利于项目组织实施的，得</w:t>
            </w:r>
            <w:r>
              <w:rPr>
                <w:rFonts w:hint="eastAsia"/>
              </w:rPr>
              <w:t>10</w:t>
            </w:r>
            <w:r>
              <w:t>分；   注：</w:t>
            </w:r>
            <w:r>
              <w:rPr>
                <w:rFonts w:hint="eastAsia"/>
              </w:rPr>
              <w:t>1.</w:t>
            </w:r>
            <w:r>
              <w:t>未提供相关措施的不得分</w:t>
            </w:r>
          </w:p>
          <w:p>
            <w:pPr>
              <w:widowControl/>
              <w:spacing w:line="360" w:lineRule="exact"/>
              <w:ind w:right="108" w:firstLine="42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2.能在广东省公务车管理平台获取加油</w:t>
            </w:r>
            <w:r>
              <w:rPr>
                <w:rFonts w:hint="eastAsia"/>
                <w:lang w:val="en-US" w:eastAsia="zh-CN"/>
              </w:rPr>
              <w:t>数</w:t>
            </w:r>
            <w:r>
              <w:rPr>
                <w:rFonts w:hint="eastAsia"/>
              </w:rPr>
              <w:t>据的加5分。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Style w:val="9"/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</w:rPr>
              <w:t>安全保障措施及应急方案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 w:firstLine="420" w:firstLineChars="200"/>
            </w:pPr>
            <w:r>
              <w:rPr>
                <w:rFonts w:hint="eastAsia"/>
              </w:rPr>
              <w:t>1.</w:t>
            </w:r>
            <w:r>
              <w:t>根据投标人提供的安全保障措施是否详细、具体、可行，配套设施符合国家有关要求的证明文件，属于委托营运的，能否提供双方的合作协议等进行评审。   优：安全保障措施详细、具体、可行，配套设施符合国家有关要求的证明文件的，得10分；   中：安全保障措施较详细、较具体、较可行，配套设施符合国家有关要求的证明文件的，得6分；   差：安全保障措施较差，配套设施未能符合国家有关要求的证明文件的，得3分；   注：未提供安全保障措施的不得分。</w:t>
            </w:r>
          </w:p>
          <w:p>
            <w:pPr>
              <w:widowControl/>
              <w:spacing w:line="360" w:lineRule="exact"/>
              <w:ind w:right="108" w:firstLine="420" w:firstLineChars="200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2.</w:t>
            </w:r>
            <w:r>
              <w:t>根据投标人提供的应急方案内容 (采购人紧急任务、不可抗力事件、加油故障或其他可能预测事件的处理等) 是否全面，应对措施是否安全可行进行评审。   优：应急方案考虑周全，贴合实际，应对措施合理，得10分；  中：应急方案考虑欠缺，较贴合实际，应对措施一般，得6分；   差：应急 方案考虑欠缺，无法贴合实际，应对措施不合理，得3分；   注：未提供应急方案的不得分。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Style w:val="9"/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</w:rPr>
              <w:t>报价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</w:pPr>
            <w:r>
              <w:rPr>
                <w:rFonts w:hint="eastAsia"/>
              </w:rPr>
              <w:t>成品油油价由发改委根据近期国际市场油价变化情况，结合国内成品油价格形成机制，定期调整。在挂牌价的基础优惠0.15-0.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5元/升的得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分；优惠0.</w:t>
            </w:r>
            <w:r>
              <w:rPr>
                <w:rFonts w:hint="eastAsia"/>
                <w:lang w:val="en-US" w:eastAsia="zh-CN"/>
              </w:rPr>
              <w:t>36</w:t>
            </w:r>
            <w:r>
              <w:rPr>
                <w:rFonts w:hint="eastAsia"/>
              </w:rPr>
              <w:t>-0.65元/升的得1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/>
              </w:rPr>
              <w:t>分；优惠0.6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元/上以上的得15分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67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08"/>
              <w:jc w:val="center"/>
              <w:rPr>
                <w:rStyle w:val="9"/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Times New Roman"/>
                <w:sz w:val="24"/>
                <w:szCs w:val="24"/>
              </w:rPr>
              <w:t>项目业绩</w:t>
            </w:r>
          </w:p>
        </w:tc>
        <w:tc>
          <w:tcPr>
            <w:tcW w:w="6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</w:pPr>
            <w:r>
              <w:rPr>
                <w:rFonts w:hint="eastAsia"/>
              </w:rPr>
              <w:t>供应商</w:t>
            </w:r>
            <w:r>
              <w:t>自2019年1月1日以来 (以合同签订日期为准) 至今承担或完成同类项目业绩情况，每提供一个业绩得2分，同一项目不得重复计分， 本项最高得10分。需提供项目合同关键页复印件并加盖投标人单位公章，未提供相应评分项不得分。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right="110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56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62104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ODdiMDBmZTA2YTRlYzkwYmIyM2MyYTRiNzkwZDQifQ=="/>
  </w:docVars>
  <w:rsids>
    <w:rsidRoot w:val="192F1C53"/>
    <w:rsid w:val="00027A97"/>
    <w:rsid w:val="0003446D"/>
    <w:rsid w:val="000A39DD"/>
    <w:rsid w:val="000E2E33"/>
    <w:rsid w:val="000E4B69"/>
    <w:rsid w:val="000F72EC"/>
    <w:rsid w:val="0011333C"/>
    <w:rsid w:val="00114905"/>
    <w:rsid w:val="001C00E7"/>
    <w:rsid w:val="001D7913"/>
    <w:rsid w:val="002159E3"/>
    <w:rsid w:val="00253497"/>
    <w:rsid w:val="002F2FAE"/>
    <w:rsid w:val="0035071A"/>
    <w:rsid w:val="00355E70"/>
    <w:rsid w:val="0036726B"/>
    <w:rsid w:val="003C2D17"/>
    <w:rsid w:val="00444802"/>
    <w:rsid w:val="00452A5E"/>
    <w:rsid w:val="00516F57"/>
    <w:rsid w:val="00531394"/>
    <w:rsid w:val="005C24A7"/>
    <w:rsid w:val="005F6C58"/>
    <w:rsid w:val="006011E3"/>
    <w:rsid w:val="006B210B"/>
    <w:rsid w:val="00715E72"/>
    <w:rsid w:val="007448B4"/>
    <w:rsid w:val="00747AAF"/>
    <w:rsid w:val="00760CDA"/>
    <w:rsid w:val="00777AAB"/>
    <w:rsid w:val="0078481B"/>
    <w:rsid w:val="007D2AFE"/>
    <w:rsid w:val="007F142F"/>
    <w:rsid w:val="0083215C"/>
    <w:rsid w:val="00863270"/>
    <w:rsid w:val="008B7D05"/>
    <w:rsid w:val="008C75BA"/>
    <w:rsid w:val="008F49A7"/>
    <w:rsid w:val="009307A7"/>
    <w:rsid w:val="00955CC6"/>
    <w:rsid w:val="00983B5C"/>
    <w:rsid w:val="009D4687"/>
    <w:rsid w:val="00A93BDA"/>
    <w:rsid w:val="00AD3527"/>
    <w:rsid w:val="00B24BB7"/>
    <w:rsid w:val="00BA1A5A"/>
    <w:rsid w:val="00BB4370"/>
    <w:rsid w:val="00BF2CDA"/>
    <w:rsid w:val="00C57C85"/>
    <w:rsid w:val="00D27F30"/>
    <w:rsid w:val="00D91FAF"/>
    <w:rsid w:val="00F32136"/>
    <w:rsid w:val="09C4763F"/>
    <w:rsid w:val="192F1C53"/>
    <w:rsid w:val="276B739B"/>
    <w:rsid w:val="31A830A5"/>
    <w:rsid w:val="57E984DE"/>
    <w:rsid w:val="5B761EF1"/>
    <w:rsid w:val="63BA198E"/>
    <w:rsid w:val="731C41B1"/>
    <w:rsid w:val="738251C9"/>
    <w:rsid w:val="749B21CD"/>
    <w:rsid w:val="76F870A1"/>
    <w:rsid w:val="77FE69B3"/>
    <w:rsid w:val="7B7A6232"/>
    <w:rsid w:val="7DFEC971"/>
    <w:rsid w:val="BB93DDBA"/>
    <w:rsid w:val="DAEB4CB2"/>
    <w:rsid w:val="E9FD3F82"/>
    <w:rsid w:val="EBCB8C98"/>
    <w:rsid w:val="EF6A32E7"/>
    <w:rsid w:val="F5FFDF52"/>
    <w:rsid w:val="FD4FFABE"/>
    <w:rsid w:val="FD699213"/>
    <w:rsid w:val="FEB5B2D2"/>
    <w:rsid w:val="FF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1633</Words>
  <Characters>1686</Characters>
  <Lines>13</Lines>
  <Paragraphs>3</Paragraphs>
  <TotalTime>17</TotalTime>
  <ScaleCrop>false</ScaleCrop>
  <LinksUpToDate>false</LinksUpToDate>
  <CharactersWithSpaces>1741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2024-08-08T03:41:00Z</dcterms:created>
  <dc:creator>李耀明</dc:creator>
  <cp:lastModifiedBy>CVTOUCH</cp:lastModifiedBy>
  <cp:lastPrinted>2023-11-28T01:21:00Z</cp:lastPrinted>
  <dcterms:modified xsi:type="dcterms:W3CDTF">2024-08-13T07:44:06Z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A826199E18564980A5386D3C2DCAF354</vt:lpwstr>
  </property>
</Properties>
</file>