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19" w:lineRule="auto"/>
        <w:jc w:val="both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2</w:t>
      </w:r>
    </w:p>
    <w:p>
      <w:pPr>
        <w:spacing w:before="138" w:line="219" w:lineRule="auto"/>
        <w:jc w:val="both"/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承接</w:t>
      </w:r>
      <w:r>
        <w:rPr>
          <w:rFonts w:hint="eastAsia" w:ascii="宋体" w:hAnsi="宋体" w:eastAsia="宋体" w:cs="宋体"/>
          <w:b/>
          <w:bCs/>
          <w:spacing w:val="-17"/>
          <w:sz w:val="36"/>
          <w:szCs w:val="36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企业安全生产三级标准化定级组织单位评分表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413"/>
        <w:gridCol w:w="858"/>
        <w:gridCol w:w="1680"/>
        <w:gridCol w:w="1141"/>
        <w:gridCol w:w="12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  <w:jc w:val="center"/>
        </w:trPr>
        <w:tc>
          <w:tcPr>
            <w:tcW w:w="6255" w:type="dxa"/>
            <w:gridSpan w:val="4"/>
            <w:vAlign w:val="center"/>
          </w:tcPr>
          <w:p>
            <w:pPr>
              <w:spacing w:before="101" w:line="220" w:lineRule="auto"/>
              <w:ind w:left="15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评审指标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spacing w:before="100" w:line="219" w:lineRule="auto"/>
              <w:ind w:left="6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申请单位名称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04" w:type="dxa"/>
            <w:vAlign w:val="center"/>
          </w:tcPr>
          <w:p>
            <w:pPr>
              <w:spacing w:before="94" w:line="220" w:lineRule="auto"/>
              <w:ind w:lef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vAlign w:val="center"/>
          </w:tcPr>
          <w:p>
            <w:pPr>
              <w:spacing w:before="74" w:line="220" w:lineRule="auto"/>
              <w:ind w:left="3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二级指标</w:t>
            </w:r>
          </w:p>
        </w:tc>
        <w:tc>
          <w:tcPr>
            <w:tcW w:w="858" w:type="dxa"/>
            <w:vAlign w:val="center"/>
          </w:tcPr>
          <w:p>
            <w:pPr>
              <w:spacing w:before="74" w:line="219" w:lineRule="auto"/>
              <w:ind w:left="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满分值</w:t>
            </w:r>
          </w:p>
        </w:tc>
        <w:tc>
          <w:tcPr>
            <w:tcW w:w="1680" w:type="dxa"/>
            <w:vAlign w:val="center"/>
          </w:tcPr>
          <w:p>
            <w:pPr>
              <w:spacing w:before="74" w:line="220" w:lineRule="auto"/>
              <w:ind w:left="3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7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8" w:lineRule="auto"/>
              <w:ind w:left="56" w:right="99" w:firstLine="2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一、组织机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构(任意单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项为否即视为否决条件，不得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通过评审)</w:t>
            </w:r>
          </w:p>
        </w:tc>
        <w:tc>
          <w:tcPr>
            <w:tcW w:w="2413" w:type="dxa"/>
            <w:vAlign w:val="center"/>
          </w:tcPr>
          <w:p>
            <w:pPr>
              <w:spacing w:before="76" w:line="251" w:lineRule="auto"/>
              <w:ind w:left="50" w:right="5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1.依法注册登记社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会组织</w:t>
            </w:r>
          </w:p>
        </w:tc>
        <w:tc>
          <w:tcPr>
            <w:tcW w:w="858" w:type="dxa"/>
            <w:vAlign w:val="center"/>
          </w:tcPr>
          <w:p>
            <w:pPr>
              <w:spacing w:before="15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78" w:line="222" w:lineRule="auto"/>
              <w:ind w:left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2.独立法人</w:t>
            </w:r>
          </w:p>
        </w:tc>
        <w:tc>
          <w:tcPr>
            <w:tcW w:w="858" w:type="dxa"/>
            <w:vAlign w:val="center"/>
          </w:tcPr>
          <w:p>
            <w:pPr>
              <w:spacing w:before="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176" w:line="265" w:lineRule="auto"/>
              <w:ind w:left="50" w:right="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3.法人治理结构健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全(办事机构设置)</w:t>
            </w:r>
          </w:p>
        </w:tc>
        <w:tc>
          <w:tcPr>
            <w:tcW w:w="858" w:type="dxa"/>
            <w:vAlign w:val="center"/>
          </w:tcPr>
          <w:p>
            <w:pPr>
              <w:spacing w:before="2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4.被人民法院列入失信被执行人、重大税收违法案件当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事人名单、政府采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购严重违法失信行为记录名单及相关行业3年内出现违法违规行为</w:t>
            </w:r>
          </w:p>
        </w:tc>
        <w:tc>
          <w:tcPr>
            <w:tcW w:w="858" w:type="dxa"/>
            <w:vAlign w:val="center"/>
          </w:tcPr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91" w:lineRule="auto"/>
              <w:ind w:left="56" w:right="9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二、基本条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件(任意单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项得分在起点分以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下的即视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为否决条件，不得通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7"/>
                <w:sz w:val="24"/>
                <w:szCs w:val="24"/>
              </w:rPr>
              <w:t>过评审)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8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5.管理制度健全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47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8(4分为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spacing w:before="78" w:line="263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制定内部管理制度 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50" w:line="269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制定信息公开制度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82" w:line="254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制定民主监督制度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6.财务管理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33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6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8(4分为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99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制定财务核算和资 产管理制度(4分)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76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配有专职财务人员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23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依法缴纳税收(1分 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依法缴纳社会保险 (1分)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33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7.办公条件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275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8(4分为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3" w:right="111" w:hanging="1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具有承接职能的场所(4分)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1"/>
              <w:jc w:val="center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具有承接职能的设 备(4分)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91" w:tblpY="-28"/>
        <w:tblOverlap w:val="never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798"/>
        <w:gridCol w:w="919"/>
        <w:gridCol w:w="1874"/>
        <w:gridCol w:w="1273"/>
        <w:gridCol w:w="1366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6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8.人员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 w:right="8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为起点)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配有3名以上(含3名)相关领域专职专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家(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 w:right="107" w:firstLine="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配有专职工作人员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分)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2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 w:right="130" w:firstLine="5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建有相关领域安全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生产专家库(4分)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1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2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实现行业自律管理，具有很高的社会公信度。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7"/>
                <w:sz w:val="24"/>
                <w:szCs w:val="24"/>
              </w:rPr>
              <w:t>8(5分为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起点)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61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三、实施工作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方案可行性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(3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21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11.承接工作方案可行性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12.开展工作标准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和程序及内部质量控制制度的初步方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7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4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13.可接受政府绩效评估的指标、标准和程序。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0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7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四、其他条件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分)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14.曾接受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府单位安全生产相关职能转移或购买服务的工作经验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9"/>
                <w:sz w:val="24"/>
                <w:szCs w:val="24"/>
              </w:rPr>
              <w:t>提供相关业绩证明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材料，每个业绩1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3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15.获得损赠税前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扣除资格和非营利组织免税资格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7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16.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曾获得部、省、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市等荣誉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0" w:hRule="atLeast"/>
        </w:trPr>
        <w:tc>
          <w:tcPr>
            <w:tcW w:w="12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五、报价(10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17.综合评分。取所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有报价的算术平均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值为评标基准价，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价格接近基准价优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取所有报价的算术平均值为评标基准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价，价格得分=10×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(1-丨评标基准价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格-报价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|/评标基准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价格)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7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评审时间：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EBFF87AC"/>
    <w:rsid w:val="57FD624F"/>
    <w:rsid w:val="74FF5EB4"/>
    <w:rsid w:val="7580770C"/>
    <w:rsid w:val="97FFABD0"/>
    <w:rsid w:val="CFBFC311"/>
    <w:rsid w:val="CFBFDC3C"/>
    <w:rsid w:val="D1F7757D"/>
    <w:rsid w:val="EBFF87AC"/>
    <w:rsid w:val="F76F4364"/>
    <w:rsid w:val="F7BE9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789</Characters>
  <Lines>0</Lines>
  <Paragraphs>0</Paragraphs>
  <TotalTime>0</TotalTime>
  <ScaleCrop>false</ScaleCrop>
  <LinksUpToDate>false</LinksUpToDate>
  <CharactersWithSpaces>881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2023-04-25T17:04:00Z</dcterms:created>
  <dc:creator>uos</dc:creator>
  <cp:lastModifiedBy>uos</cp:lastModifiedBy>
  <dcterms:modified xsi:type="dcterms:W3CDTF">2024-08-02T08:19:47Z</dcterms:modified>
  <dc:title>表2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4AF31C35E3B64E8ABDB2086CB7A68963</vt:lpwstr>
  </property>
</Properties>
</file>