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0A2E0">
      <w:pPr>
        <w:jc w:val="left"/>
        <w:rPr>
          <w:rFonts w:ascii="黑体" w:hAnsi="黑体" w:eastAsia="黑体" w:cs="宋体"/>
          <w:b/>
          <w:color w:val="000000"/>
          <w:sz w:val="36"/>
          <w:szCs w:val="36"/>
          <w:highlight w:val="none"/>
        </w:rPr>
      </w:pPr>
      <w:r>
        <w:rPr>
          <w:rFonts w:hint="eastAsia" w:ascii="黑体" w:hAnsi="黑体" w:eastAsia="黑体" w:cs="宋体"/>
          <w:b/>
          <w:color w:val="000000"/>
          <w:sz w:val="36"/>
          <w:szCs w:val="36"/>
          <w:highlight w:val="none"/>
        </w:rPr>
        <w:t>附件2：</w:t>
      </w:r>
    </w:p>
    <w:p w14:paraId="393B7F0C">
      <w:pPr>
        <w:jc w:val="center"/>
        <w:rPr>
          <w:rFonts w:hint="eastAsia" w:ascii="宋体" w:hAnsi="宋体" w:cs="宋体"/>
          <w:b/>
          <w:bCs/>
          <w:sz w:val="40"/>
          <w:szCs w:val="40"/>
          <w:highlight w:val="none"/>
        </w:rPr>
      </w:pPr>
      <w:r>
        <w:rPr>
          <w:rFonts w:hint="eastAsia" w:ascii="宋体" w:hAnsi="宋体" w:cs="宋体"/>
          <w:b/>
          <w:bCs/>
          <w:sz w:val="40"/>
          <w:szCs w:val="40"/>
          <w:highlight w:val="none"/>
        </w:rPr>
        <w:t xml:space="preserve">江门市现代农业综合示范基地温室大棚商业性  </w:t>
      </w:r>
    </w:p>
    <w:p w14:paraId="42EBE5F1">
      <w:pPr>
        <w:jc w:val="center"/>
        <w:rPr>
          <w:rFonts w:ascii="宋体" w:hAnsi="宋体" w:cs="宋体"/>
          <w:b/>
          <w:bCs/>
          <w:sz w:val="40"/>
          <w:szCs w:val="40"/>
          <w:highlight w:val="none"/>
        </w:rPr>
      </w:pPr>
      <w:r>
        <w:rPr>
          <w:rFonts w:hint="eastAsia" w:ascii="宋体" w:hAnsi="宋体" w:cs="宋体"/>
          <w:b/>
          <w:bCs/>
          <w:sz w:val="40"/>
          <w:szCs w:val="40"/>
          <w:highlight w:val="none"/>
        </w:rPr>
        <w:t>自然灾害保险服务采购项目评审办法</w:t>
      </w:r>
    </w:p>
    <w:p w14:paraId="03AD9BE6">
      <w:pPr>
        <w:ind w:firstLine="640" w:firstLineChars="200"/>
        <w:rPr>
          <w:rFonts w:hint="eastAsia" w:ascii="黑体" w:hAnsi="黑体" w:eastAsia="黑体" w:cs="黑体"/>
          <w:sz w:val="32"/>
          <w:szCs w:val="32"/>
          <w:highlight w:val="none"/>
        </w:rPr>
      </w:pPr>
    </w:p>
    <w:p w14:paraId="23DE0A24">
      <w:pPr>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一、项目基本情况和评审要求</w:t>
      </w:r>
    </w:p>
    <w:p w14:paraId="50EBDD89">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竞争性磋商采购评审小组由5人组成（我中心1人、邀请律师、保险行业人员各1人，专家库抽选会计、农业专家各1人）。</w:t>
      </w:r>
    </w:p>
    <w:p w14:paraId="4A8770AC">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本次采购提交响应文件并符合资格条件的供应商须不少于三家，否则需重新挂网和重新邀请。评审小组对供应商提交的响应文件进行公开唱标(评审过程中只有两家符合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条件的可以继续进行)，给予不少二次的报价，通过综合评分标准评审，评审小组出具评审报告，报分管局领导确认，综合评分最高的成为成交供应商，由我中心书面通知供应商。</w:t>
      </w:r>
    </w:p>
    <w:p w14:paraId="1DE24A3E">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w:t>
      </w:r>
      <w:r>
        <w:rPr>
          <w:rFonts w:hint="eastAsia" w:ascii="仿宋" w:hAnsi="仿宋" w:eastAsia="仿宋" w:cs="仿宋"/>
          <w:sz w:val="32"/>
          <w:szCs w:val="32"/>
          <w:highlight w:val="none"/>
        </w:rPr>
        <w:t>一</w:t>
      </w:r>
      <w:r>
        <w:rPr>
          <w:rFonts w:ascii="仿宋" w:hAnsi="仿宋" w:eastAsia="仿宋" w:cs="仿宋"/>
          <w:sz w:val="32"/>
          <w:szCs w:val="32"/>
          <w:highlight w:val="none"/>
        </w:rPr>
        <w:t>)</w:t>
      </w:r>
      <w:r>
        <w:rPr>
          <w:rFonts w:hint="eastAsia" w:ascii="仿宋" w:hAnsi="仿宋" w:eastAsia="仿宋" w:cs="仿宋"/>
          <w:sz w:val="32"/>
          <w:szCs w:val="32"/>
          <w:highlight w:val="none"/>
        </w:rPr>
        <w:t>采购项目名称：江门市现代农业综合示范基地温室大棚商业性自然灾害保险服务</w:t>
      </w:r>
    </w:p>
    <w:p w14:paraId="047E51E0">
      <w:pPr>
        <w:ind w:firstLine="640" w:firstLineChars="200"/>
        <w:rPr>
          <w:rFonts w:ascii="仿宋" w:hAnsi="仿宋" w:eastAsia="仿宋"/>
          <w:sz w:val="32"/>
          <w:szCs w:val="32"/>
          <w:highlight w:val="none"/>
        </w:rPr>
      </w:pPr>
      <w:r>
        <w:rPr>
          <w:rFonts w:ascii="仿宋" w:hAnsi="仿宋" w:eastAsia="仿宋" w:cs="仿宋"/>
          <w:sz w:val="32"/>
          <w:szCs w:val="32"/>
          <w:highlight w:val="none"/>
        </w:rPr>
        <w:t>(</w:t>
      </w:r>
      <w:r>
        <w:rPr>
          <w:rFonts w:hint="eastAsia" w:ascii="仿宋" w:hAnsi="仿宋" w:eastAsia="仿宋" w:cs="仿宋"/>
          <w:sz w:val="32"/>
          <w:szCs w:val="32"/>
          <w:highlight w:val="none"/>
        </w:rPr>
        <w:t>二</w:t>
      </w:r>
      <w:r>
        <w:rPr>
          <w:rFonts w:ascii="仿宋" w:hAnsi="仿宋" w:eastAsia="仿宋" w:cs="仿宋"/>
          <w:sz w:val="32"/>
          <w:szCs w:val="32"/>
          <w:highlight w:val="none"/>
        </w:rPr>
        <w:t>)</w:t>
      </w:r>
      <w:r>
        <w:rPr>
          <w:rFonts w:hint="eastAsia" w:ascii="仿宋" w:hAnsi="仿宋" w:eastAsia="仿宋" w:cs="仿宋"/>
          <w:sz w:val="32"/>
          <w:szCs w:val="32"/>
          <w:highlight w:val="none"/>
        </w:rPr>
        <w:t>保险标的：</w:t>
      </w:r>
      <w:r>
        <w:rPr>
          <w:rFonts w:hint="eastAsia" w:ascii="仿宋" w:hAnsi="仿宋" w:eastAsia="仿宋" w:cs="仿宋"/>
          <w:sz w:val="32"/>
          <w:szCs w:val="32"/>
          <w:highlight w:val="none"/>
          <w:lang w:val="zh-CN"/>
        </w:rPr>
        <w:t>温室大棚</w:t>
      </w:r>
      <w:r>
        <w:rPr>
          <w:rFonts w:hint="eastAsia" w:ascii="仿宋" w:hAnsi="仿宋" w:eastAsia="仿宋" w:cs="仿宋"/>
          <w:sz w:val="32"/>
          <w:szCs w:val="32"/>
          <w:highlight w:val="none"/>
        </w:rPr>
        <w:t>共</w:t>
      </w:r>
      <w:r>
        <w:rPr>
          <w:rFonts w:hint="eastAsia" w:ascii="仿宋" w:hAnsi="仿宋" w:eastAsia="仿宋" w:cs="仿宋"/>
          <w:sz w:val="32"/>
          <w:szCs w:val="32"/>
          <w:highlight w:val="none"/>
          <w:lang w:val="zh-CN"/>
        </w:rPr>
        <w:t>2</w:t>
      </w:r>
      <w:r>
        <w:rPr>
          <w:rFonts w:hint="eastAsia" w:ascii="仿宋" w:hAnsi="仿宋" w:eastAsia="仿宋" w:cs="仿宋"/>
          <w:sz w:val="32"/>
          <w:szCs w:val="32"/>
          <w:highlight w:val="none"/>
        </w:rPr>
        <w:t>6</w:t>
      </w:r>
      <w:r>
        <w:rPr>
          <w:rFonts w:hint="eastAsia" w:ascii="仿宋" w:hAnsi="仿宋" w:eastAsia="仿宋" w:cs="仿宋"/>
          <w:sz w:val="32"/>
          <w:szCs w:val="32"/>
          <w:highlight w:val="none"/>
          <w:lang w:val="zh-CN"/>
        </w:rPr>
        <w:t>个，面积共计56734.4平方米，</w:t>
      </w:r>
      <w:r>
        <w:rPr>
          <w:rFonts w:hint="eastAsia" w:ascii="仿宋" w:hAnsi="仿宋" w:eastAsia="仿宋" w:cs="仿宋"/>
          <w:sz w:val="32"/>
          <w:szCs w:val="32"/>
          <w:highlight w:val="none"/>
        </w:rPr>
        <w:t>包括</w:t>
      </w:r>
      <w:r>
        <w:rPr>
          <w:rFonts w:hint="eastAsia" w:ascii="仿宋" w:hAnsi="仿宋" w:eastAsia="仿宋" w:cs="仿宋"/>
          <w:sz w:val="32"/>
          <w:szCs w:val="32"/>
          <w:highlight w:val="none"/>
          <w:lang w:val="zh-CN"/>
        </w:rPr>
        <w:t>大棚钢架结构、大棚</w:t>
      </w:r>
      <w:r>
        <w:rPr>
          <w:rFonts w:hint="eastAsia" w:ascii="仿宋" w:hAnsi="仿宋" w:eastAsia="仿宋" w:cs="仿宋"/>
          <w:sz w:val="32"/>
          <w:szCs w:val="32"/>
          <w:highlight w:val="none"/>
        </w:rPr>
        <w:t>覆盖材料和</w:t>
      </w:r>
      <w:r>
        <w:rPr>
          <w:rFonts w:hint="eastAsia" w:ascii="仿宋" w:hAnsi="仿宋" w:eastAsia="仿宋" w:cs="仿宋"/>
          <w:sz w:val="32"/>
          <w:szCs w:val="32"/>
          <w:highlight w:val="none"/>
          <w:lang w:val="zh-CN"/>
        </w:rPr>
        <w:t>棚内设备</w:t>
      </w:r>
      <w:r>
        <w:rPr>
          <w:rFonts w:hint="eastAsia" w:ascii="仿宋" w:hAnsi="仿宋" w:eastAsia="仿宋" w:cs="仿宋"/>
          <w:sz w:val="32"/>
          <w:szCs w:val="32"/>
          <w:highlight w:val="none"/>
        </w:rPr>
        <w:t>设施。</w:t>
      </w:r>
    </w:p>
    <w:p w14:paraId="5F645CC8">
      <w:pPr>
        <w:ind w:firstLine="640" w:firstLineChars="200"/>
        <w:rPr>
          <w:rFonts w:ascii="仿宋" w:hAnsi="仿宋" w:eastAsia="仿宋"/>
          <w:sz w:val="32"/>
          <w:szCs w:val="32"/>
          <w:highlight w:val="none"/>
        </w:rPr>
      </w:pPr>
      <w:r>
        <w:rPr>
          <w:rFonts w:ascii="仿宋" w:hAnsi="仿宋" w:eastAsia="仿宋" w:cs="仿宋"/>
          <w:sz w:val="32"/>
          <w:szCs w:val="32"/>
          <w:highlight w:val="none"/>
        </w:rPr>
        <w:t>(</w:t>
      </w:r>
      <w:r>
        <w:rPr>
          <w:rFonts w:hint="eastAsia" w:ascii="仿宋" w:hAnsi="仿宋" w:eastAsia="仿宋" w:cs="仿宋"/>
          <w:sz w:val="32"/>
          <w:szCs w:val="32"/>
          <w:highlight w:val="none"/>
        </w:rPr>
        <w:t>三</w:t>
      </w:r>
      <w:r>
        <w:rPr>
          <w:rFonts w:ascii="仿宋" w:hAnsi="仿宋" w:eastAsia="仿宋" w:cs="仿宋"/>
          <w:sz w:val="32"/>
          <w:szCs w:val="32"/>
          <w:highlight w:val="none"/>
        </w:rPr>
        <w:t>)</w:t>
      </w:r>
      <w:r>
        <w:rPr>
          <w:rFonts w:hint="eastAsia" w:ascii="仿宋" w:hAnsi="仿宋" w:eastAsia="仿宋" w:cs="仿宋"/>
          <w:sz w:val="32"/>
          <w:szCs w:val="32"/>
          <w:highlight w:val="none"/>
        </w:rPr>
        <w:t>采购方式：自行采购中的“竞争性磋商”方式。</w:t>
      </w:r>
    </w:p>
    <w:p w14:paraId="0623F9EA">
      <w:pPr>
        <w:ind w:firstLine="640" w:firstLineChars="20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(四)最高预算限额为</w:t>
      </w:r>
      <w:r>
        <w:rPr>
          <w:rFonts w:hint="eastAsia" w:ascii="仿宋" w:hAnsi="仿宋" w:eastAsia="仿宋" w:cs="仿宋"/>
          <w:sz w:val="32"/>
          <w:szCs w:val="32"/>
          <w:highlight w:val="none"/>
          <w:lang w:val="en-US" w:eastAsia="zh-CN"/>
        </w:rPr>
        <w:t>人民币</w:t>
      </w:r>
      <w:r>
        <w:rPr>
          <w:rFonts w:hint="eastAsia" w:ascii="仿宋" w:hAnsi="仿宋" w:eastAsia="仿宋" w:cs="仿宋"/>
          <w:sz w:val="32"/>
          <w:szCs w:val="32"/>
          <w:highlight w:val="none"/>
          <w:lang w:val="zh-CN"/>
        </w:rPr>
        <w:t>92万元。</w:t>
      </w:r>
    </w:p>
    <w:p w14:paraId="413CB57F">
      <w:pPr>
        <w:ind w:firstLine="640" w:firstLineChars="20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(五)</w:t>
      </w:r>
      <w:r>
        <w:rPr>
          <w:rFonts w:hint="eastAsia" w:ascii="仿宋" w:hAnsi="仿宋" w:eastAsia="仿宋" w:cs="仿宋"/>
          <w:sz w:val="32"/>
          <w:szCs w:val="32"/>
          <w:highlight w:val="none"/>
          <w:lang w:val="en-US" w:eastAsia="zh-CN"/>
        </w:rPr>
        <w:t>合同服务期</w:t>
      </w:r>
      <w:r>
        <w:rPr>
          <w:rFonts w:hint="eastAsia" w:ascii="仿宋" w:hAnsi="仿宋" w:eastAsia="仿宋" w:cs="仿宋"/>
          <w:sz w:val="32"/>
          <w:szCs w:val="32"/>
          <w:highlight w:val="none"/>
          <w:lang w:val="zh-CN"/>
        </w:rPr>
        <w:t>为2年，自2024年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lang w:val="zh-CN"/>
        </w:rPr>
        <w:t>月</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val="zh-CN"/>
        </w:rPr>
        <w:t>日至2026年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lang w:val="zh-CN"/>
        </w:rPr>
        <w:t>月</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val="zh-CN"/>
        </w:rPr>
        <w:t>日。</w:t>
      </w:r>
    </w:p>
    <w:p w14:paraId="434F36AD">
      <w:pPr>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二、发布采购公告</w:t>
      </w:r>
    </w:p>
    <w:p w14:paraId="4EA89BD7">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竞争性磋商采购公告需在江门市人民政府门户网站江门市农业农村局信息网上公布不少于</w:t>
      </w:r>
      <w:r>
        <w:rPr>
          <w:rFonts w:ascii="仿宋" w:hAnsi="仿宋" w:eastAsia="仿宋" w:cs="仿宋"/>
          <w:sz w:val="32"/>
          <w:szCs w:val="32"/>
          <w:highlight w:val="none"/>
        </w:rPr>
        <w:t>3</w:t>
      </w:r>
      <w:r>
        <w:rPr>
          <w:rFonts w:hint="eastAsia" w:ascii="仿宋" w:hAnsi="仿宋" w:eastAsia="仿宋" w:cs="仿宋"/>
          <w:sz w:val="32"/>
          <w:szCs w:val="32"/>
          <w:highlight w:val="none"/>
        </w:rPr>
        <w:t>个工作日。</w:t>
      </w:r>
    </w:p>
    <w:p w14:paraId="31025F42">
      <w:pPr>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三、评审程序及标准</w:t>
      </w:r>
    </w:p>
    <w:p w14:paraId="341E905F">
      <w:pPr>
        <w:spacing w:line="360" w:lineRule="auto"/>
        <w:ind w:firstLine="640" w:firstLineChars="200"/>
        <w:outlineLvl w:val="2"/>
        <w:rPr>
          <w:rFonts w:ascii="仿宋" w:hAnsi="仿宋" w:eastAsia="仿宋"/>
          <w:sz w:val="32"/>
          <w:szCs w:val="32"/>
          <w:highlight w:val="none"/>
        </w:rPr>
      </w:pPr>
      <w:r>
        <w:rPr>
          <w:rFonts w:hint="eastAsia" w:ascii="仿宋" w:hAnsi="仿宋" w:eastAsia="仿宋" w:cs="仿宋"/>
          <w:sz w:val="32"/>
          <w:szCs w:val="32"/>
          <w:highlight w:val="none"/>
        </w:rPr>
        <w:t>评审小组按“资质性评审”、“特定承保要求评审”、“技术、商务、价格磋商”和“综合评分”进行项目评审。</w:t>
      </w:r>
    </w:p>
    <w:p w14:paraId="6D29FB45">
      <w:pPr>
        <w:pStyle w:val="6"/>
        <w:widowControl/>
        <w:spacing w:beforeAutospacing="0" w:afterAutospacing="0" w:line="600" w:lineRule="atLeast"/>
        <w:ind w:left="640"/>
        <w:jc w:val="both"/>
        <w:rPr>
          <w:rFonts w:ascii="楷体" w:hAnsi="楷体" w:eastAsia="楷体"/>
          <w:b/>
          <w:bCs/>
          <w:kern w:val="2"/>
          <w:sz w:val="32"/>
          <w:szCs w:val="32"/>
          <w:highlight w:val="none"/>
        </w:rPr>
      </w:pPr>
      <w:r>
        <w:rPr>
          <w:rFonts w:hint="eastAsia" w:ascii="楷体" w:hAnsi="楷体" w:eastAsia="楷体" w:cs="楷体"/>
          <w:b/>
          <w:bCs/>
          <w:kern w:val="2"/>
          <w:sz w:val="32"/>
          <w:szCs w:val="32"/>
          <w:highlight w:val="none"/>
        </w:rPr>
        <w:t>（一）资质性评审</w:t>
      </w:r>
    </w:p>
    <w:p w14:paraId="6EC4FF3D">
      <w:pPr>
        <w:spacing w:line="360" w:lineRule="auto"/>
        <w:ind w:firstLine="640" w:firstLineChars="200"/>
        <w:outlineLvl w:val="2"/>
        <w:rPr>
          <w:rFonts w:ascii="仿宋" w:hAnsi="仿宋" w:eastAsia="仿宋"/>
          <w:sz w:val="32"/>
          <w:szCs w:val="32"/>
          <w:highlight w:val="none"/>
        </w:rPr>
      </w:pPr>
      <w:r>
        <w:rPr>
          <w:rFonts w:hint="eastAsia" w:ascii="仿宋" w:hAnsi="仿宋" w:eastAsia="仿宋" w:cs="仿宋"/>
          <w:sz w:val="32"/>
          <w:szCs w:val="32"/>
          <w:highlight w:val="none"/>
        </w:rPr>
        <w:t>单项响应标志为“√”，不响应标志为“×”。有一个单项不响应，不能进入特定承保要求评审阶段。</w:t>
      </w:r>
    </w:p>
    <w:p w14:paraId="4B43894A">
      <w:pPr>
        <w:ind w:firstLine="640" w:firstLineChars="200"/>
        <w:rPr>
          <w:rFonts w:ascii="仿宋" w:hAnsi="仿宋" w:eastAsia="仿宋"/>
          <w:b/>
          <w:bCs/>
          <w:kern w:val="0"/>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rPr>
        <w:t>、供应商具有有效的营业执照，在中华人民共和国境内依法注册、经过中国保险监督管理委员会批准，具有保监会核发的中华人民共和国经营保险业务许可证的市级及以上保险公司（分公司等）。</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39D5DF98">
      <w:pPr>
        <w:ind w:firstLine="640" w:firstLineChars="200"/>
        <w:rPr>
          <w:rFonts w:ascii="仿宋" w:hAnsi="仿宋" w:eastAsia="仿宋"/>
          <w:b/>
          <w:bCs/>
          <w:kern w:val="0"/>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rPr>
        <w:t>、参加政府采购活动前三年内，在经营活动中没有重大违法记录。</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6F24281E">
      <w:pPr>
        <w:ind w:firstLine="640" w:firstLineChars="200"/>
        <w:rPr>
          <w:rFonts w:ascii="仿宋" w:hAnsi="仿宋" w:eastAsia="仿宋"/>
          <w:b/>
          <w:bCs/>
          <w:kern w:val="0"/>
          <w:sz w:val="32"/>
          <w:szCs w:val="32"/>
          <w:highlight w:val="none"/>
        </w:rPr>
      </w:pPr>
      <w:r>
        <w:rPr>
          <w:rFonts w:ascii="仿宋" w:hAnsi="仿宋" w:eastAsia="仿宋" w:cs="仿宋"/>
          <w:sz w:val="32"/>
          <w:szCs w:val="32"/>
          <w:highlight w:val="none"/>
        </w:rPr>
        <w:t>3</w:t>
      </w:r>
      <w:r>
        <w:rPr>
          <w:rFonts w:hint="eastAsia" w:ascii="仿宋" w:hAnsi="仿宋" w:eastAsia="仿宋" w:cs="仿宋"/>
          <w:sz w:val="32"/>
          <w:szCs w:val="32"/>
          <w:highlight w:val="none"/>
        </w:rPr>
        <w:t>、供应商投标报价不能高于预算限额，报价如超出预算金额为无效报价。</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1ABE89CF">
      <w:pPr>
        <w:ind w:firstLine="640" w:firstLineChars="200"/>
        <w:rPr>
          <w:rFonts w:ascii="仿宋" w:hAnsi="仿宋" w:eastAsia="仿宋"/>
          <w:b/>
          <w:bCs/>
          <w:kern w:val="0"/>
          <w:sz w:val="32"/>
          <w:szCs w:val="32"/>
          <w:highlight w:val="none"/>
        </w:rPr>
      </w:pPr>
      <w:r>
        <w:rPr>
          <w:rFonts w:ascii="仿宋" w:hAnsi="仿宋" w:eastAsia="仿宋" w:cs="仿宋"/>
          <w:sz w:val="32"/>
          <w:szCs w:val="32"/>
          <w:highlight w:val="none"/>
        </w:rPr>
        <w:t>4</w:t>
      </w:r>
      <w:r>
        <w:rPr>
          <w:rFonts w:hint="eastAsia" w:ascii="仿宋" w:hAnsi="仿宋" w:eastAsia="仿宋" w:cs="仿宋"/>
          <w:sz w:val="32"/>
          <w:szCs w:val="32"/>
          <w:highlight w:val="none"/>
        </w:rPr>
        <w:t>、授权、签名、盖章符合相关规定。</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1E488FF2">
      <w:pPr>
        <w:ind w:firstLine="640" w:firstLineChars="200"/>
        <w:rPr>
          <w:rFonts w:ascii="楷体" w:hAnsi="楷体" w:eastAsia="楷体" w:cs="楷体"/>
          <w:b/>
          <w:bCs/>
          <w:sz w:val="32"/>
          <w:szCs w:val="32"/>
          <w:highlight w:val="none"/>
        </w:rPr>
      </w:pPr>
      <w:r>
        <w:rPr>
          <w:rFonts w:ascii="仿宋" w:hAnsi="仿宋" w:eastAsia="仿宋" w:cs="仿宋"/>
          <w:sz w:val="32"/>
          <w:szCs w:val="32"/>
          <w:highlight w:val="none"/>
        </w:rPr>
        <w:t>5</w:t>
      </w:r>
      <w:r>
        <w:rPr>
          <w:rFonts w:hint="eastAsia" w:ascii="仿宋" w:hAnsi="仿宋" w:eastAsia="仿宋" w:cs="仿宋"/>
          <w:sz w:val="32"/>
          <w:szCs w:val="32"/>
          <w:highlight w:val="none"/>
        </w:rPr>
        <w:t>、本项目不接受联合体投标。</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206D0716">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6、供应商（非广东省内注册的）应当在广东省内设有固定的售后服务机构（可正式注册或委托形式，必须提供相关证明材料）。</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56386B9A">
      <w:pPr>
        <w:spacing w:line="360" w:lineRule="auto"/>
        <w:ind w:firstLine="643" w:firstLineChars="200"/>
        <w:outlineLvl w:val="2"/>
        <w:rPr>
          <w:rFonts w:ascii="楷体" w:hAnsi="楷体" w:eastAsia="楷体" w:cs="楷体"/>
          <w:b/>
          <w:bCs/>
          <w:sz w:val="32"/>
          <w:szCs w:val="32"/>
          <w:highlight w:val="none"/>
        </w:rPr>
      </w:pPr>
      <w:r>
        <w:rPr>
          <w:rFonts w:hint="eastAsia" w:ascii="楷体" w:hAnsi="楷体" w:eastAsia="楷体" w:cs="楷体"/>
          <w:b/>
          <w:bCs/>
          <w:sz w:val="32"/>
          <w:szCs w:val="32"/>
          <w:highlight w:val="none"/>
        </w:rPr>
        <w:t>（二）特定承保要求评审</w:t>
      </w:r>
    </w:p>
    <w:p w14:paraId="2BEE8EB4">
      <w:pPr>
        <w:spacing w:line="360" w:lineRule="auto"/>
        <w:ind w:firstLine="640" w:firstLineChars="200"/>
        <w:outlineLvl w:val="2"/>
        <w:rPr>
          <w:rFonts w:ascii="仿宋" w:hAnsi="仿宋" w:eastAsia="仿宋"/>
          <w:sz w:val="32"/>
          <w:szCs w:val="32"/>
          <w:highlight w:val="none"/>
        </w:rPr>
      </w:pPr>
      <w:r>
        <w:rPr>
          <w:rFonts w:hint="eastAsia" w:ascii="仿宋" w:hAnsi="仿宋" w:eastAsia="仿宋" w:cs="仿宋"/>
          <w:sz w:val="32"/>
          <w:szCs w:val="32"/>
          <w:highlight w:val="none"/>
        </w:rPr>
        <w:t>单项响应标志为“√”，不响应标志为“×”。有一个单项不响应，或采购磋商不能达成共识的不能进入商务综合评审阶段。</w:t>
      </w:r>
    </w:p>
    <w:p w14:paraId="3366E92A">
      <w:pPr>
        <w:numPr>
          <w:ilvl w:val="0"/>
          <w:numId w:val="1"/>
        </w:numPr>
        <w:spacing w:line="360" w:lineRule="auto"/>
        <w:ind w:firstLine="640" w:firstLineChars="200"/>
        <w:outlineLvl w:val="2"/>
        <w:rPr>
          <w:rFonts w:ascii="仿宋" w:hAnsi="仿宋" w:eastAsia="仿宋" w:cs="仿宋"/>
          <w:b/>
          <w:bCs/>
          <w:sz w:val="32"/>
          <w:szCs w:val="32"/>
          <w:highlight w:val="none"/>
        </w:rPr>
      </w:pPr>
      <w:r>
        <w:rPr>
          <w:rFonts w:hint="eastAsia" w:ascii="仿宋" w:hAnsi="仿宋" w:eastAsia="仿宋" w:cs="仿宋"/>
          <w:sz w:val="32"/>
          <w:szCs w:val="32"/>
          <w:highlight w:val="none"/>
        </w:rPr>
        <w:t>保险标的面积共计</w:t>
      </w:r>
      <w:r>
        <w:rPr>
          <w:rFonts w:hint="eastAsia" w:ascii="宋体" w:hAnsi="宋体" w:cs="宋体"/>
          <w:color w:val="000000"/>
          <w:sz w:val="32"/>
          <w:szCs w:val="32"/>
          <w:highlight w:val="none"/>
        </w:rPr>
        <w:t>56734.4</w:t>
      </w:r>
      <w:r>
        <w:rPr>
          <w:rFonts w:hint="eastAsia" w:ascii="仿宋" w:hAnsi="仿宋" w:eastAsia="仿宋" w:cs="仿宋"/>
          <w:sz w:val="32"/>
          <w:szCs w:val="32"/>
          <w:highlight w:val="none"/>
        </w:rPr>
        <w:t>平方米，总造价1911.245万元（详见附件）。保险标的保额不得低于</w:t>
      </w:r>
      <w:r>
        <w:rPr>
          <w:rFonts w:ascii="仿宋" w:hAnsi="仿宋" w:eastAsia="仿宋" w:cs="仿宋"/>
          <w:sz w:val="32"/>
          <w:szCs w:val="32"/>
          <w:highlight w:val="none"/>
        </w:rPr>
        <w:t xml:space="preserve"> </w:t>
      </w:r>
      <w:r>
        <w:rPr>
          <w:rFonts w:hint="eastAsia" w:ascii="仿宋" w:hAnsi="仿宋" w:eastAsia="仿宋" w:cs="仿宋"/>
          <w:sz w:val="32"/>
          <w:szCs w:val="32"/>
          <w:highlight w:val="none"/>
        </w:rPr>
        <w:t>1495.516万元。</w:t>
      </w:r>
      <w:r>
        <w:rPr>
          <w:rFonts w:hint="eastAsia" w:ascii="楷体" w:hAnsi="楷体" w:eastAsia="楷体" w:cs="楷体"/>
          <w:b/>
          <w:bCs/>
          <w:sz w:val="32"/>
          <w:szCs w:val="32"/>
          <w:highlight w:val="none"/>
        </w:rPr>
        <w:t>（ ）</w:t>
      </w:r>
    </w:p>
    <w:p w14:paraId="68F8E5F8">
      <w:pPr>
        <w:numPr>
          <w:ilvl w:val="0"/>
          <w:numId w:val="1"/>
        </w:num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合同</w:t>
      </w:r>
      <w:r>
        <w:rPr>
          <w:rFonts w:hint="eastAsia" w:ascii="仿宋" w:hAnsi="仿宋" w:eastAsia="仿宋" w:cs="仿宋"/>
          <w:sz w:val="32"/>
          <w:szCs w:val="32"/>
          <w:highlight w:val="none"/>
          <w:lang w:val="en-US" w:eastAsia="zh-CN"/>
        </w:rPr>
        <w:t>服务</w:t>
      </w:r>
      <w:r>
        <w:rPr>
          <w:rFonts w:hint="eastAsia" w:ascii="仿宋" w:hAnsi="仿宋" w:eastAsia="仿宋" w:cs="仿宋"/>
          <w:sz w:val="32"/>
          <w:szCs w:val="32"/>
          <w:highlight w:val="none"/>
        </w:rPr>
        <w:t>期为2年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假若26个大棚中有受灾受损未重建重置好的，此类大棚不在第二年投保范围内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保险公司需按照第二年实际投保情况减少标的数量和保额，确保保单费率保持一致。</w:t>
      </w:r>
      <w:r>
        <w:rPr>
          <w:rFonts w:hint="eastAsia" w:ascii="楷体" w:hAnsi="楷体" w:eastAsia="楷体" w:cs="楷体"/>
          <w:b/>
          <w:bCs/>
          <w:sz w:val="32"/>
          <w:szCs w:val="32"/>
          <w:highlight w:val="none"/>
        </w:rPr>
        <w:t>（ ）</w:t>
      </w:r>
    </w:p>
    <w:p w14:paraId="36AD4AC5">
      <w:pPr>
        <w:numPr>
          <w:ilvl w:val="0"/>
          <w:numId w:val="1"/>
        </w:num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保险标的分为棚架、覆盖材料（薄膜、玻璃等）、棚内设备设施。理赔标准</w:t>
      </w:r>
      <w:r>
        <w:rPr>
          <w:rFonts w:hint="eastAsia" w:ascii="仿宋" w:hAnsi="仿宋" w:eastAsia="仿宋" w:cs="仿宋"/>
          <w:sz w:val="32"/>
          <w:szCs w:val="32"/>
          <w:highlight w:val="none"/>
          <w:lang w:val="en-US" w:eastAsia="zh-CN"/>
        </w:rPr>
        <w:t>要求</w:t>
      </w:r>
      <w:r>
        <w:rPr>
          <w:rFonts w:hint="eastAsia" w:ascii="仿宋" w:hAnsi="仿宋" w:eastAsia="仿宋" w:cs="仿宋"/>
          <w:sz w:val="32"/>
          <w:szCs w:val="32"/>
          <w:highlight w:val="none"/>
        </w:rPr>
        <w:t>棚架不得低于</w:t>
      </w:r>
      <w:r>
        <w:rPr>
          <w:rFonts w:ascii="仿宋" w:hAnsi="仿宋" w:eastAsia="仿宋" w:cs="仿宋"/>
          <w:sz w:val="32"/>
          <w:szCs w:val="32"/>
          <w:highlight w:val="none"/>
        </w:rPr>
        <w:t>170</w:t>
      </w:r>
      <w:r>
        <w:rPr>
          <w:rFonts w:hint="eastAsia" w:ascii="仿宋" w:hAnsi="仿宋" w:eastAsia="仿宋" w:cs="仿宋"/>
          <w:sz w:val="32"/>
          <w:szCs w:val="32"/>
          <w:highlight w:val="none"/>
        </w:rPr>
        <w:t>元</w:t>
      </w:r>
      <w:r>
        <w:rPr>
          <w:rFonts w:ascii="仿宋" w:hAnsi="仿宋" w:eastAsia="仿宋" w:cs="仿宋"/>
          <w:sz w:val="32"/>
          <w:szCs w:val="32"/>
          <w:highlight w:val="none"/>
        </w:rPr>
        <w:t>/</w:t>
      </w:r>
      <w:r>
        <w:rPr>
          <w:rFonts w:hint="eastAsia" w:ascii="仿宋" w:hAnsi="仿宋" w:eastAsia="仿宋" w:cs="仿宋"/>
          <w:sz w:val="32"/>
          <w:szCs w:val="32"/>
          <w:highlight w:val="none"/>
        </w:rPr>
        <w:t>平方米，棚膜不得低于</w:t>
      </w:r>
      <w:r>
        <w:rPr>
          <w:rFonts w:ascii="仿宋" w:hAnsi="仿宋" w:eastAsia="仿宋" w:cs="仿宋"/>
          <w:sz w:val="32"/>
          <w:szCs w:val="32"/>
          <w:highlight w:val="none"/>
        </w:rPr>
        <w:t>80</w:t>
      </w:r>
      <w:r>
        <w:rPr>
          <w:rFonts w:hint="eastAsia" w:ascii="仿宋" w:hAnsi="仿宋" w:eastAsia="仿宋" w:cs="仿宋"/>
          <w:sz w:val="32"/>
          <w:szCs w:val="32"/>
          <w:highlight w:val="none"/>
        </w:rPr>
        <w:t>元</w:t>
      </w:r>
      <w:r>
        <w:rPr>
          <w:rFonts w:ascii="仿宋" w:hAnsi="仿宋" w:eastAsia="仿宋" w:cs="仿宋"/>
          <w:sz w:val="32"/>
          <w:szCs w:val="32"/>
          <w:highlight w:val="none"/>
        </w:rPr>
        <w:t>/</w:t>
      </w:r>
      <w:r>
        <w:rPr>
          <w:rFonts w:hint="eastAsia" w:ascii="仿宋" w:hAnsi="仿宋" w:eastAsia="仿宋" w:cs="仿宋"/>
          <w:sz w:val="32"/>
          <w:szCs w:val="32"/>
          <w:highlight w:val="none"/>
        </w:rPr>
        <w:t>平方米的赔偿限额；棚内设备设施每次事故绝对赔付额不得低于损失金额的</w:t>
      </w:r>
      <w:r>
        <w:rPr>
          <w:rFonts w:ascii="仿宋" w:hAnsi="仿宋" w:eastAsia="仿宋" w:cs="仿宋"/>
          <w:sz w:val="32"/>
          <w:szCs w:val="32"/>
          <w:highlight w:val="none"/>
        </w:rPr>
        <w:t>75%</w:t>
      </w:r>
      <w:r>
        <w:rPr>
          <w:rFonts w:hint="eastAsia" w:ascii="仿宋" w:hAnsi="仿宋" w:eastAsia="仿宋" w:cs="仿宋"/>
          <w:sz w:val="32"/>
          <w:szCs w:val="32"/>
          <w:highlight w:val="none"/>
        </w:rPr>
        <w:t>。</w:t>
      </w:r>
      <w:r>
        <w:rPr>
          <w:rFonts w:hint="eastAsia" w:ascii="楷体" w:hAnsi="楷体" w:eastAsia="楷体" w:cs="楷体"/>
          <w:b/>
          <w:bCs/>
          <w:sz w:val="32"/>
          <w:szCs w:val="32"/>
          <w:highlight w:val="none"/>
        </w:rPr>
        <w:t>（ ）</w:t>
      </w:r>
    </w:p>
    <w:p w14:paraId="73ABD2EF">
      <w:pPr>
        <w:numPr>
          <w:ilvl w:val="0"/>
          <w:numId w:val="1"/>
        </w:num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风灾阈值（理赔起点）设置为</w:t>
      </w:r>
      <w:r>
        <w:rPr>
          <w:rFonts w:ascii="仿宋" w:hAnsi="仿宋" w:eastAsia="仿宋" w:cs="仿宋"/>
          <w:sz w:val="32"/>
          <w:szCs w:val="32"/>
          <w:highlight w:val="none"/>
        </w:rPr>
        <w:t>8</w:t>
      </w:r>
      <w:r>
        <w:rPr>
          <w:rFonts w:hint="eastAsia" w:ascii="仿宋" w:hAnsi="仿宋" w:eastAsia="仿宋" w:cs="仿宋"/>
          <w:sz w:val="32"/>
          <w:szCs w:val="32"/>
          <w:highlight w:val="none"/>
        </w:rPr>
        <w:t>级，暴雨有国家标准，暴雨是指降雨量每小时16mm以上，或连续12小时降雨量达30mm以上，或连续24小时降雨量达50mm以上。其他自然灾害不设致灾阈值，其他自然灾害（包括内涝、风灾、雹灾、雷击、旱灾、地震、火灾等自然灾害）造成大棚损失</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，保险公司都须启动理赔程序赔付。</w:t>
      </w:r>
      <w:r>
        <w:rPr>
          <w:rFonts w:hint="eastAsia" w:ascii="楷体" w:hAnsi="楷体" w:eastAsia="楷体" w:cs="楷体"/>
          <w:b/>
          <w:bCs/>
          <w:sz w:val="32"/>
          <w:szCs w:val="32"/>
          <w:highlight w:val="none"/>
        </w:rPr>
        <w:t>（ ）</w:t>
      </w:r>
    </w:p>
    <w:p w14:paraId="46C6ABC0">
      <w:pPr>
        <w:numPr>
          <w:ilvl w:val="0"/>
          <w:numId w:val="1"/>
        </w:num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供应商已现场勘察，清晰掌握保险标的实况。</w:t>
      </w:r>
      <w:r>
        <w:rPr>
          <w:rFonts w:hint="eastAsia" w:ascii="楷体" w:hAnsi="楷体" w:eastAsia="楷体" w:cs="楷体"/>
          <w:b/>
          <w:bCs/>
          <w:sz w:val="32"/>
          <w:szCs w:val="32"/>
          <w:highlight w:val="none"/>
        </w:rPr>
        <w:t>（ ）</w:t>
      </w:r>
    </w:p>
    <w:p w14:paraId="3743F234">
      <w:pPr>
        <w:numPr>
          <w:ilvl w:val="0"/>
          <w:numId w:val="1"/>
        </w:num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保险标的遭受保险事故时，供应商如委托第三方公司进行事故核定的，须经</w:t>
      </w:r>
      <w:r>
        <w:rPr>
          <w:rFonts w:hint="eastAsia" w:ascii="仿宋" w:hAnsi="仿宋" w:eastAsia="仿宋" w:cs="仿宋"/>
          <w:sz w:val="32"/>
          <w:szCs w:val="32"/>
          <w:highlight w:val="none"/>
          <w:lang w:val="en-US" w:eastAsia="zh-CN"/>
        </w:rPr>
        <w:t>投保方</w:t>
      </w:r>
      <w:r>
        <w:rPr>
          <w:rFonts w:hint="eastAsia" w:ascii="仿宋" w:hAnsi="仿宋" w:eastAsia="仿宋" w:cs="仿宋"/>
          <w:sz w:val="32"/>
          <w:szCs w:val="32"/>
          <w:highlight w:val="none"/>
        </w:rPr>
        <w:t>确认同意方可进行。</w:t>
      </w:r>
      <w:r>
        <w:rPr>
          <w:rFonts w:hint="eastAsia" w:ascii="仿宋" w:hAnsi="仿宋" w:eastAsia="仿宋" w:cs="仿宋"/>
          <w:sz w:val="32"/>
          <w:szCs w:val="32"/>
          <w:highlight w:val="none"/>
          <w:lang w:val="en-US" w:eastAsia="zh-CN"/>
        </w:rPr>
        <w:t>供应商</w:t>
      </w:r>
      <w:r>
        <w:rPr>
          <w:rFonts w:hint="eastAsia" w:ascii="仿宋" w:hAnsi="仿宋" w:eastAsia="仿宋" w:cs="仿宋"/>
          <w:sz w:val="32"/>
          <w:szCs w:val="32"/>
          <w:highlight w:val="none"/>
        </w:rPr>
        <w:t>自收到投保方的赔偿请求后，应</w:t>
      </w:r>
      <w:r>
        <w:rPr>
          <w:rFonts w:ascii="仿宋" w:hAnsi="仿宋" w:eastAsia="仿宋" w:cs="仿宋"/>
          <w:sz w:val="32"/>
          <w:szCs w:val="32"/>
          <w:highlight w:val="none"/>
        </w:rPr>
        <w:t>1</w:t>
      </w:r>
      <w:r>
        <w:rPr>
          <w:rFonts w:hint="eastAsia" w:ascii="仿宋" w:hAnsi="仿宋" w:eastAsia="仿宋" w:cs="仿宋"/>
          <w:sz w:val="32"/>
          <w:szCs w:val="32"/>
          <w:highlight w:val="none"/>
        </w:rPr>
        <w:t>小时内响应，</w:t>
      </w:r>
      <w:r>
        <w:rPr>
          <w:rFonts w:ascii="仿宋" w:hAnsi="仿宋" w:eastAsia="仿宋" w:cs="仿宋"/>
          <w:sz w:val="32"/>
          <w:szCs w:val="32"/>
          <w:highlight w:val="none"/>
        </w:rPr>
        <w:t>12</w:t>
      </w:r>
      <w:r>
        <w:rPr>
          <w:rFonts w:hint="eastAsia" w:ascii="仿宋" w:hAnsi="仿宋" w:eastAsia="仿宋" w:cs="仿宋"/>
          <w:sz w:val="32"/>
          <w:szCs w:val="32"/>
          <w:highlight w:val="none"/>
        </w:rPr>
        <w:t>小时内到达现场，</w:t>
      </w:r>
      <w:r>
        <w:rPr>
          <w:rFonts w:ascii="仿宋" w:hAnsi="仿宋" w:eastAsia="仿宋" w:cs="仿宋"/>
          <w:sz w:val="32"/>
          <w:szCs w:val="32"/>
          <w:highlight w:val="none"/>
        </w:rPr>
        <w:t>7</w:t>
      </w:r>
      <w:r>
        <w:rPr>
          <w:rFonts w:hint="eastAsia" w:ascii="仿宋" w:hAnsi="仿宋" w:eastAsia="仿宋" w:cs="仿宋"/>
          <w:sz w:val="32"/>
          <w:szCs w:val="32"/>
          <w:highlight w:val="none"/>
        </w:rPr>
        <w:t>个工作日内完成赔付。（情形复杂的，须在</w:t>
      </w:r>
      <w:r>
        <w:rPr>
          <w:rFonts w:ascii="仿宋" w:hAnsi="仿宋" w:eastAsia="仿宋" w:cs="仿宋"/>
          <w:sz w:val="32"/>
          <w:szCs w:val="32"/>
          <w:highlight w:val="none"/>
        </w:rPr>
        <w:t>30</w:t>
      </w:r>
      <w:r>
        <w:rPr>
          <w:rFonts w:hint="eastAsia" w:ascii="仿宋" w:hAnsi="仿宋" w:eastAsia="仿宋" w:cs="仿宋"/>
          <w:sz w:val="32"/>
          <w:szCs w:val="32"/>
          <w:highlight w:val="none"/>
        </w:rPr>
        <w:t>日内完成赔付）。</w:t>
      </w:r>
      <w:r>
        <w:rPr>
          <w:rFonts w:hint="eastAsia" w:ascii="楷体" w:hAnsi="楷体" w:eastAsia="楷体" w:cs="楷体"/>
          <w:b/>
          <w:bCs/>
          <w:sz w:val="32"/>
          <w:szCs w:val="32"/>
          <w:highlight w:val="none"/>
        </w:rPr>
        <w:t>（ ）</w:t>
      </w:r>
    </w:p>
    <w:p w14:paraId="0E77441B">
      <w:pPr>
        <w:pStyle w:val="2"/>
        <w:ind w:firstLine="640" w:firstLineChars="200"/>
        <w:rPr>
          <w:rFonts w:ascii="仿宋" w:hAnsi="仿宋" w:eastAsia="仿宋" w:cs="Times New Roman"/>
          <w:b w:val="0"/>
          <w:bCs w:val="0"/>
          <w:sz w:val="32"/>
          <w:szCs w:val="32"/>
          <w:highlight w:val="none"/>
        </w:rPr>
      </w:pPr>
      <w:r>
        <w:rPr>
          <w:rFonts w:hint="eastAsia" w:ascii="仿宋" w:hAnsi="仿宋" w:eastAsia="仿宋" w:cs="仿宋"/>
          <w:b w:val="0"/>
          <w:bCs w:val="0"/>
          <w:sz w:val="32"/>
          <w:szCs w:val="32"/>
          <w:highlight w:val="none"/>
          <w:lang w:val="en-US" w:eastAsia="zh-CN"/>
        </w:rPr>
        <w:t>7</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理赔</w:t>
      </w:r>
      <w:r>
        <w:rPr>
          <w:rFonts w:hint="eastAsia" w:ascii="仿宋" w:hAnsi="仿宋" w:eastAsia="仿宋" w:cs="仿宋"/>
          <w:b w:val="0"/>
          <w:bCs w:val="0"/>
          <w:sz w:val="32"/>
          <w:szCs w:val="32"/>
          <w:highlight w:val="none"/>
        </w:rPr>
        <w:t>免赔率不大于</w:t>
      </w:r>
      <w:r>
        <w:rPr>
          <w:rFonts w:ascii="仿宋" w:hAnsi="仿宋" w:eastAsia="仿宋" w:cs="仿宋"/>
          <w:b w:val="0"/>
          <w:bCs w:val="0"/>
          <w:sz w:val="32"/>
          <w:szCs w:val="32"/>
          <w:highlight w:val="none"/>
        </w:rPr>
        <w:t>10%</w:t>
      </w:r>
      <w:r>
        <w:rPr>
          <w:rFonts w:hint="eastAsia" w:ascii="仿宋" w:hAnsi="仿宋" w:eastAsia="仿宋" w:cs="仿宋"/>
          <w:b w:val="0"/>
          <w:bCs w:val="0"/>
          <w:sz w:val="32"/>
          <w:szCs w:val="32"/>
          <w:highlight w:val="none"/>
        </w:rPr>
        <w:t>。</w:t>
      </w:r>
      <w:r>
        <w:rPr>
          <w:rFonts w:hint="eastAsia" w:ascii="楷体" w:hAnsi="楷体" w:eastAsia="楷体" w:cs="楷体"/>
          <w:b/>
          <w:bCs/>
          <w:kern w:val="2"/>
          <w:sz w:val="32"/>
          <w:szCs w:val="32"/>
          <w:highlight w:val="none"/>
          <w:lang w:val="en-US" w:eastAsia="zh-CN" w:bidi="ar-SA"/>
        </w:rPr>
        <w:t>（ ）</w:t>
      </w:r>
    </w:p>
    <w:p w14:paraId="0FA8640C">
      <w:pPr>
        <w:spacing w:line="360" w:lineRule="auto"/>
        <w:ind w:firstLine="643" w:firstLineChars="200"/>
        <w:outlineLvl w:val="2"/>
        <w:rPr>
          <w:rFonts w:ascii="楷体" w:hAnsi="楷体" w:eastAsia="楷体"/>
          <w:b/>
          <w:bCs/>
          <w:sz w:val="32"/>
          <w:szCs w:val="32"/>
          <w:highlight w:val="none"/>
        </w:rPr>
      </w:pPr>
      <w:r>
        <w:rPr>
          <w:rFonts w:hint="eastAsia" w:ascii="楷体" w:hAnsi="楷体" w:eastAsia="楷体" w:cs="楷体"/>
          <w:b/>
          <w:bCs/>
          <w:sz w:val="32"/>
          <w:szCs w:val="32"/>
          <w:highlight w:val="none"/>
        </w:rPr>
        <w:t>（三）技术、商务、价格磋商</w:t>
      </w:r>
    </w:p>
    <w:p w14:paraId="5D5D0CCC">
      <w:pPr>
        <w:spacing w:line="360" w:lineRule="auto"/>
        <w:ind w:firstLine="640" w:firstLineChars="200"/>
        <w:outlineLvl w:val="2"/>
        <w:rPr>
          <w:rFonts w:ascii="仿宋" w:hAnsi="仿宋" w:eastAsia="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rPr>
        <w:t>、评审小组邀请全部通过资格审查的供应商分别进行单独磋商，磋商顺序以递交响应文件先后顺序确定。</w:t>
      </w:r>
    </w:p>
    <w:p w14:paraId="3BB5B2EE">
      <w:pPr>
        <w:spacing w:line="360" w:lineRule="auto"/>
        <w:ind w:firstLine="640" w:firstLineChars="200"/>
        <w:outlineLvl w:val="2"/>
        <w:rPr>
          <w:rFonts w:ascii="仿宋" w:hAnsi="仿宋" w:eastAsia="仿宋"/>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rPr>
        <w:t>、评审小组与供应商应围绕资格条件、技术、商务、合同条款等内容分别进行一轮或多轮的磋商。在磋商过程中，评审小组可以根据磋商文件和磋商情况实质性变动采购需求中的技术、服务要求以及合同草案条款。</w:t>
      </w:r>
    </w:p>
    <w:p w14:paraId="30814768">
      <w:pPr>
        <w:spacing w:line="360" w:lineRule="auto"/>
        <w:ind w:firstLine="640" w:firstLineChars="200"/>
        <w:outlineLvl w:val="2"/>
        <w:rPr>
          <w:rFonts w:ascii="仿宋" w:hAnsi="仿宋" w:eastAsia="仿宋"/>
          <w:sz w:val="32"/>
          <w:szCs w:val="32"/>
          <w:highlight w:val="none"/>
        </w:rPr>
      </w:pPr>
      <w:r>
        <w:rPr>
          <w:rFonts w:ascii="仿宋" w:hAnsi="仿宋" w:eastAsia="仿宋" w:cs="仿宋"/>
          <w:sz w:val="32"/>
          <w:szCs w:val="32"/>
          <w:highlight w:val="none"/>
        </w:rPr>
        <w:t>3</w:t>
      </w:r>
      <w:r>
        <w:rPr>
          <w:rFonts w:hint="eastAsia" w:ascii="仿宋" w:hAnsi="仿宋" w:eastAsia="仿宋" w:cs="仿宋"/>
          <w:sz w:val="32"/>
          <w:szCs w:val="32"/>
          <w:highlight w:val="none"/>
        </w:rPr>
        <w:t>、供应商按照磋商文件的变动情况和评审小组的要求重新提交响应文件，并由其法定代表人或其授权代表签字或者加盖公章。</w:t>
      </w:r>
    </w:p>
    <w:p w14:paraId="5745D85E">
      <w:pPr>
        <w:spacing w:line="360" w:lineRule="auto"/>
        <w:ind w:firstLine="640" w:firstLineChars="200"/>
        <w:outlineLvl w:val="2"/>
        <w:rPr>
          <w:rFonts w:ascii="仿宋" w:hAnsi="仿宋" w:eastAsia="仿宋"/>
          <w:sz w:val="32"/>
          <w:szCs w:val="32"/>
          <w:highlight w:val="none"/>
        </w:rPr>
      </w:pPr>
      <w:r>
        <w:rPr>
          <w:rFonts w:ascii="仿宋" w:hAnsi="仿宋" w:eastAsia="仿宋" w:cs="仿宋"/>
          <w:sz w:val="32"/>
          <w:szCs w:val="32"/>
          <w:highlight w:val="none"/>
        </w:rPr>
        <w:t>4</w:t>
      </w:r>
      <w:r>
        <w:rPr>
          <w:rFonts w:hint="eastAsia" w:ascii="仿宋" w:hAnsi="仿宋" w:eastAsia="仿宋" w:cs="仿宋"/>
          <w:sz w:val="32"/>
          <w:szCs w:val="32"/>
          <w:highlight w:val="none"/>
        </w:rPr>
        <w:t>、最后报价：磋商结束后，供应商提交最后报价，最后报价不能高于第一次报价。</w:t>
      </w:r>
    </w:p>
    <w:p w14:paraId="2AB7F22B">
      <w:pPr>
        <w:spacing w:line="360" w:lineRule="auto"/>
        <w:ind w:firstLine="643" w:firstLineChars="200"/>
        <w:outlineLvl w:val="2"/>
        <w:rPr>
          <w:rFonts w:ascii="楷体" w:hAnsi="楷体" w:eastAsia="楷体"/>
          <w:b/>
          <w:bCs/>
          <w:sz w:val="32"/>
          <w:szCs w:val="32"/>
          <w:highlight w:val="none"/>
        </w:rPr>
      </w:pPr>
      <w:r>
        <w:rPr>
          <w:rFonts w:hint="eastAsia" w:ascii="楷体" w:hAnsi="楷体" w:eastAsia="楷体" w:cs="楷体"/>
          <w:b/>
          <w:bCs/>
          <w:sz w:val="32"/>
          <w:szCs w:val="32"/>
          <w:highlight w:val="none"/>
        </w:rPr>
        <w:t>（四）综合评分</w:t>
      </w:r>
    </w:p>
    <w:p w14:paraId="667835A3">
      <w:p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采用综合评分方法（评分标准见表</w:t>
      </w:r>
      <w:r>
        <w:rPr>
          <w:rFonts w:ascii="仿宋" w:hAnsi="仿宋" w:eastAsia="仿宋" w:cs="仿宋"/>
          <w:sz w:val="32"/>
          <w:szCs w:val="32"/>
          <w:highlight w:val="none"/>
        </w:rPr>
        <w:t>1</w:t>
      </w:r>
      <w:r>
        <w:rPr>
          <w:rFonts w:hint="eastAsia" w:ascii="仿宋" w:hAnsi="仿宋" w:eastAsia="仿宋" w:cs="仿宋"/>
          <w:sz w:val="32"/>
          <w:szCs w:val="32"/>
          <w:highlight w:val="none"/>
        </w:rPr>
        <w:t>）。评审小组各成员根据评审办法并结合供应商实际情况分别就各项指标进行独立打分（见表</w:t>
      </w:r>
      <w:r>
        <w:rPr>
          <w:rFonts w:ascii="仿宋" w:hAnsi="仿宋" w:eastAsia="仿宋" w:cs="仿宋"/>
          <w:sz w:val="32"/>
          <w:szCs w:val="32"/>
          <w:highlight w:val="none"/>
        </w:rPr>
        <w:t>1</w:t>
      </w:r>
      <w:r>
        <w:rPr>
          <w:rFonts w:hint="eastAsia" w:ascii="仿宋" w:hAnsi="仿宋" w:eastAsia="仿宋" w:cs="仿宋"/>
          <w:sz w:val="32"/>
          <w:szCs w:val="32"/>
          <w:highlight w:val="none"/>
        </w:rPr>
        <w:t>、</w:t>
      </w:r>
      <w:r>
        <w:rPr>
          <w:rFonts w:ascii="仿宋" w:hAnsi="仿宋" w:eastAsia="仿宋" w:cs="仿宋"/>
          <w:sz w:val="32"/>
          <w:szCs w:val="32"/>
          <w:highlight w:val="none"/>
        </w:rPr>
        <w:t xml:space="preserve">2 </w:t>
      </w:r>
      <w:r>
        <w:rPr>
          <w:rFonts w:hint="eastAsia" w:ascii="仿宋" w:hAnsi="仿宋" w:eastAsia="仿宋" w:cs="仿宋"/>
          <w:sz w:val="32"/>
          <w:szCs w:val="32"/>
          <w:highlight w:val="none"/>
        </w:rPr>
        <w:t>），其中商务技术得分满分为</w:t>
      </w:r>
      <w:r>
        <w:rPr>
          <w:rFonts w:ascii="仿宋" w:hAnsi="仿宋" w:eastAsia="仿宋" w:cs="仿宋"/>
          <w:sz w:val="32"/>
          <w:szCs w:val="32"/>
          <w:highlight w:val="none"/>
        </w:rPr>
        <w:t>70</w:t>
      </w:r>
      <w:r>
        <w:rPr>
          <w:rFonts w:hint="eastAsia" w:ascii="仿宋" w:hAnsi="仿宋" w:eastAsia="仿宋" w:cs="仿宋"/>
          <w:sz w:val="32"/>
          <w:szCs w:val="32"/>
          <w:highlight w:val="none"/>
        </w:rPr>
        <w:t>分，价格得分满分为</w:t>
      </w:r>
      <w:r>
        <w:rPr>
          <w:rFonts w:ascii="仿宋" w:hAnsi="仿宋" w:eastAsia="仿宋" w:cs="仿宋"/>
          <w:sz w:val="32"/>
          <w:szCs w:val="32"/>
          <w:highlight w:val="none"/>
        </w:rPr>
        <w:t>30</w:t>
      </w:r>
      <w:r>
        <w:rPr>
          <w:rFonts w:hint="eastAsia" w:ascii="仿宋" w:hAnsi="仿宋" w:eastAsia="仿宋" w:cs="仿宋"/>
          <w:sz w:val="32"/>
          <w:szCs w:val="32"/>
          <w:highlight w:val="none"/>
        </w:rPr>
        <w:t>分，两项相加总分为</w:t>
      </w:r>
      <w:r>
        <w:rPr>
          <w:rFonts w:ascii="仿宋" w:hAnsi="仿宋" w:eastAsia="仿宋" w:cs="仿宋"/>
          <w:sz w:val="32"/>
          <w:szCs w:val="32"/>
          <w:highlight w:val="none"/>
        </w:rPr>
        <w:t>100</w:t>
      </w:r>
      <w:r>
        <w:rPr>
          <w:rFonts w:hint="eastAsia" w:ascii="仿宋" w:hAnsi="仿宋" w:eastAsia="仿宋" w:cs="仿宋"/>
          <w:sz w:val="32"/>
          <w:szCs w:val="32"/>
          <w:highlight w:val="none"/>
        </w:rPr>
        <w:t>分。</w:t>
      </w:r>
    </w:p>
    <w:p w14:paraId="1C2C07E0">
      <w:pPr>
        <w:pStyle w:val="2"/>
        <w:spacing w:line="240" w:lineRule="auto"/>
        <w:jc w:val="both"/>
        <w:rPr>
          <w:rFonts w:ascii="仿宋" w:hAnsi="仿宋" w:eastAsia="仿宋" w:cs="仿宋"/>
          <w:sz w:val="32"/>
          <w:szCs w:val="32"/>
          <w:highlight w:val="none"/>
        </w:rPr>
      </w:pPr>
    </w:p>
    <w:p w14:paraId="28253EE6">
      <w:pPr>
        <w:pStyle w:val="2"/>
        <w:spacing w:line="240" w:lineRule="auto"/>
        <w:jc w:val="center"/>
        <w:rPr>
          <w:rFonts w:cs="Times New Roman"/>
          <w:highlight w:val="none"/>
        </w:rPr>
      </w:pPr>
      <w:r>
        <w:rPr>
          <w:rFonts w:hint="eastAsia" w:ascii="仿宋" w:hAnsi="仿宋" w:eastAsia="仿宋" w:cs="仿宋"/>
          <w:sz w:val="32"/>
          <w:szCs w:val="32"/>
          <w:highlight w:val="none"/>
        </w:rPr>
        <w:t>表</w:t>
      </w:r>
      <w:r>
        <w:rPr>
          <w:rFonts w:ascii="仿宋" w:hAnsi="仿宋" w:eastAsia="仿宋" w:cs="仿宋"/>
          <w:sz w:val="32"/>
          <w:szCs w:val="32"/>
          <w:highlight w:val="none"/>
        </w:rPr>
        <w:t>1</w:t>
      </w:r>
      <w:r>
        <w:rPr>
          <w:rFonts w:hint="eastAsia" w:ascii="仿宋" w:hAnsi="仿宋" w:eastAsia="仿宋" w:cs="仿宋"/>
          <w:sz w:val="32"/>
          <w:szCs w:val="32"/>
          <w:highlight w:val="none"/>
        </w:rPr>
        <w:t>综合评分标准表</w:t>
      </w:r>
    </w:p>
    <w:tbl>
      <w:tblPr>
        <w:tblStyle w:val="8"/>
        <w:tblpPr w:leftFromText="180" w:rightFromText="180" w:vertAnchor="text" w:horzAnchor="page" w:tblpX="1752" w:tblpY="765"/>
        <w:tblOverlap w:val="never"/>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28"/>
        <w:gridCol w:w="558"/>
        <w:gridCol w:w="688"/>
        <w:gridCol w:w="493"/>
        <w:gridCol w:w="3437"/>
        <w:gridCol w:w="3456"/>
      </w:tblGrid>
      <w:tr w14:paraId="570D59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5"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6A63F4">
            <w:pPr>
              <w:jc w:val="center"/>
              <w:rPr>
                <w:rFonts w:ascii="宋体"/>
                <w:color w:val="000000"/>
                <w:sz w:val="18"/>
                <w:szCs w:val="18"/>
                <w:highlight w:val="none"/>
              </w:rPr>
            </w:pPr>
            <w:r>
              <w:rPr>
                <w:rFonts w:hint="eastAsia" w:ascii="宋体" w:hAnsi="宋体" w:cs="宋体"/>
                <w:color w:val="000000"/>
                <w:sz w:val="18"/>
                <w:szCs w:val="18"/>
                <w:highlight w:val="none"/>
              </w:rPr>
              <w:t>序号</w:t>
            </w:r>
          </w:p>
        </w:tc>
        <w:tc>
          <w:tcPr>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364D6C">
            <w:pPr>
              <w:jc w:val="center"/>
              <w:rPr>
                <w:rFonts w:ascii="宋体"/>
                <w:color w:val="000000"/>
                <w:sz w:val="18"/>
                <w:szCs w:val="18"/>
                <w:highlight w:val="none"/>
              </w:rPr>
            </w:pPr>
            <w:r>
              <w:rPr>
                <w:rFonts w:hint="eastAsia" w:ascii="宋体" w:hAnsi="宋体" w:cs="宋体"/>
                <w:color w:val="000000"/>
                <w:sz w:val="18"/>
                <w:szCs w:val="18"/>
                <w:highlight w:val="none"/>
              </w:rPr>
              <w:t>评审项目</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5E62B2">
            <w:pPr>
              <w:jc w:val="center"/>
              <w:rPr>
                <w:rFonts w:ascii="宋体"/>
                <w:color w:val="000000"/>
                <w:sz w:val="18"/>
                <w:szCs w:val="18"/>
                <w:highlight w:val="none"/>
              </w:rPr>
            </w:pPr>
            <w:r>
              <w:rPr>
                <w:rFonts w:hint="eastAsia" w:ascii="宋体" w:hAnsi="宋体" w:cs="宋体"/>
                <w:color w:val="000000"/>
                <w:sz w:val="18"/>
                <w:szCs w:val="18"/>
                <w:highlight w:val="none"/>
              </w:rPr>
              <w:t>分配分数</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5701EA">
            <w:pPr>
              <w:jc w:val="center"/>
              <w:rPr>
                <w:rFonts w:ascii="宋体"/>
                <w:color w:val="000000"/>
                <w:sz w:val="18"/>
                <w:szCs w:val="18"/>
                <w:highlight w:val="none"/>
              </w:rPr>
            </w:pPr>
            <w:r>
              <w:rPr>
                <w:rFonts w:hint="eastAsia" w:ascii="宋体" w:hAnsi="宋体" w:cs="宋体"/>
                <w:b/>
                <w:bCs/>
                <w:color w:val="000000"/>
                <w:sz w:val="18"/>
                <w:szCs w:val="18"/>
                <w:highlight w:val="none"/>
              </w:rPr>
              <w:t>评议内容</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0A424A">
            <w:pPr>
              <w:jc w:val="center"/>
              <w:rPr>
                <w:rFonts w:ascii="宋体"/>
                <w:b/>
                <w:bCs/>
                <w:color w:val="000000"/>
                <w:sz w:val="18"/>
                <w:szCs w:val="18"/>
                <w:highlight w:val="none"/>
              </w:rPr>
            </w:pPr>
            <w:r>
              <w:rPr>
                <w:rFonts w:hint="eastAsia" w:ascii="宋体" w:hAnsi="宋体" w:cs="宋体"/>
                <w:b/>
                <w:bCs/>
                <w:color w:val="000000"/>
                <w:sz w:val="18"/>
                <w:szCs w:val="18"/>
                <w:highlight w:val="none"/>
              </w:rPr>
              <w:t>评分</w:t>
            </w:r>
          </w:p>
        </w:tc>
      </w:tr>
      <w:tr w14:paraId="4B539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6A1F438B">
            <w:pPr>
              <w:spacing w:line="220" w:lineRule="exact"/>
              <w:rPr>
                <w:rFonts w:ascii="宋体"/>
                <w:color w:val="000000"/>
                <w:sz w:val="18"/>
                <w:szCs w:val="18"/>
                <w:highlight w:val="none"/>
              </w:rPr>
            </w:pPr>
            <w:r>
              <w:rPr>
                <w:rFonts w:ascii="宋体" w:hAnsi="宋体" w:cs="宋体"/>
                <w:color w:val="000000"/>
                <w:sz w:val="18"/>
                <w:szCs w:val="18"/>
                <w:highlight w:val="none"/>
              </w:rPr>
              <w:t>1</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39EF0761">
            <w:pPr>
              <w:spacing w:line="220" w:lineRule="exact"/>
              <w:jc w:val="center"/>
              <w:rPr>
                <w:rFonts w:ascii="宋体"/>
                <w:color w:val="000000"/>
                <w:sz w:val="18"/>
                <w:szCs w:val="18"/>
                <w:highlight w:val="none"/>
              </w:rPr>
            </w:pPr>
            <w:r>
              <w:rPr>
                <w:rFonts w:hint="eastAsia" w:ascii="宋体" w:hAnsi="宋体" w:cs="宋体"/>
                <w:color w:val="000000"/>
                <w:sz w:val="18"/>
                <w:szCs w:val="18"/>
                <w:highlight w:val="none"/>
              </w:rPr>
              <w:t>商务技术得分</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76DAAD82">
            <w:pPr>
              <w:spacing w:line="220" w:lineRule="exact"/>
              <w:jc w:val="center"/>
              <w:rPr>
                <w:rFonts w:ascii="宋体"/>
                <w:color w:val="000000"/>
                <w:sz w:val="18"/>
                <w:szCs w:val="18"/>
                <w:highlight w:val="none"/>
              </w:rPr>
            </w:pPr>
            <w:r>
              <w:rPr>
                <w:rFonts w:hint="eastAsia" w:ascii="宋体" w:hAnsi="宋体" w:cs="宋体"/>
                <w:sz w:val="18"/>
                <w:szCs w:val="18"/>
                <w:highlight w:val="none"/>
              </w:rPr>
              <w:t>承保方案</w:t>
            </w:r>
          </w:p>
        </w:tc>
        <w:tc>
          <w:tcPr>
            <w:tcW w:w="0" w:type="auto"/>
            <w:tcBorders>
              <w:top w:val="single" w:color="auto" w:sz="4" w:space="0"/>
              <w:left w:val="single" w:color="auto" w:sz="4" w:space="0"/>
              <w:bottom w:val="single" w:color="auto" w:sz="4" w:space="0"/>
              <w:right w:val="single" w:color="auto" w:sz="4" w:space="0"/>
            </w:tcBorders>
            <w:vAlign w:val="center"/>
          </w:tcPr>
          <w:p w14:paraId="362A7B5F">
            <w:pPr>
              <w:spacing w:line="220" w:lineRule="exact"/>
              <w:jc w:val="center"/>
              <w:rPr>
                <w:rFonts w:ascii="宋体"/>
                <w:color w:val="000000"/>
                <w:sz w:val="18"/>
                <w:szCs w:val="18"/>
                <w:highlight w:val="none"/>
              </w:rPr>
            </w:pPr>
            <w:r>
              <w:rPr>
                <w:rFonts w:ascii="宋体" w:hAnsi="宋体" w:cs="宋体"/>
                <w:color w:val="000000"/>
                <w:sz w:val="18"/>
                <w:szCs w:val="18"/>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14:paraId="18637109">
            <w:pPr>
              <w:jc w:val="left"/>
              <w:rPr>
                <w:highlight w:val="none"/>
              </w:rPr>
            </w:pPr>
            <w:r>
              <w:rPr>
                <w:rFonts w:ascii="宋体" w:hAnsi="宋体" w:cs="宋体"/>
                <w:sz w:val="18"/>
                <w:szCs w:val="18"/>
                <w:highlight w:val="none"/>
              </w:rPr>
              <w:t>1</w:t>
            </w:r>
            <w:r>
              <w:rPr>
                <w:rFonts w:hint="eastAsia" w:ascii="宋体" w:hAnsi="宋体" w:cs="宋体"/>
                <w:sz w:val="18"/>
                <w:szCs w:val="18"/>
                <w:highlight w:val="none"/>
              </w:rPr>
              <w:t>、有完善的适应项目所在地的温室大棚保险承保操作流程。重点考察操作流程的完整性、可行性、合理性：</w:t>
            </w:r>
          </w:p>
        </w:tc>
        <w:tc>
          <w:tcPr>
            <w:tcW w:w="0" w:type="auto"/>
            <w:tcBorders>
              <w:top w:val="single" w:color="auto" w:sz="4" w:space="0"/>
              <w:left w:val="single" w:color="auto" w:sz="4" w:space="0"/>
              <w:bottom w:val="single" w:color="auto" w:sz="4" w:space="0"/>
              <w:right w:val="single" w:color="auto" w:sz="4" w:space="0"/>
            </w:tcBorders>
            <w:vAlign w:val="center"/>
          </w:tcPr>
          <w:p w14:paraId="76C6BCF5">
            <w:pPr>
              <w:jc w:val="left"/>
              <w:rPr>
                <w:rFonts w:ascii="宋体"/>
                <w:sz w:val="18"/>
                <w:szCs w:val="18"/>
                <w:highlight w:val="none"/>
              </w:rPr>
            </w:pPr>
            <w:r>
              <w:rPr>
                <w:rFonts w:hint="eastAsia" w:ascii="宋体" w:hAnsi="宋体" w:cs="宋体"/>
                <w:sz w:val="18"/>
                <w:szCs w:val="18"/>
                <w:highlight w:val="none"/>
              </w:rPr>
              <w:t>满足要求得</w:t>
            </w:r>
            <w:r>
              <w:rPr>
                <w:rFonts w:ascii="宋体" w:hAnsi="宋体" w:cs="宋体"/>
                <w:sz w:val="18"/>
                <w:szCs w:val="18"/>
                <w:highlight w:val="none"/>
              </w:rPr>
              <w:t>5</w:t>
            </w:r>
            <w:r>
              <w:rPr>
                <w:rFonts w:hint="eastAsia" w:ascii="宋体" w:hAnsi="宋体" w:cs="宋体"/>
                <w:sz w:val="18"/>
                <w:szCs w:val="18"/>
                <w:highlight w:val="none"/>
              </w:rPr>
              <w:t>分，基本满足得</w:t>
            </w:r>
            <w:r>
              <w:rPr>
                <w:rFonts w:ascii="宋体" w:hAnsi="宋体" w:cs="宋体"/>
                <w:sz w:val="18"/>
                <w:szCs w:val="18"/>
                <w:highlight w:val="none"/>
              </w:rPr>
              <w:t>3</w:t>
            </w:r>
            <w:r>
              <w:rPr>
                <w:rFonts w:hint="eastAsia" w:ascii="宋体" w:hAnsi="宋体" w:cs="宋体"/>
                <w:sz w:val="18"/>
                <w:szCs w:val="18"/>
                <w:highlight w:val="none"/>
              </w:rPr>
              <w:t>分，无提供不得分。</w:t>
            </w:r>
          </w:p>
        </w:tc>
      </w:tr>
      <w:tr w14:paraId="43E2B3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B92633">
            <w:pPr>
              <w:spacing w:line="220" w:lineRule="exact"/>
              <w:rPr>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273AD5">
            <w:pPr>
              <w:spacing w:line="220" w:lineRule="exact"/>
              <w:rPr>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A1D913">
            <w:pPr>
              <w:spacing w:line="220" w:lineRule="exact"/>
              <w:rPr>
                <w:rFonts w:ascii="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B2F6AD4">
            <w:pPr>
              <w:spacing w:line="220" w:lineRule="exact"/>
              <w:jc w:val="center"/>
              <w:rPr>
                <w:rFonts w:ascii="宋体"/>
                <w:sz w:val="18"/>
                <w:szCs w:val="18"/>
                <w:highlight w:val="none"/>
              </w:rPr>
            </w:pPr>
            <w:r>
              <w:rPr>
                <w:rFonts w:ascii="宋体" w:hAnsi="宋体" w:cs="宋体"/>
                <w:sz w:val="18"/>
                <w:szCs w:val="18"/>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14:paraId="6E2BD868">
            <w:pPr>
              <w:jc w:val="left"/>
              <w:rPr>
                <w:rFonts w:ascii="宋体"/>
                <w:sz w:val="18"/>
                <w:szCs w:val="18"/>
                <w:highlight w:val="none"/>
              </w:rPr>
            </w:pPr>
            <w:r>
              <w:rPr>
                <w:rFonts w:ascii="宋体" w:hAnsi="宋体" w:cs="宋体"/>
                <w:sz w:val="18"/>
                <w:szCs w:val="18"/>
                <w:highlight w:val="none"/>
              </w:rPr>
              <w:t>2</w:t>
            </w:r>
            <w:r>
              <w:rPr>
                <w:rFonts w:hint="eastAsia" w:ascii="宋体" w:hAnsi="宋体" w:cs="宋体"/>
                <w:sz w:val="18"/>
                <w:szCs w:val="18"/>
                <w:highlight w:val="none"/>
              </w:rPr>
              <w:t>、有完善的适应项目所在地的温室大棚保险承保工作机制。重点考察工作机制的有效性、可行性：</w:t>
            </w:r>
          </w:p>
        </w:tc>
        <w:tc>
          <w:tcPr>
            <w:tcW w:w="0" w:type="auto"/>
            <w:tcBorders>
              <w:top w:val="single" w:color="auto" w:sz="4" w:space="0"/>
              <w:left w:val="single" w:color="auto" w:sz="4" w:space="0"/>
              <w:bottom w:val="single" w:color="auto" w:sz="4" w:space="0"/>
              <w:right w:val="single" w:color="auto" w:sz="4" w:space="0"/>
            </w:tcBorders>
            <w:vAlign w:val="center"/>
          </w:tcPr>
          <w:p w14:paraId="23279F5A">
            <w:pPr>
              <w:jc w:val="left"/>
              <w:rPr>
                <w:rFonts w:ascii="宋体"/>
                <w:sz w:val="18"/>
                <w:szCs w:val="18"/>
                <w:highlight w:val="none"/>
              </w:rPr>
            </w:pPr>
            <w:r>
              <w:rPr>
                <w:rFonts w:hint="eastAsia" w:ascii="宋体" w:hAnsi="宋体" w:cs="宋体"/>
                <w:sz w:val="18"/>
                <w:szCs w:val="18"/>
                <w:highlight w:val="none"/>
              </w:rPr>
              <w:t>满足要求得</w:t>
            </w:r>
            <w:r>
              <w:rPr>
                <w:rFonts w:ascii="宋体" w:hAnsi="宋体" w:cs="宋体"/>
                <w:sz w:val="18"/>
                <w:szCs w:val="18"/>
                <w:highlight w:val="none"/>
              </w:rPr>
              <w:t>5</w:t>
            </w:r>
            <w:r>
              <w:rPr>
                <w:rFonts w:hint="eastAsia" w:ascii="宋体" w:hAnsi="宋体" w:cs="宋体"/>
                <w:sz w:val="18"/>
                <w:szCs w:val="18"/>
                <w:highlight w:val="none"/>
              </w:rPr>
              <w:t>分，基本满足得</w:t>
            </w:r>
            <w:r>
              <w:rPr>
                <w:rFonts w:ascii="宋体" w:hAnsi="宋体" w:cs="宋体"/>
                <w:sz w:val="18"/>
                <w:szCs w:val="18"/>
                <w:highlight w:val="none"/>
              </w:rPr>
              <w:t>3</w:t>
            </w:r>
            <w:r>
              <w:rPr>
                <w:rFonts w:hint="eastAsia" w:ascii="宋体" w:hAnsi="宋体" w:cs="宋体"/>
                <w:sz w:val="18"/>
                <w:szCs w:val="18"/>
                <w:highlight w:val="none"/>
              </w:rPr>
              <w:t>分，无提供不得分。</w:t>
            </w:r>
          </w:p>
        </w:tc>
      </w:tr>
      <w:tr w14:paraId="2612D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7154D365">
            <w:pPr>
              <w:spacing w:line="220" w:lineRule="exact"/>
              <w:rPr>
                <w:rFonts w:ascii="宋体"/>
                <w:color w:val="000000"/>
                <w:sz w:val="18"/>
                <w:szCs w:val="18"/>
                <w:highlight w:val="none"/>
              </w:rPr>
            </w:pPr>
            <w:r>
              <w:rPr>
                <w:rFonts w:ascii="宋体" w:hAnsi="宋体" w:cs="宋体"/>
                <w:color w:val="000000"/>
                <w:sz w:val="18"/>
                <w:szCs w:val="18"/>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2729E7">
            <w:pPr>
              <w:spacing w:line="220" w:lineRule="exact"/>
              <w:jc w:val="center"/>
              <w:rPr>
                <w:rFonts w:ascii="宋体"/>
                <w:color w:val="000000"/>
                <w:sz w:val="18"/>
                <w:szCs w:val="18"/>
                <w:highlight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3C50D049">
            <w:pPr>
              <w:spacing w:line="220" w:lineRule="exact"/>
              <w:jc w:val="center"/>
              <w:rPr>
                <w:rFonts w:ascii="宋体"/>
                <w:color w:val="000000"/>
                <w:sz w:val="18"/>
                <w:szCs w:val="18"/>
                <w:highlight w:val="none"/>
              </w:rPr>
            </w:pPr>
            <w:r>
              <w:rPr>
                <w:rFonts w:hint="eastAsia" w:ascii="宋体" w:hAnsi="宋体" w:cs="宋体"/>
                <w:sz w:val="18"/>
                <w:szCs w:val="18"/>
                <w:highlight w:val="none"/>
              </w:rPr>
              <w:t>定损方案</w:t>
            </w:r>
          </w:p>
        </w:tc>
        <w:tc>
          <w:tcPr>
            <w:tcW w:w="0" w:type="auto"/>
            <w:tcBorders>
              <w:top w:val="single" w:color="auto" w:sz="4" w:space="0"/>
              <w:left w:val="single" w:color="auto" w:sz="4" w:space="0"/>
              <w:bottom w:val="single" w:color="auto" w:sz="4" w:space="0"/>
              <w:right w:val="single" w:color="auto" w:sz="4" w:space="0"/>
            </w:tcBorders>
            <w:vAlign w:val="center"/>
          </w:tcPr>
          <w:p w14:paraId="6A176C27">
            <w:pPr>
              <w:spacing w:line="220" w:lineRule="exact"/>
              <w:jc w:val="center"/>
              <w:rPr>
                <w:rFonts w:ascii="宋体"/>
                <w:color w:val="000000"/>
                <w:sz w:val="18"/>
                <w:szCs w:val="18"/>
                <w:highlight w:val="none"/>
              </w:rPr>
            </w:pPr>
            <w:r>
              <w:rPr>
                <w:rFonts w:ascii="宋体" w:hAnsi="宋体" w:cs="宋体"/>
                <w:color w:val="000000"/>
                <w:sz w:val="18"/>
                <w:szCs w:val="18"/>
                <w:highlight w:val="none"/>
              </w:rPr>
              <w:t>8</w:t>
            </w:r>
          </w:p>
        </w:tc>
        <w:tc>
          <w:tcPr>
            <w:tcW w:w="0" w:type="auto"/>
            <w:tcBorders>
              <w:top w:val="single" w:color="auto" w:sz="4" w:space="0"/>
              <w:left w:val="single" w:color="auto" w:sz="4" w:space="0"/>
              <w:bottom w:val="single" w:color="auto" w:sz="4" w:space="0"/>
              <w:right w:val="single" w:color="auto" w:sz="4" w:space="0"/>
            </w:tcBorders>
          </w:tcPr>
          <w:p w14:paraId="588A2D1D">
            <w:pPr>
              <w:widowControl/>
              <w:jc w:val="left"/>
              <w:textAlignment w:val="center"/>
              <w:rPr>
                <w:rFonts w:ascii="宋体" w:hAnsi="宋体" w:cs="宋体"/>
                <w:kern w:val="0"/>
                <w:sz w:val="18"/>
                <w:szCs w:val="18"/>
                <w:highlight w:val="none"/>
              </w:rPr>
            </w:pPr>
          </w:p>
          <w:p w14:paraId="3853D674">
            <w:pPr>
              <w:widowControl/>
              <w:jc w:val="left"/>
              <w:textAlignment w:val="center"/>
              <w:rPr>
                <w:rFonts w:ascii="宋体"/>
                <w:kern w:val="0"/>
                <w:sz w:val="18"/>
                <w:szCs w:val="18"/>
                <w:highlight w:val="none"/>
              </w:rPr>
            </w:pPr>
            <w:r>
              <w:rPr>
                <w:rFonts w:ascii="宋体" w:hAnsi="宋体" w:cs="宋体"/>
                <w:kern w:val="0"/>
                <w:sz w:val="18"/>
                <w:szCs w:val="18"/>
                <w:highlight w:val="none"/>
              </w:rPr>
              <w:t>1</w:t>
            </w:r>
            <w:r>
              <w:rPr>
                <w:rFonts w:hint="eastAsia" w:ascii="宋体" w:hAnsi="宋体" w:cs="宋体"/>
                <w:kern w:val="0"/>
                <w:sz w:val="18"/>
                <w:szCs w:val="18"/>
                <w:highlight w:val="none"/>
              </w:rPr>
              <w:t>、有完善的适应项目所在地的</w:t>
            </w:r>
            <w:r>
              <w:rPr>
                <w:rFonts w:hint="eastAsia" w:ascii="宋体" w:hAnsi="宋体" w:cs="宋体"/>
                <w:sz w:val="18"/>
                <w:szCs w:val="18"/>
                <w:highlight w:val="none"/>
              </w:rPr>
              <w:t>温室大棚保险</w:t>
            </w:r>
            <w:r>
              <w:rPr>
                <w:rFonts w:hint="eastAsia" w:ascii="宋体" w:hAnsi="宋体" w:cs="宋体"/>
                <w:kern w:val="0"/>
                <w:sz w:val="18"/>
                <w:szCs w:val="18"/>
                <w:highlight w:val="none"/>
              </w:rPr>
              <w:t>查勘定损流程。重点考察查勘定损的及时性、合理性、可行性：</w:t>
            </w:r>
          </w:p>
        </w:tc>
        <w:tc>
          <w:tcPr>
            <w:tcW w:w="0" w:type="auto"/>
            <w:tcBorders>
              <w:top w:val="single" w:color="auto" w:sz="4" w:space="0"/>
              <w:left w:val="single" w:color="auto" w:sz="4" w:space="0"/>
              <w:bottom w:val="single" w:color="auto" w:sz="4" w:space="0"/>
              <w:right w:val="single" w:color="auto" w:sz="4" w:space="0"/>
            </w:tcBorders>
            <w:vAlign w:val="center"/>
          </w:tcPr>
          <w:p w14:paraId="30834E76">
            <w:pPr>
              <w:widowControl/>
              <w:jc w:val="left"/>
              <w:textAlignment w:val="center"/>
              <w:rPr>
                <w:rFonts w:ascii="宋体"/>
                <w:kern w:val="0"/>
                <w:sz w:val="18"/>
                <w:szCs w:val="18"/>
                <w:highlight w:val="none"/>
              </w:rPr>
            </w:pPr>
            <w:r>
              <w:rPr>
                <w:rFonts w:hint="eastAsia" w:ascii="宋体" w:hAnsi="宋体" w:cs="宋体"/>
                <w:sz w:val="18"/>
                <w:szCs w:val="18"/>
                <w:highlight w:val="none"/>
              </w:rPr>
              <w:t>满足要求得</w:t>
            </w:r>
            <w:r>
              <w:rPr>
                <w:rFonts w:ascii="宋体" w:hAnsi="宋体" w:cs="宋体"/>
                <w:sz w:val="18"/>
                <w:szCs w:val="18"/>
                <w:highlight w:val="none"/>
              </w:rPr>
              <w:t>8</w:t>
            </w:r>
            <w:r>
              <w:rPr>
                <w:rFonts w:hint="eastAsia" w:ascii="宋体" w:hAnsi="宋体" w:cs="宋体"/>
                <w:sz w:val="18"/>
                <w:szCs w:val="18"/>
                <w:highlight w:val="none"/>
              </w:rPr>
              <w:t>分，基本满足得</w:t>
            </w:r>
            <w:r>
              <w:rPr>
                <w:rFonts w:ascii="宋体" w:hAnsi="宋体" w:cs="宋体"/>
                <w:sz w:val="18"/>
                <w:szCs w:val="18"/>
                <w:highlight w:val="none"/>
              </w:rPr>
              <w:t>5</w:t>
            </w:r>
            <w:r>
              <w:rPr>
                <w:rFonts w:hint="eastAsia" w:ascii="宋体" w:hAnsi="宋体" w:cs="宋体"/>
                <w:sz w:val="18"/>
                <w:szCs w:val="18"/>
                <w:highlight w:val="none"/>
              </w:rPr>
              <w:t>分，不完善得</w:t>
            </w:r>
            <w:r>
              <w:rPr>
                <w:rFonts w:ascii="宋体" w:hAnsi="宋体" w:cs="宋体"/>
                <w:sz w:val="18"/>
                <w:szCs w:val="18"/>
                <w:highlight w:val="none"/>
              </w:rPr>
              <w:t>3</w:t>
            </w:r>
            <w:r>
              <w:rPr>
                <w:rFonts w:hint="eastAsia" w:ascii="宋体" w:hAnsi="宋体" w:cs="宋体"/>
                <w:sz w:val="18"/>
                <w:szCs w:val="18"/>
                <w:highlight w:val="none"/>
              </w:rPr>
              <w:t>分，无提供不得分。</w:t>
            </w:r>
          </w:p>
        </w:tc>
      </w:tr>
      <w:tr w14:paraId="38328A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DB54D2">
            <w:pPr>
              <w:spacing w:line="220" w:lineRule="exact"/>
              <w:rPr>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78DB98">
            <w:pPr>
              <w:spacing w:line="220" w:lineRule="exact"/>
              <w:rPr>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D4AC536">
            <w:pPr>
              <w:spacing w:line="220" w:lineRule="exact"/>
              <w:rPr>
                <w:rFonts w:ascii="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60C153C">
            <w:pPr>
              <w:spacing w:line="220" w:lineRule="exact"/>
              <w:jc w:val="center"/>
              <w:rPr>
                <w:rFonts w:ascii="宋体"/>
                <w:sz w:val="18"/>
                <w:szCs w:val="18"/>
                <w:highlight w:val="none"/>
              </w:rPr>
            </w:pPr>
            <w:r>
              <w:rPr>
                <w:rFonts w:ascii="宋体" w:hAnsi="宋体" w:cs="宋体"/>
                <w:sz w:val="18"/>
                <w:szCs w:val="18"/>
                <w:highlight w:val="none"/>
              </w:rPr>
              <w:t>8</w:t>
            </w:r>
          </w:p>
        </w:tc>
        <w:tc>
          <w:tcPr>
            <w:tcW w:w="0" w:type="auto"/>
            <w:tcBorders>
              <w:top w:val="single" w:color="auto" w:sz="4" w:space="0"/>
              <w:left w:val="single" w:color="auto" w:sz="4" w:space="0"/>
              <w:bottom w:val="single" w:color="auto" w:sz="4" w:space="0"/>
              <w:right w:val="single" w:color="auto" w:sz="4" w:space="0"/>
            </w:tcBorders>
          </w:tcPr>
          <w:p w14:paraId="61ED8F88">
            <w:pPr>
              <w:widowControl/>
              <w:jc w:val="left"/>
              <w:textAlignment w:val="center"/>
              <w:rPr>
                <w:rFonts w:ascii="宋体" w:hAnsi="宋体" w:cs="宋体"/>
                <w:kern w:val="0"/>
                <w:sz w:val="18"/>
                <w:szCs w:val="18"/>
                <w:highlight w:val="none"/>
              </w:rPr>
            </w:pPr>
          </w:p>
          <w:p w14:paraId="237C289E">
            <w:pPr>
              <w:widowControl/>
              <w:jc w:val="left"/>
              <w:textAlignment w:val="center"/>
              <w:rPr>
                <w:rFonts w:ascii="宋体"/>
                <w:kern w:val="0"/>
                <w:sz w:val="18"/>
                <w:szCs w:val="18"/>
                <w:highlight w:val="none"/>
              </w:rPr>
            </w:pPr>
            <w:r>
              <w:rPr>
                <w:rFonts w:ascii="宋体" w:hAnsi="宋体" w:cs="宋体"/>
                <w:kern w:val="0"/>
                <w:sz w:val="18"/>
                <w:szCs w:val="18"/>
                <w:highlight w:val="none"/>
              </w:rPr>
              <w:t>2</w:t>
            </w:r>
            <w:r>
              <w:rPr>
                <w:rFonts w:hint="eastAsia" w:ascii="宋体" w:hAnsi="宋体" w:cs="宋体"/>
                <w:kern w:val="0"/>
                <w:sz w:val="18"/>
                <w:szCs w:val="18"/>
                <w:highlight w:val="none"/>
              </w:rPr>
              <w:t>、有完善的适应项目所在地的</w:t>
            </w:r>
            <w:r>
              <w:rPr>
                <w:rFonts w:hint="eastAsia" w:ascii="宋体" w:hAnsi="宋体" w:cs="宋体"/>
                <w:sz w:val="18"/>
                <w:szCs w:val="18"/>
                <w:highlight w:val="none"/>
              </w:rPr>
              <w:t>温室大棚保险</w:t>
            </w:r>
            <w:r>
              <w:rPr>
                <w:rFonts w:hint="eastAsia" w:ascii="宋体" w:hAnsi="宋体" w:cs="宋体"/>
                <w:kern w:val="0"/>
                <w:sz w:val="18"/>
                <w:szCs w:val="18"/>
                <w:highlight w:val="none"/>
              </w:rPr>
              <w:t>查勘定损办法和损失测量工作机制。重点考察查勘定损办法的科学性、准确性</w:t>
            </w:r>
            <w:r>
              <w:rPr>
                <w:rFonts w:hint="eastAsia" w:ascii="宋体" w:hAnsi="宋体" w:cs="宋体"/>
                <w:sz w:val="18"/>
                <w:szCs w:val="18"/>
                <w:highlight w:val="none"/>
              </w:rPr>
              <w:t>：</w:t>
            </w:r>
          </w:p>
        </w:tc>
        <w:tc>
          <w:tcPr>
            <w:tcW w:w="0" w:type="auto"/>
            <w:tcBorders>
              <w:top w:val="single" w:color="auto" w:sz="4" w:space="0"/>
              <w:left w:val="single" w:color="auto" w:sz="4" w:space="0"/>
              <w:bottom w:val="single" w:color="auto" w:sz="4" w:space="0"/>
              <w:right w:val="single" w:color="auto" w:sz="4" w:space="0"/>
            </w:tcBorders>
            <w:vAlign w:val="center"/>
          </w:tcPr>
          <w:p w14:paraId="6BDD5CF5">
            <w:pPr>
              <w:widowControl/>
              <w:jc w:val="left"/>
              <w:textAlignment w:val="center"/>
              <w:rPr>
                <w:rFonts w:ascii="宋体"/>
                <w:kern w:val="0"/>
                <w:sz w:val="18"/>
                <w:szCs w:val="18"/>
                <w:highlight w:val="none"/>
              </w:rPr>
            </w:pPr>
            <w:r>
              <w:rPr>
                <w:rFonts w:hint="eastAsia" w:ascii="宋体" w:hAnsi="宋体" w:cs="宋体"/>
                <w:sz w:val="18"/>
                <w:szCs w:val="18"/>
                <w:highlight w:val="none"/>
              </w:rPr>
              <w:t>满足要求得</w:t>
            </w:r>
            <w:r>
              <w:rPr>
                <w:rFonts w:ascii="宋体" w:hAnsi="宋体" w:cs="宋体"/>
                <w:sz w:val="18"/>
                <w:szCs w:val="18"/>
                <w:highlight w:val="none"/>
              </w:rPr>
              <w:t>8</w:t>
            </w:r>
            <w:r>
              <w:rPr>
                <w:rFonts w:hint="eastAsia" w:ascii="宋体" w:hAnsi="宋体" w:cs="宋体"/>
                <w:sz w:val="18"/>
                <w:szCs w:val="18"/>
                <w:highlight w:val="none"/>
              </w:rPr>
              <w:t>分，基本满足得</w:t>
            </w:r>
            <w:r>
              <w:rPr>
                <w:rFonts w:ascii="宋体" w:hAnsi="宋体" w:cs="宋体"/>
                <w:sz w:val="18"/>
                <w:szCs w:val="18"/>
                <w:highlight w:val="none"/>
              </w:rPr>
              <w:t>5</w:t>
            </w:r>
            <w:r>
              <w:rPr>
                <w:rFonts w:hint="eastAsia" w:ascii="宋体" w:hAnsi="宋体" w:cs="宋体"/>
                <w:sz w:val="18"/>
                <w:szCs w:val="18"/>
                <w:highlight w:val="none"/>
              </w:rPr>
              <w:t>分，不完善得</w:t>
            </w:r>
            <w:r>
              <w:rPr>
                <w:rFonts w:ascii="宋体" w:hAnsi="宋体" w:cs="宋体"/>
                <w:sz w:val="18"/>
                <w:szCs w:val="18"/>
                <w:highlight w:val="none"/>
              </w:rPr>
              <w:t>3</w:t>
            </w:r>
            <w:r>
              <w:rPr>
                <w:rFonts w:hint="eastAsia" w:ascii="宋体" w:hAnsi="宋体" w:cs="宋体"/>
                <w:sz w:val="18"/>
                <w:szCs w:val="18"/>
                <w:highlight w:val="none"/>
              </w:rPr>
              <w:t>分，无提供不得分。</w:t>
            </w:r>
          </w:p>
        </w:tc>
      </w:tr>
      <w:tr w14:paraId="35FBB3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17" w:hRule="atLeast"/>
        </w:trPr>
        <w:tc>
          <w:tcPr>
            <w:tcW w:w="0" w:type="auto"/>
            <w:tcBorders>
              <w:top w:val="single" w:color="auto" w:sz="4" w:space="0"/>
              <w:left w:val="single" w:color="auto" w:sz="4" w:space="0"/>
              <w:bottom w:val="single" w:color="auto" w:sz="4" w:space="0"/>
              <w:right w:val="single" w:color="auto" w:sz="4" w:space="0"/>
            </w:tcBorders>
            <w:vAlign w:val="center"/>
          </w:tcPr>
          <w:p w14:paraId="1128BB9C">
            <w:pPr>
              <w:spacing w:line="220" w:lineRule="exact"/>
              <w:rPr>
                <w:rFonts w:ascii="宋体"/>
                <w:color w:val="000000"/>
                <w:sz w:val="18"/>
                <w:szCs w:val="18"/>
                <w:highlight w:val="none"/>
              </w:rPr>
            </w:pPr>
            <w:r>
              <w:rPr>
                <w:rFonts w:ascii="宋体" w:hAnsi="宋体" w:cs="宋体"/>
                <w:color w:val="000000"/>
                <w:sz w:val="18"/>
                <w:szCs w:val="18"/>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A0DB12">
            <w:pPr>
              <w:spacing w:line="220" w:lineRule="exact"/>
              <w:jc w:val="center"/>
              <w:rPr>
                <w:rFonts w:ascii="宋体"/>
                <w:color w:val="00000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A2FA644">
            <w:pPr>
              <w:spacing w:line="220" w:lineRule="exact"/>
              <w:jc w:val="center"/>
              <w:rPr>
                <w:rFonts w:ascii="宋体"/>
                <w:color w:val="000000"/>
                <w:sz w:val="18"/>
                <w:szCs w:val="18"/>
                <w:highlight w:val="none"/>
              </w:rPr>
            </w:pPr>
            <w:r>
              <w:rPr>
                <w:rFonts w:hint="eastAsia" w:ascii="宋体" w:hAnsi="宋体" w:cs="宋体"/>
                <w:sz w:val="18"/>
                <w:szCs w:val="18"/>
                <w:highlight w:val="none"/>
              </w:rPr>
              <w:t>理赔方案</w:t>
            </w:r>
          </w:p>
        </w:tc>
        <w:tc>
          <w:tcPr>
            <w:tcW w:w="0" w:type="auto"/>
            <w:tcBorders>
              <w:top w:val="single" w:color="auto" w:sz="4" w:space="0"/>
              <w:left w:val="single" w:color="auto" w:sz="4" w:space="0"/>
              <w:bottom w:val="single" w:color="auto" w:sz="4" w:space="0"/>
              <w:right w:val="single" w:color="auto" w:sz="4" w:space="0"/>
            </w:tcBorders>
            <w:vAlign w:val="center"/>
          </w:tcPr>
          <w:p w14:paraId="42B68581">
            <w:pPr>
              <w:spacing w:line="220" w:lineRule="exact"/>
              <w:jc w:val="center"/>
              <w:rPr>
                <w:rFonts w:ascii="宋体"/>
                <w:color w:val="000000"/>
                <w:sz w:val="18"/>
                <w:szCs w:val="18"/>
                <w:highlight w:val="none"/>
              </w:rPr>
            </w:pPr>
            <w:r>
              <w:rPr>
                <w:rFonts w:ascii="宋体" w:hAnsi="宋体" w:cs="宋体"/>
                <w:color w:val="000000"/>
                <w:sz w:val="18"/>
                <w:szCs w:val="18"/>
                <w:highlight w:val="none"/>
              </w:rPr>
              <w:t>20</w:t>
            </w:r>
          </w:p>
        </w:tc>
        <w:tc>
          <w:tcPr>
            <w:tcW w:w="0" w:type="auto"/>
            <w:tcBorders>
              <w:top w:val="single" w:color="auto" w:sz="4" w:space="0"/>
              <w:left w:val="single" w:color="auto" w:sz="4" w:space="0"/>
              <w:bottom w:val="single" w:color="auto" w:sz="4" w:space="0"/>
              <w:right w:val="single" w:color="auto" w:sz="4" w:space="0"/>
            </w:tcBorders>
            <w:vAlign w:val="center"/>
          </w:tcPr>
          <w:p w14:paraId="18E54002">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有完善的适应项目所在地的温室大棚保险理赔操作流程。重点考察理赔流程的方便性、时效性、准确性：</w:t>
            </w:r>
          </w:p>
        </w:tc>
        <w:tc>
          <w:tcPr>
            <w:tcW w:w="0" w:type="auto"/>
            <w:tcBorders>
              <w:top w:val="single" w:color="auto" w:sz="4" w:space="0"/>
              <w:left w:val="single" w:color="auto" w:sz="4" w:space="0"/>
              <w:bottom w:val="single" w:color="auto" w:sz="4" w:space="0"/>
              <w:right w:val="single" w:color="auto" w:sz="4" w:space="0"/>
            </w:tcBorders>
            <w:vAlign w:val="center"/>
          </w:tcPr>
          <w:p w14:paraId="3FC60C27">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理赔流程科学高效且具有可操作性的,得20分；理赔流程一般且能满足需要的,得15分；理赔流程方案不完整但能基本满足需要的,得10分；理赔流程存在明显不足的得5分。</w:t>
            </w:r>
          </w:p>
        </w:tc>
      </w:tr>
      <w:tr w14:paraId="26D01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47" w:hRule="atLeast"/>
        </w:trPr>
        <w:tc>
          <w:tcPr>
            <w:tcW w:w="0" w:type="auto"/>
            <w:tcBorders>
              <w:top w:val="single" w:color="auto" w:sz="4" w:space="0"/>
              <w:left w:val="single" w:color="auto" w:sz="4" w:space="0"/>
              <w:bottom w:val="single" w:color="auto" w:sz="4" w:space="0"/>
              <w:right w:val="single" w:color="auto" w:sz="4" w:space="0"/>
            </w:tcBorders>
            <w:vAlign w:val="center"/>
          </w:tcPr>
          <w:p w14:paraId="5FFC76C6">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FCFB26A">
            <w:pPr>
              <w:widowControl/>
              <w:jc w:val="left"/>
              <w:textAlignment w:val="center"/>
              <w:rPr>
                <w:rFonts w:ascii="宋体" w:hAnsi="宋体" w:cs="宋体"/>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FDB9D6F">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经营业绩</w:t>
            </w:r>
          </w:p>
        </w:tc>
        <w:tc>
          <w:tcPr>
            <w:tcW w:w="0" w:type="auto"/>
            <w:tcBorders>
              <w:top w:val="single" w:color="auto" w:sz="4" w:space="0"/>
              <w:left w:val="single" w:color="auto" w:sz="4" w:space="0"/>
              <w:bottom w:val="single" w:color="auto" w:sz="4" w:space="0"/>
              <w:right w:val="single" w:color="auto" w:sz="4" w:space="0"/>
            </w:tcBorders>
            <w:vAlign w:val="center"/>
          </w:tcPr>
          <w:p w14:paraId="4A7E0AB3">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14:paraId="184C72B3">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考察供应商2022年1月1日以来有全省温室大棚保险业绩经验。</w:t>
            </w:r>
          </w:p>
          <w:p w14:paraId="25D387D0">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注：须提供温室大棚保险保单复印件及相关证明材料并加盖公章。</w:t>
            </w:r>
          </w:p>
        </w:tc>
        <w:tc>
          <w:tcPr>
            <w:tcW w:w="0" w:type="auto"/>
            <w:tcBorders>
              <w:top w:val="single" w:color="auto" w:sz="4" w:space="0"/>
              <w:left w:val="single" w:color="auto" w:sz="4" w:space="0"/>
              <w:bottom w:val="single" w:color="auto" w:sz="4" w:space="0"/>
              <w:right w:val="single" w:color="auto" w:sz="4" w:space="0"/>
            </w:tcBorders>
            <w:vAlign w:val="center"/>
          </w:tcPr>
          <w:p w14:paraId="3F97D51D">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有温室大棚保险承保理赔经验的得5分，没有不得分。</w:t>
            </w:r>
          </w:p>
          <w:p w14:paraId="341F6901">
            <w:pPr>
              <w:widowControl/>
              <w:jc w:val="left"/>
              <w:textAlignment w:val="center"/>
              <w:rPr>
                <w:rFonts w:ascii="宋体" w:hAnsi="宋体" w:cs="宋体"/>
                <w:kern w:val="0"/>
                <w:sz w:val="18"/>
                <w:szCs w:val="18"/>
                <w:highlight w:val="none"/>
              </w:rPr>
            </w:pPr>
          </w:p>
        </w:tc>
      </w:tr>
      <w:tr w14:paraId="7BF2FA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42" w:hRule="atLeast"/>
        </w:trPr>
        <w:tc>
          <w:tcPr>
            <w:tcW w:w="0" w:type="auto"/>
            <w:tcBorders>
              <w:top w:val="single" w:color="auto" w:sz="4" w:space="0"/>
              <w:left w:val="single" w:color="auto" w:sz="4" w:space="0"/>
              <w:bottom w:val="single" w:color="auto" w:sz="4" w:space="0"/>
              <w:right w:val="single" w:color="auto" w:sz="4" w:space="0"/>
            </w:tcBorders>
            <w:vAlign w:val="center"/>
          </w:tcPr>
          <w:p w14:paraId="32531A25">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9981DA">
            <w:pPr>
              <w:widowControl/>
              <w:jc w:val="left"/>
              <w:textAlignment w:val="center"/>
              <w:rPr>
                <w:rFonts w:ascii="宋体" w:hAnsi="宋体" w:cs="宋体"/>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F85B5F">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分类监管评价</w:t>
            </w:r>
          </w:p>
        </w:tc>
        <w:tc>
          <w:tcPr>
            <w:tcW w:w="0" w:type="auto"/>
            <w:tcBorders>
              <w:top w:val="single" w:color="auto" w:sz="4" w:space="0"/>
              <w:left w:val="single" w:color="auto" w:sz="4" w:space="0"/>
              <w:bottom w:val="single" w:color="auto" w:sz="4" w:space="0"/>
              <w:right w:val="single" w:color="auto" w:sz="4" w:space="0"/>
            </w:tcBorders>
            <w:vAlign w:val="center"/>
          </w:tcPr>
          <w:p w14:paraId="11265E2C">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14:paraId="24ECF4AD">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根据供应商或上级公司2022年以来分类监管评价结果进行评审。</w:t>
            </w:r>
          </w:p>
          <w:p w14:paraId="0C09FA61">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注：须提供银保监部门公布的服务评价结果证明文件并加盖供应商公章，否则不得分。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6378EC3C">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获得A评价等级得5分，获得B评价等级得3分，获得C评价等级得2分，获得D（含）以下评价等级或不提供的不得分。</w:t>
            </w:r>
          </w:p>
          <w:p w14:paraId="4F6DBFF0">
            <w:pPr>
              <w:widowControl/>
              <w:jc w:val="left"/>
              <w:textAlignment w:val="center"/>
              <w:rPr>
                <w:rFonts w:ascii="宋体" w:hAnsi="宋体" w:cs="宋体"/>
                <w:kern w:val="0"/>
                <w:sz w:val="18"/>
                <w:szCs w:val="18"/>
                <w:highlight w:val="none"/>
              </w:rPr>
            </w:pPr>
          </w:p>
        </w:tc>
      </w:tr>
      <w:tr w14:paraId="173CF6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069" w:hRule="atLeast"/>
        </w:trPr>
        <w:tc>
          <w:tcPr>
            <w:tcW w:w="0" w:type="auto"/>
            <w:tcBorders>
              <w:top w:val="single" w:color="auto" w:sz="4" w:space="0"/>
              <w:left w:val="single" w:color="auto" w:sz="4" w:space="0"/>
              <w:bottom w:val="single" w:color="auto" w:sz="4" w:space="0"/>
              <w:right w:val="single" w:color="auto" w:sz="4" w:space="0"/>
            </w:tcBorders>
            <w:vAlign w:val="center"/>
          </w:tcPr>
          <w:p w14:paraId="51B1D6C0">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3B806E">
            <w:pPr>
              <w:widowControl/>
              <w:jc w:val="left"/>
              <w:textAlignment w:val="center"/>
              <w:rPr>
                <w:rFonts w:ascii="宋体" w:hAnsi="宋体" w:cs="宋体"/>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03290B6">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消费投诉处理工作评价</w:t>
            </w:r>
          </w:p>
        </w:tc>
        <w:tc>
          <w:tcPr>
            <w:tcW w:w="0" w:type="auto"/>
            <w:tcBorders>
              <w:top w:val="single" w:color="auto" w:sz="4" w:space="0"/>
              <w:left w:val="single" w:color="auto" w:sz="4" w:space="0"/>
              <w:bottom w:val="single" w:color="auto" w:sz="4" w:space="0"/>
              <w:right w:val="single" w:color="auto" w:sz="4" w:space="0"/>
            </w:tcBorders>
            <w:vAlign w:val="center"/>
          </w:tcPr>
          <w:p w14:paraId="50C97D3F">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8</w:t>
            </w:r>
          </w:p>
        </w:tc>
        <w:tc>
          <w:tcPr>
            <w:tcW w:w="0" w:type="auto"/>
            <w:tcBorders>
              <w:top w:val="single" w:color="auto" w:sz="4" w:space="0"/>
              <w:left w:val="single" w:color="auto" w:sz="4" w:space="0"/>
              <w:bottom w:val="single" w:color="auto" w:sz="4" w:space="0"/>
              <w:right w:val="single" w:color="auto" w:sz="4" w:space="0"/>
            </w:tcBorders>
            <w:vAlign w:val="center"/>
          </w:tcPr>
          <w:p w14:paraId="1BF216BC">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为保障消费者权益，完善社会治理体系，根据《广东保险公司保险消费投诉处理工作评价暂行办法》，供应商2023年以来的保险公司保险投诉评价结果，亿元保费投诉率由低至高进行综合对比。</w:t>
            </w:r>
          </w:p>
          <w:p w14:paraId="0C6F3DF6">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注：须提供广东银保监部门近年对供应商开展保险消费者投诉处理工作评价的证明材料复印件作为评审依据。</w:t>
            </w:r>
          </w:p>
        </w:tc>
        <w:tc>
          <w:tcPr>
            <w:tcW w:w="0" w:type="auto"/>
            <w:tcBorders>
              <w:top w:val="single" w:color="auto" w:sz="4" w:space="0"/>
              <w:left w:val="single" w:color="auto" w:sz="4" w:space="0"/>
              <w:bottom w:val="single" w:color="auto" w:sz="4" w:space="0"/>
              <w:right w:val="single" w:color="auto" w:sz="4" w:space="0"/>
            </w:tcBorders>
            <w:vAlign w:val="center"/>
          </w:tcPr>
          <w:p w14:paraId="27F0E862">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由评审小组评出三个档次。第一档次得8分，第二档次得5分，第三档次得2分。</w:t>
            </w:r>
          </w:p>
        </w:tc>
      </w:tr>
      <w:tr w14:paraId="53CE3D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18" w:hRule="atLeast"/>
        </w:trPr>
        <w:tc>
          <w:tcPr>
            <w:tcW w:w="0" w:type="auto"/>
            <w:tcBorders>
              <w:top w:val="single" w:color="auto" w:sz="4" w:space="0"/>
              <w:left w:val="single" w:color="auto" w:sz="4" w:space="0"/>
              <w:bottom w:val="single" w:color="auto" w:sz="4" w:space="0"/>
              <w:right w:val="single" w:color="auto" w:sz="4" w:space="0"/>
            </w:tcBorders>
            <w:vAlign w:val="center"/>
          </w:tcPr>
          <w:p w14:paraId="1B26039E">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E7C608">
            <w:pPr>
              <w:widowControl/>
              <w:jc w:val="left"/>
              <w:textAlignment w:val="center"/>
              <w:rPr>
                <w:rFonts w:ascii="宋体" w:hAnsi="宋体" w:cs="宋体"/>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C8B6051">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其他增值服务</w:t>
            </w:r>
          </w:p>
        </w:tc>
        <w:tc>
          <w:tcPr>
            <w:tcW w:w="0" w:type="auto"/>
            <w:tcBorders>
              <w:top w:val="single" w:color="auto" w:sz="4" w:space="0"/>
              <w:left w:val="single" w:color="auto" w:sz="4" w:space="0"/>
              <w:bottom w:val="single" w:color="auto" w:sz="4" w:space="0"/>
              <w:right w:val="single" w:color="auto" w:sz="4" w:space="0"/>
            </w:tcBorders>
            <w:vAlign w:val="center"/>
          </w:tcPr>
          <w:p w14:paraId="30DA723D">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0" w:type="auto"/>
            <w:tcBorders>
              <w:top w:val="single" w:color="auto" w:sz="4" w:space="0"/>
              <w:left w:val="single" w:color="auto" w:sz="4" w:space="0"/>
              <w:bottom w:val="single" w:color="auto" w:sz="4" w:space="0"/>
              <w:right w:val="single" w:color="auto" w:sz="4" w:space="0"/>
            </w:tcBorders>
            <w:vAlign w:val="center"/>
          </w:tcPr>
          <w:p w14:paraId="55FDF83F">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考察增值服务内容，综合评定。</w:t>
            </w:r>
          </w:p>
        </w:tc>
        <w:tc>
          <w:tcPr>
            <w:tcW w:w="0" w:type="auto"/>
            <w:tcBorders>
              <w:top w:val="single" w:color="auto" w:sz="4" w:space="0"/>
              <w:left w:val="single" w:color="auto" w:sz="4" w:space="0"/>
              <w:bottom w:val="single" w:color="auto" w:sz="4" w:space="0"/>
              <w:right w:val="single" w:color="auto" w:sz="4" w:space="0"/>
            </w:tcBorders>
            <w:vAlign w:val="center"/>
          </w:tcPr>
          <w:p w14:paraId="6DB7E3FB">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增值服务内容较好得6分，一般得3分，无提供不得分。</w:t>
            </w:r>
          </w:p>
        </w:tc>
      </w:tr>
      <w:tr w14:paraId="745D0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0" w:type="auto"/>
            <w:tcBorders>
              <w:top w:val="single" w:color="auto" w:sz="4" w:space="0"/>
              <w:left w:val="single" w:color="auto" w:sz="4" w:space="0"/>
              <w:bottom w:val="single" w:color="auto" w:sz="4" w:space="0"/>
              <w:right w:val="single" w:color="auto" w:sz="4" w:space="0"/>
            </w:tcBorders>
            <w:vAlign w:val="center"/>
          </w:tcPr>
          <w:p w14:paraId="72F7608B">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8</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0B79F6E">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价格得分</w:t>
            </w:r>
          </w:p>
        </w:tc>
        <w:tc>
          <w:tcPr>
            <w:tcW w:w="0" w:type="auto"/>
            <w:tcBorders>
              <w:top w:val="single" w:color="auto" w:sz="4" w:space="0"/>
              <w:left w:val="single" w:color="auto" w:sz="4" w:space="0"/>
              <w:bottom w:val="single" w:color="auto" w:sz="4" w:space="0"/>
              <w:right w:val="single" w:color="auto" w:sz="4" w:space="0"/>
            </w:tcBorders>
            <w:vAlign w:val="center"/>
          </w:tcPr>
          <w:p w14:paraId="476763AA">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30</w:t>
            </w:r>
          </w:p>
        </w:tc>
        <w:tc>
          <w:tcPr>
            <w:tcW w:w="0" w:type="auto"/>
            <w:tcBorders>
              <w:top w:val="single" w:color="auto" w:sz="4" w:space="0"/>
              <w:left w:val="single" w:color="auto" w:sz="4" w:space="0"/>
              <w:bottom w:val="single" w:color="auto" w:sz="4" w:space="0"/>
              <w:right w:val="single" w:color="auto" w:sz="4" w:space="0"/>
            </w:tcBorders>
            <w:vAlign w:val="center"/>
          </w:tcPr>
          <w:p w14:paraId="3D542130">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按照供应商报价情况进行打分</w:t>
            </w:r>
          </w:p>
        </w:tc>
        <w:tc>
          <w:tcPr>
            <w:tcW w:w="0" w:type="auto"/>
            <w:tcBorders>
              <w:top w:val="single" w:color="auto" w:sz="4" w:space="0"/>
              <w:left w:val="single" w:color="auto" w:sz="4" w:space="0"/>
              <w:bottom w:val="single" w:color="auto" w:sz="4" w:space="0"/>
              <w:right w:val="single" w:color="auto" w:sz="4" w:space="0"/>
            </w:tcBorders>
            <w:vAlign w:val="center"/>
          </w:tcPr>
          <w:p w14:paraId="58C187FD">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价格分采用低价优先法计算，即满足招标文件要求且投标价格最低的投标报价为评标基准价，其价格分为满分。其他供应商的价格分统一按照下列公式计算：</w:t>
            </w:r>
          </w:p>
          <w:p w14:paraId="2590BDA8">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投标报价得分=(评标基准价／投标报价)×100×权重</w:t>
            </w:r>
          </w:p>
          <w:p w14:paraId="57CB557C">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备注：投标报价得分四舍五入后，小数点后保留两位有效数。</w:t>
            </w:r>
          </w:p>
        </w:tc>
      </w:tr>
    </w:tbl>
    <w:p w14:paraId="45F2283E">
      <w:pPr>
        <w:widowControl/>
        <w:jc w:val="left"/>
        <w:textAlignment w:val="center"/>
        <w:rPr>
          <w:rFonts w:ascii="宋体" w:hAnsi="宋体" w:cs="宋体"/>
          <w:kern w:val="0"/>
          <w:sz w:val="18"/>
          <w:szCs w:val="18"/>
          <w:highlight w:val="none"/>
        </w:rPr>
      </w:pPr>
    </w:p>
    <w:p w14:paraId="57A5F261">
      <w:pPr>
        <w:pStyle w:val="2"/>
        <w:rPr>
          <w:rFonts w:ascii="宋体" w:hAnsi="宋体" w:cs="宋体"/>
          <w:b w:val="0"/>
          <w:bCs w:val="0"/>
          <w:kern w:val="0"/>
          <w:sz w:val="18"/>
          <w:szCs w:val="18"/>
          <w:highlight w:val="none"/>
        </w:rPr>
      </w:pPr>
    </w:p>
    <w:p w14:paraId="4CCA202B">
      <w:pPr>
        <w:pStyle w:val="2"/>
        <w:rPr>
          <w:rFonts w:ascii="宋体" w:hAnsi="宋体" w:cs="宋体"/>
          <w:b w:val="0"/>
          <w:bCs w:val="0"/>
          <w:kern w:val="0"/>
          <w:sz w:val="18"/>
          <w:szCs w:val="18"/>
          <w:highlight w:val="none"/>
        </w:rPr>
      </w:pPr>
    </w:p>
    <w:p w14:paraId="5027B341">
      <w:pPr>
        <w:ind w:firstLine="321" w:firstLineChars="100"/>
        <w:jc w:val="center"/>
        <w:rPr>
          <w:rFonts w:ascii="仿宋" w:hAnsi="仿宋" w:eastAsia="仿宋"/>
          <w:b/>
          <w:bCs/>
          <w:sz w:val="32"/>
          <w:szCs w:val="32"/>
          <w:highlight w:val="none"/>
        </w:rPr>
      </w:pPr>
      <w:r>
        <w:rPr>
          <w:rFonts w:hint="eastAsia" w:ascii="仿宋" w:hAnsi="仿宋" w:eastAsia="仿宋" w:cs="仿宋"/>
          <w:b/>
          <w:bCs/>
          <w:sz w:val="32"/>
          <w:szCs w:val="32"/>
          <w:highlight w:val="none"/>
        </w:rPr>
        <w:t>表</w:t>
      </w:r>
      <w:r>
        <w:rPr>
          <w:rFonts w:ascii="仿宋" w:hAnsi="仿宋" w:eastAsia="仿宋" w:cs="仿宋"/>
          <w:b/>
          <w:bCs/>
          <w:sz w:val="32"/>
          <w:szCs w:val="32"/>
          <w:highlight w:val="none"/>
        </w:rPr>
        <w:t>2</w:t>
      </w:r>
      <w:r>
        <w:rPr>
          <w:rFonts w:hint="eastAsia" w:ascii="仿宋" w:hAnsi="仿宋" w:eastAsia="仿宋" w:cs="仿宋"/>
          <w:b/>
          <w:bCs/>
          <w:sz w:val="32"/>
          <w:szCs w:val="32"/>
          <w:highlight w:val="none"/>
        </w:rPr>
        <w:t>商务技术评分表</w:t>
      </w:r>
    </w:p>
    <w:tbl>
      <w:tblPr>
        <w:tblStyle w:val="8"/>
        <w:tblpPr w:leftFromText="180" w:rightFromText="180" w:vertAnchor="text" w:horzAnchor="page" w:tblpX="1751" w:tblpY="629"/>
        <w:tblOverlap w:val="never"/>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875"/>
        <w:gridCol w:w="762"/>
        <w:gridCol w:w="762"/>
        <w:gridCol w:w="762"/>
        <w:gridCol w:w="762"/>
        <w:gridCol w:w="762"/>
        <w:gridCol w:w="762"/>
        <w:gridCol w:w="762"/>
        <w:gridCol w:w="763"/>
      </w:tblGrid>
      <w:tr w14:paraId="6ECE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2" w:type="dxa"/>
            <w:tcBorders>
              <w:top w:val="single" w:color="000000" w:sz="4" w:space="0"/>
              <w:left w:val="single" w:color="000000" w:sz="4" w:space="0"/>
              <w:bottom w:val="single" w:color="000000" w:sz="4" w:space="0"/>
              <w:right w:val="single" w:color="000000" w:sz="4" w:space="0"/>
            </w:tcBorders>
            <w:vAlign w:val="center"/>
          </w:tcPr>
          <w:p w14:paraId="159E005F">
            <w:pPr>
              <w:jc w:val="center"/>
              <w:rPr>
                <w:kern w:val="0"/>
                <w:sz w:val="20"/>
                <w:szCs w:val="20"/>
                <w:highlight w:val="none"/>
              </w:rPr>
            </w:pPr>
            <w:r>
              <w:rPr>
                <w:rFonts w:hint="eastAsia" w:cs="宋体"/>
                <w:kern w:val="0"/>
                <w:sz w:val="20"/>
                <w:szCs w:val="20"/>
                <w:highlight w:val="none"/>
              </w:rPr>
              <w:t>序号</w:t>
            </w:r>
          </w:p>
        </w:tc>
        <w:tc>
          <w:tcPr>
            <w:tcW w:w="1875" w:type="dxa"/>
            <w:tcBorders>
              <w:top w:val="single" w:color="000000" w:sz="4" w:space="0"/>
              <w:left w:val="single" w:color="000000" w:sz="4" w:space="0"/>
              <w:bottom w:val="single" w:color="000000" w:sz="4" w:space="0"/>
              <w:right w:val="single" w:color="000000" w:sz="4" w:space="0"/>
            </w:tcBorders>
            <w:vAlign w:val="center"/>
          </w:tcPr>
          <w:p w14:paraId="485263EA">
            <w:pPr>
              <w:jc w:val="center"/>
              <w:rPr>
                <w:rFonts w:ascii="宋体"/>
                <w:color w:val="000000"/>
                <w:highlight w:val="none"/>
              </w:rPr>
            </w:pPr>
            <w:r>
              <w:rPr>
                <w:rFonts w:hint="eastAsia" w:cs="宋体"/>
                <w:kern w:val="0"/>
                <w:sz w:val="20"/>
                <w:szCs w:val="20"/>
                <w:highlight w:val="none"/>
              </w:rPr>
              <w:t>供应商</w:t>
            </w:r>
          </w:p>
        </w:tc>
        <w:tc>
          <w:tcPr>
            <w:tcW w:w="762" w:type="dxa"/>
            <w:tcBorders>
              <w:top w:val="single" w:color="000000" w:sz="4" w:space="0"/>
              <w:left w:val="single" w:color="000000" w:sz="4" w:space="0"/>
              <w:bottom w:val="single" w:color="000000" w:sz="4" w:space="0"/>
              <w:right w:val="single" w:color="000000" w:sz="4" w:space="0"/>
            </w:tcBorders>
            <w:vAlign w:val="center"/>
          </w:tcPr>
          <w:p w14:paraId="59E059E0">
            <w:pPr>
              <w:jc w:val="center"/>
              <w:rPr>
                <w:rFonts w:ascii="宋体"/>
                <w:color w:val="000000"/>
                <w:highlight w:val="none"/>
              </w:rPr>
            </w:pPr>
            <w:r>
              <w:rPr>
                <w:rFonts w:hint="eastAsia" w:ascii="宋体" w:hAnsi="宋体" w:cs="宋体"/>
                <w:color w:val="000000"/>
                <w:highlight w:val="none"/>
              </w:rPr>
              <w:t>承保方案</w:t>
            </w:r>
            <w:r>
              <w:rPr>
                <w:rFonts w:ascii="宋体" w:hAnsi="宋体" w:cs="宋体"/>
                <w:color w:val="000000"/>
                <w:highlight w:val="none"/>
              </w:rPr>
              <w:t>(10</w:t>
            </w:r>
            <w:r>
              <w:rPr>
                <w:rFonts w:hint="eastAsia" w:ascii="宋体" w:hAnsi="宋体" w:cs="宋体"/>
                <w:color w:val="000000"/>
                <w:highlight w:val="none"/>
              </w:rPr>
              <w:t>分</w:t>
            </w:r>
            <w:r>
              <w:rPr>
                <w:rFonts w:ascii="宋体" w:hAnsi="宋体" w:cs="宋体"/>
                <w:color w:val="000000"/>
                <w:highlight w:val="none"/>
              </w:rPr>
              <w:t>)</w:t>
            </w:r>
          </w:p>
        </w:tc>
        <w:tc>
          <w:tcPr>
            <w:tcW w:w="762" w:type="dxa"/>
            <w:tcBorders>
              <w:left w:val="single" w:color="000000" w:sz="4" w:space="0"/>
            </w:tcBorders>
            <w:vAlign w:val="center"/>
          </w:tcPr>
          <w:p w14:paraId="072EFAD4">
            <w:pPr>
              <w:jc w:val="center"/>
              <w:rPr>
                <w:rFonts w:ascii="宋体"/>
                <w:color w:val="000000"/>
                <w:highlight w:val="none"/>
              </w:rPr>
            </w:pPr>
            <w:r>
              <w:rPr>
                <w:rFonts w:hint="eastAsia" w:ascii="宋体" w:hAnsi="宋体" w:cs="宋体"/>
                <w:color w:val="000000"/>
                <w:highlight w:val="none"/>
              </w:rPr>
              <w:t>定损方案</w:t>
            </w:r>
            <w:r>
              <w:rPr>
                <w:rFonts w:ascii="宋体" w:hAnsi="宋体" w:cs="宋体"/>
                <w:color w:val="000000"/>
                <w:highlight w:val="none"/>
              </w:rPr>
              <w:t>(16</w:t>
            </w:r>
            <w:r>
              <w:rPr>
                <w:rFonts w:hint="eastAsia" w:ascii="宋体" w:hAnsi="宋体" w:cs="宋体"/>
                <w:color w:val="000000"/>
                <w:highlight w:val="none"/>
              </w:rPr>
              <w:t>分</w:t>
            </w:r>
            <w:r>
              <w:rPr>
                <w:rFonts w:ascii="宋体" w:hAnsi="宋体" w:cs="宋体"/>
                <w:color w:val="000000"/>
                <w:highlight w:val="none"/>
              </w:rPr>
              <w:t>)</w:t>
            </w:r>
          </w:p>
        </w:tc>
        <w:tc>
          <w:tcPr>
            <w:tcW w:w="762" w:type="dxa"/>
            <w:vAlign w:val="center"/>
          </w:tcPr>
          <w:p w14:paraId="2835353B">
            <w:pPr>
              <w:jc w:val="center"/>
              <w:rPr>
                <w:rFonts w:ascii="宋体"/>
                <w:color w:val="000000"/>
                <w:highlight w:val="none"/>
              </w:rPr>
            </w:pPr>
            <w:r>
              <w:rPr>
                <w:rFonts w:hint="eastAsia" w:ascii="宋体" w:hAnsi="宋体" w:cs="宋体"/>
                <w:color w:val="000000"/>
                <w:highlight w:val="none"/>
              </w:rPr>
              <w:t>理赔方案</w:t>
            </w:r>
            <w:r>
              <w:rPr>
                <w:rFonts w:ascii="宋体" w:hAnsi="宋体" w:cs="宋体"/>
                <w:color w:val="000000"/>
                <w:highlight w:val="none"/>
              </w:rPr>
              <w:t>(20</w:t>
            </w:r>
            <w:r>
              <w:rPr>
                <w:rFonts w:hint="eastAsia" w:ascii="宋体" w:hAnsi="宋体" w:cs="宋体"/>
                <w:color w:val="000000"/>
                <w:highlight w:val="none"/>
              </w:rPr>
              <w:t>分</w:t>
            </w:r>
            <w:r>
              <w:rPr>
                <w:rFonts w:ascii="宋体" w:hAnsi="宋体" w:cs="宋体"/>
                <w:color w:val="000000"/>
                <w:highlight w:val="none"/>
              </w:rPr>
              <w:t>)</w:t>
            </w:r>
          </w:p>
        </w:tc>
        <w:tc>
          <w:tcPr>
            <w:tcW w:w="762" w:type="dxa"/>
            <w:vAlign w:val="center"/>
          </w:tcPr>
          <w:p w14:paraId="4774AA25">
            <w:pPr>
              <w:jc w:val="center"/>
              <w:rPr>
                <w:rFonts w:ascii="宋体"/>
                <w:color w:val="000000"/>
                <w:highlight w:val="none"/>
              </w:rPr>
            </w:pPr>
            <w:r>
              <w:rPr>
                <w:rFonts w:hint="eastAsia" w:ascii="宋体" w:hAnsi="宋体" w:cs="宋体"/>
                <w:color w:val="000000"/>
                <w:highlight w:val="none"/>
              </w:rPr>
              <w:t>经营业绩</w:t>
            </w:r>
            <w:r>
              <w:rPr>
                <w:rFonts w:ascii="宋体" w:hAnsi="宋体" w:cs="宋体"/>
                <w:color w:val="000000"/>
                <w:highlight w:val="none"/>
              </w:rPr>
              <w:t>(5</w:t>
            </w:r>
            <w:r>
              <w:rPr>
                <w:rFonts w:hint="eastAsia" w:ascii="宋体" w:hAnsi="宋体" w:cs="宋体"/>
                <w:color w:val="000000"/>
                <w:highlight w:val="none"/>
              </w:rPr>
              <w:t>分</w:t>
            </w:r>
            <w:r>
              <w:rPr>
                <w:rFonts w:ascii="宋体" w:hAnsi="宋体" w:cs="宋体"/>
                <w:color w:val="000000"/>
                <w:highlight w:val="none"/>
              </w:rPr>
              <w:t>)</w:t>
            </w:r>
          </w:p>
        </w:tc>
        <w:tc>
          <w:tcPr>
            <w:tcW w:w="762" w:type="dxa"/>
            <w:vAlign w:val="center"/>
          </w:tcPr>
          <w:p w14:paraId="55630196">
            <w:pPr>
              <w:jc w:val="center"/>
              <w:rPr>
                <w:rFonts w:ascii="宋体"/>
                <w:color w:val="000000"/>
                <w:highlight w:val="none"/>
              </w:rPr>
            </w:pPr>
            <w:r>
              <w:rPr>
                <w:rFonts w:hint="eastAsia" w:ascii="宋体" w:hAnsi="宋体" w:cs="宋体"/>
                <w:color w:val="000000"/>
                <w:highlight w:val="none"/>
              </w:rPr>
              <w:t>分类监管评价</w:t>
            </w:r>
            <w:r>
              <w:rPr>
                <w:rFonts w:ascii="宋体" w:hAnsi="宋体" w:cs="宋体"/>
                <w:color w:val="000000"/>
                <w:highlight w:val="none"/>
              </w:rPr>
              <w:t>(</w:t>
            </w:r>
            <w:r>
              <w:rPr>
                <w:rFonts w:hint="eastAsia" w:ascii="宋体" w:hAnsi="宋体" w:cs="宋体"/>
                <w:color w:val="000000"/>
                <w:highlight w:val="none"/>
              </w:rPr>
              <w:t>5分</w:t>
            </w:r>
            <w:r>
              <w:rPr>
                <w:rFonts w:ascii="宋体" w:hAnsi="宋体" w:cs="宋体"/>
                <w:color w:val="000000"/>
                <w:highlight w:val="none"/>
              </w:rPr>
              <w:t>)</w:t>
            </w:r>
          </w:p>
        </w:tc>
        <w:tc>
          <w:tcPr>
            <w:tcW w:w="762" w:type="dxa"/>
            <w:vAlign w:val="center"/>
          </w:tcPr>
          <w:p w14:paraId="53A14656">
            <w:pPr>
              <w:jc w:val="center"/>
              <w:rPr>
                <w:rFonts w:ascii="宋体"/>
                <w:color w:val="000000"/>
                <w:highlight w:val="none"/>
              </w:rPr>
            </w:pPr>
            <w:r>
              <w:rPr>
                <w:rFonts w:hint="eastAsia" w:ascii="宋体" w:hAnsi="宋体" w:cs="宋体"/>
                <w:color w:val="000000"/>
                <w:highlight w:val="none"/>
              </w:rPr>
              <w:t>消费投诉处理工作评价</w:t>
            </w:r>
            <w:r>
              <w:rPr>
                <w:rFonts w:ascii="宋体" w:hAnsi="宋体" w:cs="宋体"/>
                <w:color w:val="000000"/>
                <w:highlight w:val="none"/>
              </w:rPr>
              <w:t>(</w:t>
            </w:r>
            <w:r>
              <w:rPr>
                <w:rFonts w:hint="eastAsia" w:ascii="宋体" w:hAnsi="宋体" w:cs="宋体"/>
                <w:color w:val="000000"/>
                <w:highlight w:val="none"/>
              </w:rPr>
              <w:t>8分</w:t>
            </w:r>
            <w:r>
              <w:rPr>
                <w:rFonts w:ascii="宋体" w:hAnsi="宋体" w:cs="宋体"/>
                <w:color w:val="000000"/>
                <w:highlight w:val="none"/>
              </w:rPr>
              <w:t>)</w:t>
            </w:r>
          </w:p>
        </w:tc>
        <w:tc>
          <w:tcPr>
            <w:tcW w:w="762" w:type="dxa"/>
            <w:vAlign w:val="center"/>
          </w:tcPr>
          <w:p w14:paraId="0FC82DE2">
            <w:pPr>
              <w:jc w:val="center"/>
              <w:rPr>
                <w:rFonts w:ascii="宋体"/>
                <w:color w:val="000000"/>
                <w:highlight w:val="none"/>
              </w:rPr>
            </w:pPr>
            <w:r>
              <w:rPr>
                <w:rFonts w:hint="eastAsia" w:ascii="宋体" w:hAnsi="宋体" w:cs="宋体"/>
                <w:color w:val="000000"/>
                <w:highlight w:val="none"/>
              </w:rPr>
              <w:t>其他增值服务（6分）</w:t>
            </w:r>
          </w:p>
        </w:tc>
        <w:tc>
          <w:tcPr>
            <w:tcW w:w="763" w:type="dxa"/>
            <w:vAlign w:val="center"/>
          </w:tcPr>
          <w:p w14:paraId="4323F5EA">
            <w:pPr>
              <w:jc w:val="center"/>
              <w:rPr>
                <w:rFonts w:ascii="宋体"/>
                <w:color w:val="000000"/>
                <w:highlight w:val="none"/>
              </w:rPr>
            </w:pPr>
            <w:r>
              <w:rPr>
                <w:rFonts w:hint="eastAsia" w:ascii="宋体" w:hAnsi="宋体" w:cs="宋体"/>
                <w:color w:val="000000"/>
                <w:highlight w:val="none"/>
              </w:rPr>
              <w:t>合计</w:t>
            </w:r>
          </w:p>
        </w:tc>
      </w:tr>
      <w:tr w14:paraId="42AA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vAlign w:val="center"/>
          </w:tcPr>
          <w:p w14:paraId="2705FF2C">
            <w:pPr>
              <w:jc w:val="center"/>
              <w:rPr>
                <w:b/>
                <w:bCs/>
                <w:kern w:val="0"/>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F854DEE">
            <w:pPr>
              <w:jc w:val="center"/>
              <w:rPr>
                <w:b/>
                <w:bCs/>
                <w:kern w:val="0"/>
                <w:sz w:val="20"/>
                <w:szCs w:val="20"/>
                <w:highlight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17410E5B">
            <w:pPr>
              <w:jc w:val="center"/>
              <w:rPr>
                <w:b/>
                <w:bCs/>
                <w:kern w:val="0"/>
                <w:sz w:val="20"/>
                <w:szCs w:val="20"/>
                <w:highlight w:val="none"/>
              </w:rPr>
            </w:pPr>
          </w:p>
        </w:tc>
        <w:tc>
          <w:tcPr>
            <w:tcW w:w="762" w:type="dxa"/>
            <w:tcBorders>
              <w:left w:val="single" w:color="000000" w:sz="4" w:space="0"/>
            </w:tcBorders>
            <w:vAlign w:val="center"/>
          </w:tcPr>
          <w:p w14:paraId="330DBB0D">
            <w:pPr>
              <w:jc w:val="center"/>
              <w:rPr>
                <w:b/>
                <w:bCs/>
                <w:kern w:val="0"/>
                <w:sz w:val="20"/>
                <w:szCs w:val="20"/>
                <w:highlight w:val="none"/>
              </w:rPr>
            </w:pPr>
          </w:p>
        </w:tc>
        <w:tc>
          <w:tcPr>
            <w:tcW w:w="762" w:type="dxa"/>
            <w:vAlign w:val="center"/>
          </w:tcPr>
          <w:p w14:paraId="6447A1E5">
            <w:pPr>
              <w:jc w:val="center"/>
              <w:rPr>
                <w:b/>
                <w:bCs/>
                <w:kern w:val="0"/>
                <w:sz w:val="20"/>
                <w:szCs w:val="20"/>
                <w:highlight w:val="none"/>
              </w:rPr>
            </w:pPr>
          </w:p>
        </w:tc>
        <w:tc>
          <w:tcPr>
            <w:tcW w:w="762" w:type="dxa"/>
          </w:tcPr>
          <w:p w14:paraId="794B836E">
            <w:pPr>
              <w:jc w:val="center"/>
              <w:rPr>
                <w:b/>
                <w:bCs/>
                <w:kern w:val="0"/>
                <w:sz w:val="20"/>
                <w:szCs w:val="20"/>
                <w:highlight w:val="none"/>
              </w:rPr>
            </w:pPr>
          </w:p>
        </w:tc>
        <w:tc>
          <w:tcPr>
            <w:tcW w:w="762" w:type="dxa"/>
          </w:tcPr>
          <w:p w14:paraId="2C6FEBFE">
            <w:pPr>
              <w:jc w:val="center"/>
              <w:rPr>
                <w:b/>
                <w:bCs/>
                <w:kern w:val="0"/>
                <w:sz w:val="20"/>
                <w:szCs w:val="20"/>
                <w:highlight w:val="none"/>
              </w:rPr>
            </w:pPr>
          </w:p>
        </w:tc>
        <w:tc>
          <w:tcPr>
            <w:tcW w:w="762" w:type="dxa"/>
          </w:tcPr>
          <w:p w14:paraId="2BEE8A7F">
            <w:pPr>
              <w:jc w:val="center"/>
              <w:rPr>
                <w:b/>
                <w:bCs/>
                <w:kern w:val="0"/>
                <w:sz w:val="20"/>
                <w:szCs w:val="20"/>
                <w:highlight w:val="none"/>
              </w:rPr>
            </w:pPr>
          </w:p>
        </w:tc>
        <w:tc>
          <w:tcPr>
            <w:tcW w:w="762" w:type="dxa"/>
          </w:tcPr>
          <w:p w14:paraId="719508EF">
            <w:pPr>
              <w:jc w:val="center"/>
              <w:rPr>
                <w:b/>
                <w:bCs/>
                <w:kern w:val="0"/>
                <w:sz w:val="20"/>
                <w:szCs w:val="20"/>
                <w:highlight w:val="none"/>
              </w:rPr>
            </w:pPr>
          </w:p>
        </w:tc>
        <w:tc>
          <w:tcPr>
            <w:tcW w:w="763" w:type="dxa"/>
          </w:tcPr>
          <w:p w14:paraId="10BE3CA6">
            <w:pPr>
              <w:jc w:val="center"/>
              <w:rPr>
                <w:b/>
                <w:bCs/>
                <w:kern w:val="0"/>
                <w:sz w:val="20"/>
                <w:szCs w:val="20"/>
                <w:highlight w:val="none"/>
              </w:rPr>
            </w:pPr>
          </w:p>
        </w:tc>
      </w:tr>
      <w:tr w14:paraId="661B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vAlign w:val="center"/>
          </w:tcPr>
          <w:p w14:paraId="47FF1E56">
            <w:pPr>
              <w:jc w:val="center"/>
              <w:rPr>
                <w:b/>
                <w:bCs/>
                <w:kern w:val="0"/>
                <w:sz w:val="20"/>
                <w:szCs w:val="20"/>
                <w:highlight w:val="none"/>
              </w:rPr>
            </w:pPr>
          </w:p>
        </w:tc>
        <w:tc>
          <w:tcPr>
            <w:tcW w:w="1875" w:type="dxa"/>
            <w:vAlign w:val="center"/>
          </w:tcPr>
          <w:p w14:paraId="31A91BF4">
            <w:pPr>
              <w:jc w:val="center"/>
              <w:rPr>
                <w:b/>
                <w:bCs/>
                <w:kern w:val="0"/>
                <w:sz w:val="20"/>
                <w:szCs w:val="20"/>
                <w:highlight w:val="none"/>
              </w:rPr>
            </w:pPr>
          </w:p>
        </w:tc>
        <w:tc>
          <w:tcPr>
            <w:tcW w:w="762" w:type="dxa"/>
            <w:vAlign w:val="center"/>
          </w:tcPr>
          <w:p w14:paraId="6F6C11D6">
            <w:pPr>
              <w:jc w:val="center"/>
              <w:rPr>
                <w:b/>
                <w:bCs/>
                <w:kern w:val="0"/>
                <w:sz w:val="20"/>
                <w:szCs w:val="20"/>
                <w:highlight w:val="none"/>
              </w:rPr>
            </w:pPr>
          </w:p>
        </w:tc>
        <w:tc>
          <w:tcPr>
            <w:tcW w:w="762" w:type="dxa"/>
            <w:vAlign w:val="center"/>
          </w:tcPr>
          <w:p w14:paraId="40919F1A">
            <w:pPr>
              <w:jc w:val="center"/>
              <w:rPr>
                <w:b/>
                <w:bCs/>
                <w:kern w:val="0"/>
                <w:sz w:val="20"/>
                <w:szCs w:val="20"/>
                <w:highlight w:val="none"/>
              </w:rPr>
            </w:pPr>
          </w:p>
        </w:tc>
        <w:tc>
          <w:tcPr>
            <w:tcW w:w="762" w:type="dxa"/>
            <w:vAlign w:val="center"/>
          </w:tcPr>
          <w:p w14:paraId="2B22065E">
            <w:pPr>
              <w:jc w:val="center"/>
              <w:rPr>
                <w:b/>
                <w:bCs/>
                <w:kern w:val="0"/>
                <w:sz w:val="20"/>
                <w:szCs w:val="20"/>
                <w:highlight w:val="none"/>
              </w:rPr>
            </w:pPr>
          </w:p>
        </w:tc>
        <w:tc>
          <w:tcPr>
            <w:tcW w:w="762" w:type="dxa"/>
          </w:tcPr>
          <w:p w14:paraId="106C8ADD">
            <w:pPr>
              <w:jc w:val="center"/>
              <w:rPr>
                <w:b/>
                <w:bCs/>
                <w:kern w:val="0"/>
                <w:sz w:val="20"/>
                <w:szCs w:val="20"/>
                <w:highlight w:val="none"/>
              </w:rPr>
            </w:pPr>
          </w:p>
        </w:tc>
        <w:tc>
          <w:tcPr>
            <w:tcW w:w="762" w:type="dxa"/>
          </w:tcPr>
          <w:p w14:paraId="22B3BEC8">
            <w:pPr>
              <w:jc w:val="center"/>
              <w:rPr>
                <w:b/>
                <w:bCs/>
                <w:kern w:val="0"/>
                <w:sz w:val="20"/>
                <w:szCs w:val="20"/>
                <w:highlight w:val="none"/>
              </w:rPr>
            </w:pPr>
          </w:p>
        </w:tc>
        <w:tc>
          <w:tcPr>
            <w:tcW w:w="762" w:type="dxa"/>
          </w:tcPr>
          <w:p w14:paraId="38F840FB">
            <w:pPr>
              <w:jc w:val="center"/>
              <w:rPr>
                <w:b/>
                <w:bCs/>
                <w:kern w:val="0"/>
                <w:sz w:val="20"/>
                <w:szCs w:val="20"/>
                <w:highlight w:val="none"/>
              </w:rPr>
            </w:pPr>
          </w:p>
        </w:tc>
        <w:tc>
          <w:tcPr>
            <w:tcW w:w="762" w:type="dxa"/>
          </w:tcPr>
          <w:p w14:paraId="556E44BB">
            <w:pPr>
              <w:jc w:val="center"/>
              <w:rPr>
                <w:b/>
                <w:bCs/>
                <w:kern w:val="0"/>
                <w:sz w:val="20"/>
                <w:szCs w:val="20"/>
                <w:highlight w:val="none"/>
              </w:rPr>
            </w:pPr>
          </w:p>
        </w:tc>
        <w:tc>
          <w:tcPr>
            <w:tcW w:w="763" w:type="dxa"/>
          </w:tcPr>
          <w:p w14:paraId="1657C9B7">
            <w:pPr>
              <w:jc w:val="center"/>
              <w:rPr>
                <w:b/>
                <w:bCs/>
                <w:kern w:val="0"/>
                <w:sz w:val="20"/>
                <w:szCs w:val="20"/>
                <w:highlight w:val="none"/>
              </w:rPr>
            </w:pPr>
          </w:p>
        </w:tc>
      </w:tr>
      <w:tr w14:paraId="32F3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vAlign w:val="center"/>
          </w:tcPr>
          <w:p w14:paraId="53E15003">
            <w:pPr>
              <w:jc w:val="center"/>
              <w:rPr>
                <w:b/>
                <w:bCs/>
                <w:kern w:val="0"/>
                <w:sz w:val="20"/>
                <w:szCs w:val="20"/>
                <w:highlight w:val="none"/>
              </w:rPr>
            </w:pPr>
          </w:p>
        </w:tc>
        <w:tc>
          <w:tcPr>
            <w:tcW w:w="1875" w:type="dxa"/>
            <w:vAlign w:val="center"/>
          </w:tcPr>
          <w:p w14:paraId="151437DA">
            <w:pPr>
              <w:jc w:val="center"/>
              <w:rPr>
                <w:b/>
                <w:bCs/>
                <w:kern w:val="0"/>
                <w:sz w:val="20"/>
                <w:szCs w:val="20"/>
                <w:highlight w:val="none"/>
              </w:rPr>
            </w:pPr>
          </w:p>
        </w:tc>
        <w:tc>
          <w:tcPr>
            <w:tcW w:w="762" w:type="dxa"/>
            <w:vAlign w:val="center"/>
          </w:tcPr>
          <w:p w14:paraId="4C2E41AA">
            <w:pPr>
              <w:jc w:val="center"/>
              <w:rPr>
                <w:b/>
                <w:bCs/>
                <w:kern w:val="0"/>
                <w:sz w:val="20"/>
                <w:szCs w:val="20"/>
                <w:highlight w:val="none"/>
              </w:rPr>
            </w:pPr>
          </w:p>
        </w:tc>
        <w:tc>
          <w:tcPr>
            <w:tcW w:w="762" w:type="dxa"/>
            <w:vAlign w:val="center"/>
          </w:tcPr>
          <w:p w14:paraId="3249A497">
            <w:pPr>
              <w:jc w:val="center"/>
              <w:rPr>
                <w:b/>
                <w:bCs/>
                <w:kern w:val="0"/>
                <w:sz w:val="20"/>
                <w:szCs w:val="20"/>
                <w:highlight w:val="none"/>
              </w:rPr>
            </w:pPr>
          </w:p>
        </w:tc>
        <w:tc>
          <w:tcPr>
            <w:tcW w:w="762" w:type="dxa"/>
            <w:vAlign w:val="center"/>
          </w:tcPr>
          <w:p w14:paraId="278657DF">
            <w:pPr>
              <w:jc w:val="center"/>
              <w:rPr>
                <w:b/>
                <w:bCs/>
                <w:kern w:val="0"/>
                <w:sz w:val="20"/>
                <w:szCs w:val="20"/>
                <w:highlight w:val="none"/>
              </w:rPr>
            </w:pPr>
          </w:p>
        </w:tc>
        <w:tc>
          <w:tcPr>
            <w:tcW w:w="762" w:type="dxa"/>
          </w:tcPr>
          <w:p w14:paraId="0DF39E83">
            <w:pPr>
              <w:jc w:val="center"/>
              <w:rPr>
                <w:b/>
                <w:bCs/>
                <w:kern w:val="0"/>
                <w:sz w:val="20"/>
                <w:szCs w:val="20"/>
                <w:highlight w:val="none"/>
              </w:rPr>
            </w:pPr>
          </w:p>
        </w:tc>
        <w:tc>
          <w:tcPr>
            <w:tcW w:w="762" w:type="dxa"/>
          </w:tcPr>
          <w:p w14:paraId="192DA19E">
            <w:pPr>
              <w:jc w:val="center"/>
              <w:rPr>
                <w:b/>
                <w:bCs/>
                <w:kern w:val="0"/>
                <w:sz w:val="20"/>
                <w:szCs w:val="20"/>
                <w:highlight w:val="none"/>
              </w:rPr>
            </w:pPr>
          </w:p>
        </w:tc>
        <w:tc>
          <w:tcPr>
            <w:tcW w:w="762" w:type="dxa"/>
          </w:tcPr>
          <w:p w14:paraId="04404722">
            <w:pPr>
              <w:jc w:val="center"/>
              <w:rPr>
                <w:b/>
                <w:bCs/>
                <w:kern w:val="0"/>
                <w:sz w:val="20"/>
                <w:szCs w:val="20"/>
                <w:highlight w:val="none"/>
              </w:rPr>
            </w:pPr>
          </w:p>
        </w:tc>
        <w:tc>
          <w:tcPr>
            <w:tcW w:w="762" w:type="dxa"/>
          </w:tcPr>
          <w:p w14:paraId="7549A594">
            <w:pPr>
              <w:jc w:val="center"/>
              <w:rPr>
                <w:b/>
                <w:bCs/>
                <w:kern w:val="0"/>
                <w:sz w:val="20"/>
                <w:szCs w:val="20"/>
                <w:highlight w:val="none"/>
              </w:rPr>
            </w:pPr>
          </w:p>
        </w:tc>
        <w:tc>
          <w:tcPr>
            <w:tcW w:w="763" w:type="dxa"/>
          </w:tcPr>
          <w:p w14:paraId="65694FCB">
            <w:pPr>
              <w:jc w:val="center"/>
              <w:rPr>
                <w:b/>
                <w:bCs/>
                <w:kern w:val="0"/>
                <w:sz w:val="20"/>
                <w:szCs w:val="20"/>
                <w:highlight w:val="none"/>
              </w:rPr>
            </w:pPr>
          </w:p>
        </w:tc>
      </w:tr>
    </w:tbl>
    <w:p w14:paraId="6D47FE95">
      <w:pPr>
        <w:pStyle w:val="2"/>
        <w:rPr>
          <w:highlight w:val="none"/>
        </w:rPr>
      </w:pPr>
    </w:p>
    <w:p w14:paraId="78B40152">
      <w:pPr>
        <w:ind w:firstLine="321" w:firstLineChars="100"/>
        <w:jc w:val="center"/>
        <w:rPr>
          <w:rFonts w:ascii="仿宋" w:hAnsi="仿宋" w:eastAsia="仿宋" w:cs="仿宋"/>
          <w:b/>
          <w:bCs/>
          <w:sz w:val="32"/>
          <w:szCs w:val="32"/>
          <w:highlight w:val="none"/>
        </w:rPr>
      </w:pPr>
    </w:p>
    <w:p w14:paraId="1C26A8E9">
      <w:pPr>
        <w:ind w:firstLine="321" w:firstLineChars="100"/>
        <w:jc w:val="center"/>
        <w:rPr>
          <w:rFonts w:ascii="仿宋" w:hAnsi="仿宋" w:eastAsia="仿宋"/>
          <w:b/>
          <w:bCs/>
          <w:sz w:val="32"/>
          <w:szCs w:val="32"/>
          <w:highlight w:val="none"/>
        </w:rPr>
      </w:pPr>
      <w:r>
        <w:rPr>
          <w:rFonts w:hint="eastAsia" w:ascii="仿宋" w:hAnsi="仿宋" w:eastAsia="仿宋" w:cs="仿宋"/>
          <w:b/>
          <w:bCs/>
          <w:sz w:val="32"/>
          <w:szCs w:val="32"/>
          <w:highlight w:val="none"/>
        </w:rPr>
        <w:t>表</w:t>
      </w:r>
      <w:r>
        <w:rPr>
          <w:rFonts w:ascii="仿宋" w:hAnsi="仿宋" w:eastAsia="仿宋" w:cs="仿宋"/>
          <w:b/>
          <w:bCs/>
          <w:sz w:val="32"/>
          <w:szCs w:val="32"/>
          <w:highlight w:val="none"/>
        </w:rPr>
        <w:t>3</w:t>
      </w:r>
      <w:r>
        <w:rPr>
          <w:rFonts w:hint="eastAsia" w:ascii="仿宋" w:hAnsi="仿宋" w:eastAsia="仿宋" w:cs="仿宋"/>
          <w:b/>
          <w:bCs/>
          <w:sz w:val="32"/>
          <w:szCs w:val="32"/>
          <w:highlight w:val="none"/>
        </w:rPr>
        <w:t>价格评分表</w:t>
      </w:r>
    </w:p>
    <w:tbl>
      <w:tblPr>
        <w:tblStyle w:val="8"/>
        <w:tblpPr w:leftFromText="180" w:rightFromText="180" w:vertAnchor="text" w:horzAnchor="page" w:tblpX="1751" w:tblpY="6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2973"/>
        <w:gridCol w:w="2675"/>
      </w:tblGrid>
      <w:tr w14:paraId="24C8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150" w:type="dxa"/>
            <w:vAlign w:val="center"/>
          </w:tcPr>
          <w:p w14:paraId="006B6B4E">
            <w:pPr>
              <w:jc w:val="center"/>
              <w:rPr>
                <w:kern w:val="0"/>
                <w:sz w:val="20"/>
                <w:szCs w:val="20"/>
                <w:highlight w:val="none"/>
              </w:rPr>
            </w:pPr>
            <w:r>
              <w:rPr>
                <w:rFonts w:hint="eastAsia" w:cs="宋体"/>
                <w:kern w:val="0"/>
                <w:sz w:val="20"/>
                <w:szCs w:val="20"/>
                <w:highlight w:val="none"/>
              </w:rPr>
              <w:t>供应商</w:t>
            </w:r>
          </w:p>
        </w:tc>
        <w:tc>
          <w:tcPr>
            <w:tcW w:w="2973" w:type="dxa"/>
            <w:vAlign w:val="center"/>
          </w:tcPr>
          <w:p w14:paraId="2C1AC163">
            <w:pPr>
              <w:jc w:val="center"/>
              <w:rPr>
                <w:kern w:val="0"/>
                <w:sz w:val="20"/>
                <w:szCs w:val="20"/>
                <w:highlight w:val="none"/>
              </w:rPr>
            </w:pPr>
            <w:r>
              <w:rPr>
                <w:rFonts w:hint="eastAsia" w:cs="宋体"/>
                <w:kern w:val="0"/>
                <w:sz w:val="20"/>
                <w:szCs w:val="20"/>
                <w:highlight w:val="none"/>
              </w:rPr>
              <w:t>报价</w:t>
            </w:r>
          </w:p>
        </w:tc>
        <w:tc>
          <w:tcPr>
            <w:tcW w:w="2675" w:type="dxa"/>
            <w:vAlign w:val="center"/>
          </w:tcPr>
          <w:p w14:paraId="0C6D6F2C">
            <w:pPr>
              <w:jc w:val="center"/>
              <w:rPr>
                <w:kern w:val="0"/>
                <w:sz w:val="20"/>
                <w:szCs w:val="20"/>
                <w:highlight w:val="none"/>
              </w:rPr>
            </w:pPr>
            <w:r>
              <w:rPr>
                <w:rFonts w:hint="eastAsia" w:cs="宋体"/>
                <w:kern w:val="0"/>
                <w:sz w:val="20"/>
                <w:szCs w:val="20"/>
                <w:highlight w:val="none"/>
              </w:rPr>
              <w:t>价格得分（</w:t>
            </w:r>
            <w:r>
              <w:rPr>
                <w:kern w:val="0"/>
                <w:sz w:val="20"/>
                <w:szCs w:val="20"/>
                <w:highlight w:val="none"/>
              </w:rPr>
              <w:t>30</w:t>
            </w:r>
            <w:r>
              <w:rPr>
                <w:rFonts w:hint="eastAsia" w:cs="宋体"/>
                <w:kern w:val="0"/>
                <w:sz w:val="20"/>
                <w:szCs w:val="20"/>
                <w:highlight w:val="none"/>
              </w:rPr>
              <w:t>分）</w:t>
            </w:r>
          </w:p>
        </w:tc>
      </w:tr>
      <w:tr w14:paraId="33DA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150" w:type="dxa"/>
            <w:vAlign w:val="center"/>
          </w:tcPr>
          <w:p w14:paraId="56A733F8">
            <w:pPr>
              <w:jc w:val="center"/>
              <w:rPr>
                <w:kern w:val="0"/>
                <w:sz w:val="20"/>
                <w:szCs w:val="20"/>
                <w:highlight w:val="none"/>
              </w:rPr>
            </w:pPr>
          </w:p>
        </w:tc>
        <w:tc>
          <w:tcPr>
            <w:tcW w:w="2973" w:type="dxa"/>
            <w:vAlign w:val="center"/>
          </w:tcPr>
          <w:p w14:paraId="6B1BA5BA">
            <w:pPr>
              <w:jc w:val="center"/>
              <w:rPr>
                <w:kern w:val="0"/>
                <w:sz w:val="20"/>
                <w:szCs w:val="20"/>
                <w:highlight w:val="none"/>
              </w:rPr>
            </w:pPr>
          </w:p>
        </w:tc>
        <w:tc>
          <w:tcPr>
            <w:tcW w:w="2675" w:type="dxa"/>
            <w:vAlign w:val="center"/>
          </w:tcPr>
          <w:p w14:paraId="1E4B550E">
            <w:pPr>
              <w:jc w:val="center"/>
              <w:rPr>
                <w:kern w:val="0"/>
                <w:sz w:val="20"/>
                <w:szCs w:val="20"/>
                <w:highlight w:val="none"/>
              </w:rPr>
            </w:pPr>
          </w:p>
        </w:tc>
      </w:tr>
      <w:tr w14:paraId="6329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150" w:type="dxa"/>
            <w:vAlign w:val="center"/>
          </w:tcPr>
          <w:p w14:paraId="3FB3E8A0">
            <w:pPr>
              <w:jc w:val="center"/>
              <w:rPr>
                <w:kern w:val="0"/>
                <w:sz w:val="20"/>
                <w:szCs w:val="20"/>
                <w:highlight w:val="none"/>
              </w:rPr>
            </w:pPr>
          </w:p>
        </w:tc>
        <w:tc>
          <w:tcPr>
            <w:tcW w:w="2973" w:type="dxa"/>
            <w:vAlign w:val="center"/>
          </w:tcPr>
          <w:p w14:paraId="02F46408">
            <w:pPr>
              <w:jc w:val="center"/>
              <w:rPr>
                <w:kern w:val="0"/>
                <w:sz w:val="20"/>
                <w:szCs w:val="20"/>
                <w:highlight w:val="none"/>
              </w:rPr>
            </w:pPr>
          </w:p>
        </w:tc>
        <w:tc>
          <w:tcPr>
            <w:tcW w:w="2675" w:type="dxa"/>
            <w:vAlign w:val="center"/>
          </w:tcPr>
          <w:p w14:paraId="36EC4217">
            <w:pPr>
              <w:jc w:val="center"/>
              <w:rPr>
                <w:kern w:val="0"/>
                <w:sz w:val="20"/>
                <w:szCs w:val="20"/>
                <w:highlight w:val="none"/>
              </w:rPr>
            </w:pPr>
          </w:p>
        </w:tc>
      </w:tr>
      <w:tr w14:paraId="3214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150" w:type="dxa"/>
            <w:vAlign w:val="center"/>
          </w:tcPr>
          <w:p w14:paraId="7D45EDF2">
            <w:pPr>
              <w:jc w:val="center"/>
              <w:rPr>
                <w:kern w:val="0"/>
                <w:sz w:val="20"/>
                <w:szCs w:val="20"/>
                <w:highlight w:val="none"/>
              </w:rPr>
            </w:pPr>
          </w:p>
        </w:tc>
        <w:tc>
          <w:tcPr>
            <w:tcW w:w="2973" w:type="dxa"/>
            <w:vAlign w:val="center"/>
          </w:tcPr>
          <w:p w14:paraId="58EF7CCC">
            <w:pPr>
              <w:jc w:val="center"/>
              <w:rPr>
                <w:kern w:val="0"/>
                <w:sz w:val="20"/>
                <w:szCs w:val="20"/>
                <w:highlight w:val="none"/>
              </w:rPr>
            </w:pPr>
          </w:p>
        </w:tc>
        <w:tc>
          <w:tcPr>
            <w:tcW w:w="2675" w:type="dxa"/>
            <w:vAlign w:val="center"/>
          </w:tcPr>
          <w:p w14:paraId="3D1311FB">
            <w:pPr>
              <w:jc w:val="center"/>
              <w:rPr>
                <w:kern w:val="0"/>
                <w:sz w:val="20"/>
                <w:szCs w:val="20"/>
                <w:highlight w:val="none"/>
              </w:rPr>
            </w:pPr>
          </w:p>
        </w:tc>
      </w:tr>
    </w:tbl>
    <w:p w14:paraId="62B7BD1C">
      <w:pPr>
        <w:ind w:firstLine="321" w:firstLineChars="100"/>
        <w:jc w:val="center"/>
        <w:rPr>
          <w:rFonts w:ascii="仿宋" w:hAnsi="仿宋" w:eastAsia="仿宋"/>
          <w:b/>
          <w:bCs/>
          <w:sz w:val="32"/>
          <w:szCs w:val="32"/>
          <w:highlight w:val="none"/>
        </w:rPr>
      </w:pPr>
    </w:p>
    <w:p w14:paraId="3A9F1081">
      <w:pPr>
        <w:jc w:val="center"/>
        <w:rPr>
          <w:rFonts w:ascii="仿宋" w:hAnsi="仿宋" w:eastAsia="仿宋" w:cs="仿宋"/>
          <w:b/>
          <w:bCs/>
          <w:sz w:val="32"/>
          <w:szCs w:val="32"/>
          <w:highlight w:val="none"/>
        </w:rPr>
      </w:pPr>
    </w:p>
    <w:p w14:paraId="2099AC83">
      <w:pPr>
        <w:jc w:val="center"/>
        <w:rPr>
          <w:rFonts w:ascii="仿宋" w:hAnsi="仿宋" w:eastAsia="仿宋"/>
          <w:b/>
          <w:bCs/>
          <w:sz w:val="32"/>
          <w:szCs w:val="32"/>
          <w:highlight w:val="none"/>
        </w:rPr>
      </w:pPr>
      <w:r>
        <w:rPr>
          <w:rFonts w:hint="eastAsia" w:ascii="仿宋" w:hAnsi="仿宋" w:eastAsia="仿宋" w:cs="仿宋"/>
          <w:b/>
          <w:bCs/>
          <w:sz w:val="32"/>
          <w:szCs w:val="32"/>
          <w:highlight w:val="none"/>
        </w:rPr>
        <w:t>表</w:t>
      </w:r>
      <w:r>
        <w:rPr>
          <w:rFonts w:ascii="仿宋" w:hAnsi="仿宋" w:eastAsia="仿宋" w:cs="仿宋"/>
          <w:b/>
          <w:bCs/>
          <w:sz w:val="32"/>
          <w:szCs w:val="32"/>
          <w:highlight w:val="none"/>
        </w:rPr>
        <w:t>4</w:t>
      </w:r>
      <w:r>
        <w:rPr>
          <w:rFonts w:hint="eastAsia" w:ascii="仿宋" w:hAnsi="仿宋" w:eastAsia="仿宋" w:cs="仿宋"/>
          <w:b/>
          <w:bCs/>
          <w:sz w:val="32"/>
          <w:szCs w:val="32"/>
          <w:highlight w:val="none"/>
        </w:rPr>
        <w:t>综合评分</w:t>
      </w:r>
    </w:p>
    <w:tbl>
      <w:tblPr>
        <w:tblStyle w:val="8"/>
        <w:tblpPr w:leftFromText="180" w:rightFromText="180" w:vertAnchor="text" w:horzAnchor="page" w:tblpX="1928" w:tblpY="4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860"/>
        <w:gridCol w:w="1715"/>
        <w:gridCol w:w="2067"/>
        <w:gridCol w:w="1466"/>
      </w:tblGrid>
      <w:tr w14:paraId="58F2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98" w:type="dxa"/>
            <w:vAlign w:val="center"/>
          </w:tcPr>
          <w:p w14:paraId="3E827F23">
            <w:pPr>
              <w:jc w:val="center"/>
              <w:rPr>
                <w:rFonts w:ascii="宋体" w:hAnsi="宋体" w:cs="宋体"/>
                <w:color w:val="000000"/>
                <w:highlight w:val="none"/>
              </w:rPr>
            </w:pPr>
            <w:r>
              <w:rPr>
                <w:rFonts w:hint="eastAsia" w:ascii="宋体" w:hAnsi="宋体" w:cs="宋体"/>
                <w:color w:val="000000"/>
                <w:highlight w:val="none"/>
              </w:rPr>
              <w:t>供应商</w:t>
            </w:r>
          </w:p>
        </w:tc>
        <w:tc>
          <w:tcPr>
            <w:tcW w:w="1860" w:type="dxa"/>
            <w:vAlign w:val="center"/>
          </w:tcPr>
          <w:p w14:paraId="0EEDD3E0">
            <w:pPr>
              <w:jc w:val="center"/>
              <w:rPr>
                <w:rFonts w:ascii="宋体" w:hAnsi="宋体" w:cs="宋体"/>
                <w:color w:val="000000"/>
                <w:highlight w:val="none"/>
              </w:rPr>
            </w:pPr>
            <w:r>
              <w:rPr>
                <w:rFonts w:hint="eastAsia" w:ascii="宋体" w:hAnsi="宋体" w:cs="宋体"/>
                <w:color w:val="000000"/>
                <w:highlight w:val="none"/>
              </w:rPr>
              <w:t>商务技术</w:t>
            </w:r>
          </w:p>
          <w:p w14:paraId="302FD71B">
            <w:pPr>
              <w:jc w:val="center"/>
              <w:rPr>
                <w:rFonts w:ascii="宋体" w:hAnsi="宋体" w:cs="宋体"/>
                <w:color w:val="000000"/>
                <w:highlight w:val="none"/>
              </w:rPr>
            </w:pPr>
            <w:r>
              <w:rPr>
                <w:rFonts w:hint="eastAsia" w:ascii="宋体" w:hAnsi="宋体" w:cs="宋体"/>
                <w:color w:val="000000"/>
                <w:highlight w:val="none"/>
              </w:rPr>
              <w:t>得分均值</w:t>
            </w:r>
          </w:p>
        </w:tc>
        <w:tc>
          <w:tcPr>
            <w:tcW w:w="1715" w:type="dxa"/>
            <w:vAlign w:val="center"/>
          </w:tcPr>
          <w:p w14:paraId="528E7CB2">
            <w:pPr>
              <w:jc w:val="center"/>
              <w:rPr>
                <w:rFonts w:ascii="宋体" w:hAnsi="宋体" w:cs="宋体"/>
                <w:color w:val="000000"/>
                <w:highlight w:val="none"/>
              </w:rPr>
            </w:pPr>
            <w:r>
              <w:rPr>
                <w:rFonts w:hint="eastAsia" w:ascii="宋体" w:hAnsi="宋体" w:cs="宋体"/>
                <w:color w:val="000000"/>
                <w:highlight w:val="none"/>
              </w:rPr>
              <w:t>价格得分</w:t>
            </w:r>
          </w:p>
        </w:tc>
        <w:tc>
          <w:tcPr>
            <w:tcW w:w="2067" w:type="dxa"/>
            <w:vAlign w:val="center"/>
          </w:tcPr>
          <w:p w14:paraId="683A1D75">
            <w:pPr>
              <w:jc w:val="center"/>
              <w:rPr>
                <w:rFonts w:ascii="宋体" w:hAnsi="宋体" w:cs="宋体"/>
                <w:color w:val="000000"/>
                <w:highlight w:val="none"/>
              </w:rPr>
            </w:pPr>
            <w:r>
              <w:rPr>
                <w:rFonts w:hint="eastAsia" w:ascii="宋体" w:hAnsi="宋体" w:cs="宋体"/>
                <w:color w:val="000000"/>
                <w:highlight w:val="none"/>
              </w:rPr>
              <w:t>综合得分</w:t>
            </w:r>
          </w:p>
        </w:tc>
        <w:tc>
          <w:tcPr>
            <w:tcW w:w="1466" w:type="dxa"/>
            <w:vAlign w:val="center"/>
          </w:tcPr>
          <w:p w14:paraId="5CF9AA23">
            <w:pPr>
              <w:jc w:val="center"/>
              <w:rPr>
                <w:rFonts w:ascii="宋体" w:hAnsi="宋体" w:cs="宋体"/>
                <w:color w:val="000000"/>
                <w:highlight w:val="none"/>
              </w:rPr>
            </w:pPr>
            <w:r>
              <w:rPr>
                <w:rFonts w:hint="eastAsia" w:ascii="宋体" w:hAnsi="宋体" w:cs="宋体"/>
                <w:color w:val="000000"/>
                <w:highlight w:val="none"/>
              </w:rPr>
              <w:t>排名</w:t>
            </w:r>
          </w:p>
        </w:tc>
      </w:tr>
      <w:tr w14:paraId="426F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98" w:type="dxa"/>
            <w:vAlign w:val="center"/>
          </w:tcPr>
          <w:p w14:paraId="31AC7700">
            <w:pPr>
              <w:ind w:firstLine="321" w:firstLineChars="100"/>
              <w:jc w:val="center"/>
              <w:rPr>
                <w:rFonts w:ascii="仿宋" w:hAnsi="仿宋" w:eastAsia="仿宋"/>
                <w:b/>
                <w:bCs/>
                <w:sz w:val="32"/>
                <w:szCs w:val="32"/>
                <w:highlight w:val="none"/>
              </w:rPr>
            </w:pPr>
          </w:p>
        </w:tc>
        <w:tc>
          <w:tcPr>
            <w:tcW w:w="1860" w:type="dxa"/>
            <w:vAlign w:val="center"/>
          </w:tcPr>
          <w:p w14:paraId="0618E39C">
            <w:pPr>
              <w:ind w:firstLine="321" w:firstLineChars="100"/>
              <w:jc w:val="center"/>
              <w:rPr>
                <w:rFonts w:ascii="仿宋" w:hAnsi="仿宋" w:eastAsia="仿宋"/>
                <w:b/>
                <w:bCs/>
                <w:sz w:val="32"/>
                <w:szCs w:val="32"/>
                <w:highlight w:val="none"/>
              </w:rPr>
            </w:pPr>
          </w:p>
        </w:tc>
        <w:tc>
          <w:tcPr>
            <w:tcW w:w="1715" w:type="dxa"/>
            <w:vAlign w:val="center"/>
          </w:tcPr>
          <w:p w14:paraId="5643D984">
            <w:pPr>
              <w:ind w:firstLine="321" w:firstLineChars="100"/>
              <w:jc w:val="center"/>
              <w:rPr>
                <w:rFonts w:ascii="仿宋" w:hAnsi="仿宋" w:eastAsia="仿宋"/>
                <w:b/>
                <w:bCs/>
                <w:sz w:val="32"/>
                <w:szCs w:val="32"/>
                <w:highlight w:val="none"/>
              </w:rPr>
            </w:pPr>
          </w:p>
        </w:tc>
        <w:tc>
          <w:tcPr>
            <w:tcW w:w="2067" w:type="dxa"/>
            <w:vAlign w:val="center"/>
          </w:tcPr>
          <w:p w14:paraId="73F7F7E7">
            <w:pPr>
              <w:ind w:firstLine="321" w:firstLineChars="100"/>
              <w:jc w:val="center"/>
              <w:rPr>
                <w:rFonts w:ascii="仿宋" w:hAnsi="仿宋" w:eastAsia="仿宋"/>
                <w:b/>
                <w:bCs/>
                <w:sz w:val="32"/>
                <w:szCs w:val="32"/>
                <w:highlight w:val="none"/>
              </w:rPr>
            </w:pPr>
          </w:p>
        </w:tc>
        <w:tc>
          <w:tcPr>
            <w:tcW w:w="1466" w:type="dxa"/>
            <w:vAlign w:val="center"/>
          </w:tcPr>
          <w:p w14:paraId="5588CF63">
            <w:pPr>
              <w:ind w:firstLine="321" w:firstLineChars="100"/>
              <w:jc w:val="center"/>
              <w:rPr>
                <w:rFonts w:ascii="仿宋" w:hAnsi="仿宋" w:eastAsia="仿宋"/>
                <w:b/>
                <w:bCs/>
                <w:sz w:val="32"/>
                <w:szCs w:val="32"/>
                <w:highlight w:val="none"/>
              </w:rPr>
            </w:pPr>
          </w:p>
        </w:tc>
      </w:tr>
      <w:tr w14:paraId="17F1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98" w:type="dxa"/>
            <w:vAlign w:val="center"/>
          </w:tcPr>
          <w:p w14:paraId="5528B043">
            <w:pPr>
              <w:ind w:firstLine="321" w:firstLineChars="100"/>
              <w:jc w:val="center"/>
              <w:rPr>
                <w:rFonts w:ascii="仿宋" w:hAnsi="仿宋" w:eastAsia="仿宋"/>
                <w:b/>
                <w:bCs/>
                <w:sz w:val="32"/>
                <w:szCs w:val="32"/>
                <w:highlight w:val="none"/>
              </w:rPr>
            </w:pPr>
          </w:p>
        </w:tc>
        <w:tc>
          <w:tcPr>
            <w:tcW w:w="1860" w:type="dxa"/>
            <w:vAlign w:val="center"/>
          </w:tcPr>
          <w:p w14:paraId="65E0D858">
            <w:pPr>
              <w:ind w:firstLine="321" w:firstLineChars="100"/>
              <w:jc w:val="center"/>
              <w:rPr>
                <w:rFonts w:ascii="仿宋" w:hAnsi="仿宋" w:eastAsia="仿宋"/>
                <w:b/>
                <w:bCs/>
                <w:sz w:val="32"/>
                <w:szCs w:val="32"/>
                <w:highlight w:val="none"/>
              </w:rPr>
            </w:pPr>
          </w:p>
        </w:tc>
        <w:tc>
          <w:tcPr>
            <w:tcW w:w="1715" w:type="dxa"/>
            <w:vAlign w:val="center"/>
          </w:tcPr>
          <w:p w14:paraId="1FE612C6">
            <w:pPr>
              <w:ind w:firstLine="321" w:firstLineChars="100"/>
              <w:jc w:val="center"/>
              <w:rPr>
                <w:rFonts w:ascii="仿宋" w:hAnsi="仿宋" w:eastAsia="仿宋"/>
                <w:b/>
                <w:bCs/>
                <w:sz w:val="32"/>
                <w:szCs w:val="32"/>
                <w:highlight w:val="none"/>
              </w:rPr>
            </w:pPr>
          </w:p>
        </w:tc>
        <w:tc>
          <w:tcPr>
            <w:tcW w:w="2067" w:type="dxa"/>
            <w:vAlign w:val="center"/>
          </w:tcPr>
          <w:p w14:paraId="5B92DC57">
            <w:pPr>
              <w:ind w:firstLine="321" w:firstLineChars="100"/>
              <w:jc w:val="center"/>
              <w:rPr>
                <w:rFonts w:ascii="仿宋" w:hAnsi="仿宋" w:eastAsia="仿宋"/>
                <w:b/>
                <w:bCs/>
                <w:sz w:val="32"/>
                <w:szCs w:val="32"/>
                <w:highlight w:val="none"/>
              </w:rPr>
            </w:pPr>
          </w:p>
        </w:tc>
        <w:tc>
          <w:tcPr>
            <w:tcW w:w="1466" w:type="dxa"/>
            <w:vAlign w:val="center"/>
          </w:tcPr>
          <w:p w14:paraId="3B80A69A">
            <w:pPr>
              <w:ind w:firstLine="321" w:firstLineChars="100"/>
              <w:jc w:val="center"/>
              <w:rPr>
                <w:rFonts w:ascii="仿宋" w:hAnsi="仿宋" w:eastAsia="仿宋"/>
                <w:b/>
                <w:bCs/>
                <w:sz w:val="32"/>
                <w:szCs w:val="32"/>
                <w:highlight w:val="none"/>
              </w:rPr>
            </w:pPr>
          </w:p>
        </w:tc>
      </w:tr>
      <w:tr w14:paraId="0E50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98" w:type="dxa"/>
            <w:vAlign w:val="center"/>
          </w:tcPr>
          <w:p w14:paraId="6D872485">
            <w:pPr>
              <w:ind w:firstLine="321" w:firstLineChars="100"/>
              <w:jc w:val="center"/>
              <w:rPr>
                <w:rFonts w:ascii="仿宋" w:hAnsi="仿宋" w:eastAsia="仿宋"/>
                <w:b/>
                <w:bCs/>
                <w:sz w:val="32"/>
                <w:szCs w:val="32"/>
                <w:highlight w:val="none"/>
              </w:rPr>
            </w:pPr>
          </w:p>
        </w:tc>
        <w:tc>
          <w:tcPr>
            <w:tcW w:w="1860" w:type="dxa"/>
            <w:vAlign w:val="center"/>
          </w:tcPr>
          <w:p w14:paraId="7D881FB1">
            <w:pPr>
              <w:ind w:firstLine="321" w:firstLineChars="100"/>
              <w:jc w:val="center"/>
              <w:rPr>
                <w:rFonts w:ascii="仿宋" w:hAnsi="仿宋" w:eastAsia="仿宋"/>
                <w:b/>
                <w:bCs/>
                <w:sz w:val="32"/>
                <w:szCs w:val="32"/>
                <w:highlight w:val="none"/>
              </w:rPr>
            </w:pPr>
          </w:p>
        </w:tc>
        <w:tc>
          <w:tcPr>
            <w:tcW w:w="1715" w:type="dxa"/>
            <w:vAlign w:val="center"/>
          </w:tcPr>
          <w:p w14:paraId="47B4F7A9">
            <w:pPr>
              <w:ind w:firstLine="321" w:firstLineChars="100"/>
              <w:jc w:val="center"/>
              <w:rPr>
                <w:rFonts w:ascii="仿宋" w:hAnsi="仿宋" w:eastAsia="仿宋"/>
                <w:b/>
                <w:bCs/>
                <w:sz w:val="32"/>
                <w:szCs w:val="32"/>
                <w:highlight w:val="none"/>
              </w:rPr>
            </w:pPr>
          </w:p>
        </w:tc>
        <w:tc>
          <w:tcPr>
            <w:tcW w:w="2067" w:type="dxa"/>
            <w:vAlign w:val="center"/>
          </w:tcPr>
          <w:p w14:paraId="45C9858D">
            <w:pPr>
              <w:ind w:firstLine="321" w:firstLineChars="100"/>
              <w:jc w:val="center"/>
              <w:rPr>
                <w:rFonts w:ascii="仿宋" w:hAnsi="仿宋" w:eastAsia="仿宋"/>
                <w:b/>
                <w:bCs/>
                <w:sz w:val="32"/>
                <w:szCs w:val="32"/>
                <w:highlight w:val="none"/>
              </w:rPr>
            </w:pPr>
          </w:p>
        </w:tc>
        <w:tc>
          <w:tcPr>
            <w:tcW w:w="1466" w:type="dxa"/>
            <w:vAlign w:val="center"/>
          </w:tcPr>
          <w:p w14:paraId="22A8A644">
            <w:pPr>
              <w:ind w:firstLine="321" w:firstLineChars="100"/>
              <w:jc w:val="center"/>
              <w:rPr>
                <w:rFonts w:ascii="仿宋" w:hAnsi="仿宋" w:eastAsia="仿宋"/>
                <w:b/>
                <w:bCs/>
                <w:sz w:val="32"/>
                <w:szCs w:val="32"/>
                <w:highlight w:val="none"/>
              </w:rPr>
            </w:pPr>
          </w:p>
        </w:tc>
      </w:tr>
    </w:tbl>
    <w:p w14:paraId="405EFF5E">
      <w:pPr>
        <w:ind w:firstLine="482" w:firstLineChars="150"/>
        <w:rPr>
          <w:rFonts w:ascii="楷体" w:hAnsi="楷体" w:eastAsia="楷体"/>
          <w:b/>
          <w:bCs/>
          <w:sz w:val="32"/>
          <w:szCs w:val="32"/>
          <w:highlight w:val="none"/>
        </w:rPr>
      </w:pPr>
    </w:p>
    <w:p w14:paraId="765F0BDA">
      <w:pPr>
        <w:numPr>
          <w:ilvl w:val="0"/>
          <w:numId w:val="2"/>
        </w:numPr>
        <w:spacing w:line="360" w:lineRule="auto"/>
        <w:ind w:firstLine="643" w:firstLineChars="200"/>
        <w:outlineLvl w:val="2"/>
        <w:rPr>
          <w:rFonts w:ascii="楷体" w:hAnsi="楷体" w:eastAsia="楷体"/>
          <w:b/>
          <w:bCs/>
          <w:sz w:val="32"/>
          <w:szCs w:val="32"/>
          <w:highlight w:val="none"/>
        </w:rPr>
      </w:pPr>
      <w:r>
        <w:rPr>
          <w:rFonts w:hint="eastAsia" w:ascii="楷体" w:hAnsi="楷体" w:eastAsia="楷体" w:cs="楷体"/>
          <w:b/>
          <w:bCs/>
          <w:sz w:val="32"/>
          <w:szCs w:val="32"/>
          <w:highlight w:val="none"/>
        </w:rPr>
        <w:t>确定中标候选供应商</w:t>
      </w:r>
    </w:p>
    <w:p w14:paraId="3ACBAE92">
      <w:pPr>
        <w:spacing w:line="360" w:lineRule="auto"/>
        <w:ind w:firstLine="640" w:firstLineChars="200"/>
        <w:outlineLvl w:val="2"/>
        <w:rPr>
          <w:rFonts w:ascii="仿宋" w:hAnsi="仿宋" w:eastAsia="仿宋"/>
          <w:sz w:val="32"/>
          <w:szCs w:val="32"/>
          <w:highlight w:val="none"/>
        </w:rPr>
      </w:pPr>
      <w:r>
        <w:rPr>
          <w:rFonts w:hint="eastAsia" w:ascii="仿宋" w:hAnsi="仿宋" w:eastAsia="仿宋" w:cs="仿宋"/>
          <w:sz w:val="32"/>
          <w:szCs w:val="32"/>
          <w:highlight w:val="none"/>
        </w:rPr>
        <w:t>供应商综合得分相同的，在满足采购人所有特定要求的基础上，推荐能提供更优的承保方案的供应商为候选供应商。</w:t>
      </w:r>
    </w:p>
    <w:p w14:paraId="7E1A1663">
      <w:pPr>
        <w:spacing w:line="360" w:lineRule="auto"/>
        <w:ind w:firstLine="640" w:firstLineChars="200"/>
        <w:outlineLvl w:val="2"/>
        <w:rPr>
          <w:rFonts w:ascii="仿宋" w:hAnsi="仿宋" w:eastAsia="仿宋"/>
          <w:sz w:val="32"/>
          <w:szCs w:val="32"/>
          <w:highlight w:val="none"/>
        </w:rPr>
      </w:pPr>
      <w:r>
        <w:rPr>
          <w:rFonts w:hint="eastAsia" w:ascii="仿宋" w:hAnsi="仿宋" w:eastAsia="仿宋" w:cs="仿宋"/>
          <w:sz w:val="32"/>
          <w:szCs w:val="32"/>
          <w:highlight w:val="none"/>
        </w:rPr>
        <w:t>供应商综合得分不相同的，推荐综合得分最高的供应商为候选供应商。</w:t>
      </w:r>
    </w:p>
    <w:p w14:paraId="4DF92AE5">
      <w:pPr>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四、评审结果公示</w:t>
      </w:r>
    </w:p>
    <w:p w14:paraId="549A61C5">
      <w:pPr>
        <w:spacing w:line="360" w:lineRule="auto"/>
        <w:ind w:firstLine="640" w:firstLineChars="200"/>
        <w:outlineLvl w:val="2"/>
        <w:rPr>
          <w:rFonts w:ascii="仿宋" w:hAnsi="仿宋" w:eastAsia="仿宋"/>
          <w:sz w:val="32"/>
          <w:szCs w:val="32"/>
          <w:highlight w:val="none"/>
        </w:rPr>
      </w:pPr>
      <w:r>
        <w:rPr>
          <w:rFonts w:hint="eastAsia" w:ascii="仿宋" w:hAnsi="仿宋" w:eastAsia="仿宋" w:cs="仿宋"/>
          <w:sz w:val="32"/>
          <w:szCs w:val="32"/>
          <w:highlight w:val="none"/>
        </w:rPr>
        <w:t>评审结果在江门市人民政府门户网站江门</w:t>
      </w:r>
      <w:bookmarkStart w:id="0" w:name="_GoBack"/>
      <w:bookmarkEnd w:id="0"/>
      <w:r>
        <w:rPr>
          <w:rFonts w:hint="eastAsia" w:ascii="仿宋" w:hAnsi="仿宋" w:eastAsia="仿宋" w:cs="仿宋"/>
          <w:sz w:val="32"/>
          <w:szCs w:val="32"/>
          <w:highlight w:val="none"/>
        </w:rPr>
        <w:t>市农业农村局信息网公示</w:t>
      </w:r>
      <w:r>
        <w:rPr>
          <w:rFonts w:ascii="仿宋" w:hAnsi="仿宋" w:eastAsia="仿宋" w:cs="仿宋"/>
          <w:sz w:val="32"/>
          <w:szCs w:val="32"/>
          <w:highlight w:val="none"/>
        </w:rPr>
        <w:t>5</w:t>
      </w:r>
      <w:r>
        <w:rPr>
          <w:rFonts w:hint="eastAsia" w:ascii="仿宋" w:hAnsi="仿宋" w:eastAsia="仿宋" w:cs="仿宋"/>
          <w:sz w:val="32"/>
          <w:szCs w:val="32"/>
          <w:highlight w:val="none"/>
        </w:rPr>
        <w:t>日。</w:t>
      </w:r>
    </w:p>
    <w:p w14:paraId="3B7AA44D">
      <w:pPr>
        <w:rPr>
          <w:highlight w:val="none"/>
        </w:rPr>
      </w:pPr>
    </w:p>
    <w:p w14:paraId="05468E43">
      <w:pPr>
        <w:tabs>
          <w:tab w:val="left" w:pos="1155"/>
        </w:tabs>
        <w:rPr>
          <w:rFonts w:ascii="仿宋_GB2312" w:eastAsia="仿宋_GB2312"/>
          <w:sz w:val="32"/>
          <w:szCs w:val="32"/>
          <w:highlight w:val="none"/>
        </w:rPr>
      </w:pPr>
    </w:p>
    <w:p w14:paraId="1B1578EA">
      <w:pPr>
        <w:spacing w:line="360" w:lineRule="auto"/>
        <w:jc w:val="right"/>
        <w:outlineLvl w:val="2"/>
        <w:rPr>
          <w:rFonts w:ascii="仿宋" w:hAnsi="仿宋" w:eastAsia="仿宋"/>
          <w:sz w:val="32"/>
          <w:szCs w:val="32"/>
          <w:highlight w:val="none"/>
        </w:rPr>
      </w:pPr>
      <w:r>
        <w:rPr>
          <w:rFonts w:hint="eastAsia" w:ascii="仿宋" w:hAnsi="仿宋" w:eastAsia="仿宋" w:cs="仿宋"/>
          <w:sz w:val="32"/>
          <w:szCs w:val="32"/>
          <w:highlight w:val="none"/>
        </w:rPr>
        <w:t>江门市农业科技创新中心</w:t>
      </w:r>
    </w:p>
    <w:p w14:paraId="5EE3FDDE">
      <w:pPr>
        <w:spacing w:line="360" w:lineRule="auto"/>
        <w:ind w:firstLine="640" w:firstLineChars="200"/>
        <w:jc w:val="right"/>
        <w:outlineLvl w:val="2"/>
        <w:rPr>
          <w:rFonts w:ascii="仿宋" w:hAnsi="仿宋" w:eastAsia="仿宋"/>
          <w:sz w:val="32"/>
          <w:szCs w:val="32"/>
          <w:highlight w:val="none"/>
        </w:rPr>
      </w:pPr>
      <w:r>
        <w:rPr>
          <w:rFonts w:ascii="仿宋" w:hAnsi="仿宋" w:eastAsia="仿宋" w:cs="仿宋"/>
          <w:sz w:val="32"/>
          <w:szCs w:val="32"/>
          <w:highlight w:val="none"/>
        </w:rPr>
        <w:t xml:space="preserve">                                 202</w:t>
      </w:r>
      <w:r>
        <w:rPr>
          <w:rFonts w:hint="eastAsia" w:ascii="仿宋" w:hAnsi="仿宋" w:eastAsia="仿宋" w:cs="仿宋"/>
          <w:sz w:val="32"/>
          <w:szCs w:val="32"/>
          <w:highlight w:val="none"/>
        </w:rPr>
        <w:t>4年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日</w:t>
      </w:r>
    </w:p>
    <w:sectPr>
      <w:headerReference r:id="rId3"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BF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03D8B7"/>
    <w:multiLevelType w:val="singleLevel"/>
    <w:tmpl w:val="6C03D8B7"/>
    <w:lvl w:ilvl="0" w:tentative="0">
      <w:start w:val="5"/>
      <w:numFmt w:val="chineseCounting"/>
      <w:suff w:val="nothing"/>
      <w:lvlText w:val="（%1）"/>
      <w:lvlJc w:val="left"/>
      <w:rPr>
        <w:rFonts w:hint="eastAsia"/>
      </w:rPr>
    </w:lvl>
  </w:abstractNum>
  <w:abstractNum w:abstractNumId="1">
    <w:nsid w:val="70C57561"/>
    <w:multiLevelType w:val="singleLevel"/>
    <w:tmpl w:val="70C57561"/>
    <w:lvl w:ilvl="0" w:tentative="0">
      <w:start w:val="1"/>
      <w:numFmt w:val="decimal"/>
      <w:suff w:val="nothing"/>
      <w:lvlText w:val="%1、"/>
      <w:lvlJc w:val="left"/>
      <w:rPr>
        <w:rFonts w:hint="default"/>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ZjhhNjY4NGQzN2JlNTdiMDRiMTU1MDZjZjc0OTcifQ=="/>
  </w:docVars>
  <w:rsids>
    <w:rsidRoot w:val="7B904393"/>
    <w:rsid w:val="00060055"/>
    <w:rsid w:val="002D340A"/>
    <w:rsid w:val="003B5A4E"/>
    <w:rsid w:val="004D6899"/>
    <w:rsid w:val="00607A72"/>
    <w:rsid w:val="006D1E5D"/>
    <w:rsid w:val="008143D6"/>
    <w:rsid w:val="00BA4A86"/>
    <w:rsid w:val="00BD3600"/>
    <w:rsid w:val="00E4777D"/>
    <w:rsid w:val="00F21CE7"/>
    <w:rsid w:val="00F311B4"/>
    <w:rsid w:val="014A15AA"/>
    <w:rsid w:val="01956027"/>
    <w:rsid w:val="01A97D41"/>
    <w:rsid w:val="02C6153D"/>
    <w:rsid w:val="03221481"/>
    <w:rsid w:val="03D80B70"/>
    <w:rsid w:val="03FB660C"/>
    <w:rsid w:val="041E212B"/>
    <w:rsid w:val="045C354F"/>
    <w:rsid w:val="04D07A99"/>
    <w:rsid w:val="053120B8"/>
    <w:rsid w:val="057D264B"/>
    <w:rsid w:val="070F61CC"/>
    <w:rsid w:val="08624EAC"/>
    <w:rsid w:val="08A447FD"/>
    <w:rsid w:val="08C2389F"/>
    <w:rsid w:val="08D340A8"/>
    <w:rsid w:val="09067F2D"/>
    <w:rsid w:val="09B01C47"/>
    <w:rsid w:val="0A2914F1"/>
    <w:rsid w:val="0A344626"/>
    <w:rsid w:val="0A857D22"/>
    <w:rsid w:val="0ACC0D02"/>
    <w:rsid w:val="0C5177C6"/>
    <w:rsid w:val="0C700313"/>
    <w:rsid w:val="0CC16150"/>
    <w:rsid w:val="0CDF2F6F"/>
    <w:rsid w:val="0CE118E4"/>
    <w:rsid w:val="0D86163D"/>
    <w:rsid w:val="0E250E55"/>
    <w:rsid w:val="0F0200F5"/>
    <w:rsid w:val="0F1255A3"/>
    <w:rsid w:val="0FCF38D7"/>
    <w:rsid w:val="101D1E3B"/>
    <w:rsid w:val="113533B9"/>
    <w:rsid w:val="12F65714"/>
    <w:rsid w:val="13456EA6"/>
    <w:rsid w:val="143A0991"/>
    <w:rsid w:val="14A62AA5"/>
    <w:rsid w:val="15B64A89"/>
    <w:rsid w:val="15EC276B"/>
    <w:rsid w:val="16F2564D"/>
    <w:rsid w:val="184E382C"/>
    <w:rsid w:val="18FB794D"/>
    <w:rsid w:val="1B0B13D3"/>
    <w:rsid w:val="1B940D94"/>
    <w:rsid w:val="1BD052FA"/>
    <w:rsid w:val="1BE72147"/>
    <w:rsid w:val="1CF00880"/>
    <w:rsid w:val="1D1C78C7"/>
    <w:rsid w:val="200902A2"/>
    <w:rsid w:val="206B7FE1"/>
    <w:rsid w:val="20B4528D"/>
    <w:rsid w:val="20B85736"/>
    <w:rsid w:val="21FE759C"/>
    <w:rsid w:val="2229270F"/>
    <w:rsid w:val="22714556"/>
    <w:rsid w:val="22E37D6E"/>
    <w:rsid w:val="26B635FE"/>
    <w:rsid w:val="27941A6E"/>
    <w:rsid w:val="27D44F0E"/>
    <w:rsid w:val="27FA56CD"/>
    <w:rsid w:val="287C2081"/>
    <w:rsid w:val="293F4487"/>
    <w:rsid w:val="294D73C7"/>
    <w:rsid w:val="29ED3788"/>
    <w:rsid w:val="2A19534F"/>
    <w:rsid w:val="2A803A27"/>
    <w:rsid w:val="2AC1385C"/>
    <w:rsid w:val="2B136AEA"/>
    <w:rsid w:val="2B48462C"/>
    <w:rsid w:val="2C610E53"/>
    <w:rsid w:val="2DE42613"/>
    <w:rsid w:val="2F392EAF"/>
    <w:rsid w:val="313E763F"/>
    <w:rsid w:val="3172765E"/>
    <w:rsid w:val="340239AB"/>
    <w:rsid w:val="34606612"/>
    <w:rsid w:val="36C07924"/>
    <w:rsid w:val="37A74959"/>
    <w:rsid w:val="38705E92"/>
    <w:rsid w:val="393D49F6"/>
    <w:rsid w:val="397419D5"/>
    <w:rsid w:val="39794538"/>
    <w:rsid w:val="399A1E48"/>
    <w:rsid w:val="3A9C07F4"/>
    <w:rsid w:val="3A9F61BE"/>
    <w:rsid w:val="3AD1189A"/>
    <w:rsid w:val="3B4C0179"/>
    <w:rsid w:val="3B726BC5"/>
    <w:rsid w:val="3C0C2E19"/>
    <w:rsid w:val="3CD74797"/>
    <w:rsid w:val="3DFC22C2"/>
    <w:rsid w:val="3EEC234B"/>
    <w:rsid w:val="412C1E99"/>
    <w:rsid w:val="41B22A47"/>
    <w:rsid w:val="41CC4B69"/>
    <w:rsid w:val="4234679B"/>
    <w:rsid w:val="437457EE"/>
    <w:rsid w:val="439E2535"/>
    <w:rsid w:val="4418604C"/>
    <w:rsid w:val="46767799"/>
    <w:rsid w:val="46C92000"/>
    <w:rsid w:val="46CC47AD"/>
    <w:rsid w:val="46E91FE6"/>
    <w:rsid w:val="471814B5"/>
    <w:rsid w:val="47E86474"/>
    <w:rsid w:val="48233009"/>
    <w:rsid w:val="4A2751AA"/>
    <w:rsid w:val="4A731145"/>
    <w:rsid w:val="4B7778D4"/>
    <w:rsid w:val="4C365A00"/>
    <w:rsid w:val="4CB848EB"/>
    <w:rsid w:val="4E8C00C6"/>
    <w:rsid w:val="4EAF1A9A"/>
    <w:rsid w:val="4EFE032C"/>
    <w:rsid w:val="4FAC52FD"/>
    <w:rsid w:val="4FF80155"/>
    <w:rsid w:val="51BF0246"/>
    <w:rsid w:val="530B3464"/>
    <w:rsid w:val="541B7C39"/>
    <w:rsid w:val="54421C08"/>
    <w:rsid w:val="54FA755E"/>
    <w:rsid w:val="56F43135"/>
    <w:rsid w:val="572653E5"/>
    <w:rsid w:val="57B41ECF"/>
    <w:rsid w:val="57D00194"/>
    <w:rsid w:val="58150BC0"/>
    <w:rsid w:val="581667FF"/>
    <w:rsid w:val="583A0B86"/>
    <w:rsid w:val="58664A0B"/>
    <w:rsid w:val="595B3C5E"/>
    <w:rsid w:val="5A424BC6"/>
    <w:rsid w:val="5A717049"/>
    <w:rsid w:val="5AAD1584"/>
    <w:rsid w:val="5B9404C9"/>
    <w:rsid w:val="5C243387"/>
    <w:rsid w:val="5EBD08E6"/>
    <w:rsid w:val="5ECF26F0"/>
    <w:rsid w:val="5EDD5CB5"/>
    <w:rsid w:val="5F337F89"/>
    <w:rsid w:val="5F4B136B"/>
    <w:rsid w:val="5F4E4E5A"/>
    <w:rsid w:val="5FCD135E"/>
    <w:rsid w:val="63424833"/>
    <w:rsid w:val="636429FB"/>
    <w:rsid w:val="64633CEC"/>
    <w:rsid w:val="64990EAF"/>
    <w:rsid w:val="64DF052F"/>
    <w:rsid w:val="654F3671"/>
    <w:rsid w:val="666D606B"/>
    <w:rsid w:val="67B22635"/>
    <w:rsid w:val="684C7728"/>
    <w:rsid w:val="688D4045"/>
    <w:rsid w:val="694D4C3D"/>
    <w:rsid w:val="6A427BAA"/>
    <w:rsid w:val="6AB75B07"/>
    <w:rsid w:val="6ACF0028"/>
    <w:rsid w:val="6AF177E7"/>
    <w:rsid w:val="6C7270AD"/>
    <w:rsid w:val="6D5F15C1"/>
    <w:rsid w:val="6E581500"/>
    <w:rsid w:val="6F836B40"/>
    <w:rsid w:val="6F927492"/>
    <w:rsid w:val="7060279C"/>
    <w:rsid w:val="707B1384"/>
    <w:rsid w:val="71567ACA"/>
    <w:rsid w:val="72261430"/>
    <w:rsid w:val="72AB75C7"/>
    <w:rsid w:val="7479637A"/>
    <w:rsid w:val="75845C69"/>
    <w:rsid w:val="765D1C43"/>
    <w:rsid w:val="784A468E"/>
    <w:rsid w:val="786B31B2"/>
    <w:rsid w:val="7B450F0D"/>
    <w:rsid w:val="7B904393"/>
    <w:rsid w:val="7C6D17F8"/>
    <w:rsid w:val="7CCF434D"/>
    <w:rsid w:val="7DAA3343"/>
    <w:rsid w:val="7DFA7D8C"/>
    <w:rsid w:val="7EFB2456"/>
    <w:rsid w:val="7F98785D"/>
    <w:rsid w:val="7FD034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99"/>
    <w:pPr>
      <w:spacing w:line="480" w:lineRule="atLeast"/>
    </w:pPr>
    <w:rPr>
      <w:rFonts w:ascii="楷体_GB2312" w:eastAsia="楷体_GB2312" w:cs="楷体_GB2312"/>
      <w:b/>
      <w:bCs/>
      <w:sz w:val="30"/>
      <w:szCs w:val="30"/>
    </w:rPr>
  </w:style>
  <w:style w:type="paragraph" w:styleId="3">
    <w:name w:val="Body Text Indent"/>
    <w:basedOn w:val="1"/>
    <w:link w:val="12"/>
    <w:autoRedefine/>
    <w:qFormat/>
    <w:uiPriority w:val="99"/>
    <w:pPr>
      <w:autoSpaceDE w:val="0"/>
      <w:autoSpaceDN w:val="0"/>
      <w:adjustRightInd w:val="0"/>
      <w:spacing w:line="480" w:lineRule="exact"/>
      <w:ind w:left="850" w:hanging="249"/>
      <w:textAlignment w:val="baseline"/>
    </w:pPr>
    <w:rPr>
      <w:rFonts w:ascii="仿宋_GB2312" w:eastAsia="仿宋_GB2312" w:cs="仿宋_GB2312"/>
      <w:kern w:val="0"/>
      <w:sz w:val="28"/>
      <w:szCs w:val="28"/>
    </w:rPr>
  </w:style>
  <w:style w:type="paragraph" w:styleId="4">
    <w:name w:val="footer"/>
    <w:basedOn w:val="1"/>
    <w:link w:val="15"/>
    <w:autoRedefine/>
    <w:qFormat/>
    <w:uiPriority w:val="99"/>
    <w:pPr>
      <w:tabs>
        <w:tab w:val="center" w:pos="4153"/>
        <w:tab w:val="right" w:pos="8306"/>
      </w:tabs>
      <w:snapToGrid w:val="0"/>
      <w:jc w:val="left"/>
    </w:pPr>
    <w:rPr>
      <w:sz w:val="18"/>
      <w:szCs w:val="18"/>
    </w:rPr>
  </w:style>
  <w:style w:type="paragraph" w:styleId="5">
    <w:name w:val="header"/>
    <w:basedOn w:val="1"/>
    <w:link w:val="13"/>
    <w:autoRedefine/>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autoRedefine/>
    <w:qFormat/>
    <w:uiPriority w:val="99"/>
    <w:pPr>
      <w:spacing w:beforeAutospacing="1" w:afterAutospacing="1"/>
      <w:jc w:val="left"/>
    </w:pPr>
    <w:rPr>
      <w:kern w:val="0"/>
      <w:sz w:val="24"/>
      <w:szCs w:val="24"/>
    </w:rPr>
  </w:style>
  <w:style w:type="paragraph" w:styleId="7">
    <w:name w:val="Body Text First Indent 2"/>
    <w:basedOn w:val="3"/>
    <w:link w:val="14"/>
    <w:autoRedefine/>
    <w:qFormat/>
    <w:uiPriority w:val="99"/>
    <w:pPr>
      <w:ind w:firstLine="420" w:firstLineChars="200"/>
    </w:pPr>
  </w:style>
  <w:style w:type="character" w:styleId="10">
    <w:name w:val="Emphasis"/>
    <w:basedOn w:val="9"/>
    <w:autoRedefine/>
    <w:qFormat/>
    <w:locked/>
    <w:uiPriority w:val="0"/>
    <w:rPr>
      <w:i/>
    </w:rPr>
  </w:style>
  <w:style w:type="character" w:customStyle="1" w:styleId="11">
    <w:name w:val="正文文本 字符"/>
    <w:basedOn w:val="9"/>
    <w:link w:val="2"/>
    <w:autoRedefine/>
    <w:semiHidden/>
    <w:qFormat/>
    <w:uiPriority w:val="99"/>
    <w:rPr>
      <w:szCs w:val="21"/>
    </w:rPr>
  </w:style>
  <w:style w:type="character" w:customStyle="1" w:styleId="12">
    <w:name w:val="正文文本缩进 字符"/>
    <w:basedOn w:val="9"/>
    <w:link w:val="3"/>
    <w:autoRedefine/>
    <w:semiHidden/>
    <w:qFormat/>
    <w:uiPriority w:val="99"/>
    <w:rPr>
      <w:szCs w:val="21"/>
    </w:rPr>
  </w:style>
  <w:style w:type="character" w:customStyle="1" w:styleId="13">
    <w:name w:val="页眉 字符"/>
    <w:basedOn w:val="9"/>
    <w:link w:val="5"/>
    <w:autoRedefine/>
    <w:semiHidden/>
    <w:qFormat/>
    <w:uiPriority w:val="99"/>
    <w:rPr>
      <w:sz w:val="18"/>
      <w:szCs w:val="18"/>
    </w:rPr>
  </w:style>
  <w:style w:type="character" w:customStyle="1" w:styleId="14">
    <w:name w:val="正文文本首行缩进 2 字符"/>
    <w:basedOn w:val="12"/>
    <w:link w:val="7"/>
    <w:autoRedefine/>
    <w:semiHidden/>
    <w:qFormat/>
    <w:uiPriority w:val="99"/>
    <w:rPr>
      <w:szCs w:val="21"/>
    </w:rPr>
  </w:style>
  <w:style w:type="character" w:customStyle="1" w:styleId="15">
    <w:name w:val="页脚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CXZX</Company>
  <Pages>8</Pages>
  <Words>3078</Words>
  <Characters>3168</Characters>
  <Lines>23</Lines>
  <Paragraphs>6</Paragraphs>
  <TotalTime>1</TotalTime>
  <ScaleCrop>false</ScaleCrop>
  <LinksUpToDate>false</LinksUpToDate>
  <CharactersWithSpaces>3218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2021-03-08T02:31:00Z</dcterms:created>
  <dc:creator>Administrator</dc:creator>
  <cp:lastModifiedBy>Administrator</cp:lastModifiedBy>
  <cp:lastPrinted>2024-07-15T08:05:00Z</cp:lastPrinted>
  <dcterms:modified xsi:type="dcterms:W3CDTF">2024-08-16T01:56:06Z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32E16BFE15C34EFE845F03E6FEBB5BCB_13</vt:lpwstr>
  </property>
</Properties>
</file>