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4A3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olor w:val="auto"/>
          <w:sz w:val="44"/>
          <w:szCs w:val="44"/>
        </w:rPr>
      </w:pPr>
      <w:r>
        <w:rPr>
          <w:rFonts w:hint="eastAsia" w:ascii="Times New Roman" w:hAnsi="Times New Roman"/>
          <w:lang w:val="en-US" w:eastAsia="zh-CN"/>
        </w:rPr>
        <w:t xml:space="preserve"> </w:t>
      </w:r>
      <w:r>
        <w:rPr>
          <w:rFonts w:hint="eastAsia" w:ascii="Times New Roman" w:hAnsi="Times New Roman" w:eastAsia="方正小标宋简体"/>
          <w:color w:val="auto"/>
          <w:sz w:val="44"/>
          <w:szCs w:val="44"/>
        </w:rPr>
        <w:t>江门市出生缺陷综合防控项目管理方案</w:t>
      </w:r>
    </w:p>
    <w:p w14:paraId="1B09AC09">
      <w:pPr>
        <w:keepNext w:val="0"/>
        <w:keepLines w:val="0"/>
        <w:pageBreakBefore w:val="0"/>
        <w:kinsoku/>
        <w:wordWrap/>
        <w:overflowPunct/>
        <w:topLinePunct w:val="0"/>
        <w:autoSpaceDE/>
        <w:autoSpaceDN/>
        <w:bidi w:val="0"/>
        <w:spacing w:line="560" w:lineRule="exact"/>
        <w:ind w:firstLine="2658" w:firstLineChars="600"/>
        <w:textAlignment w:val="auto"/>
        <w:rPr>
          <w:rFonts w:ascii="Times New Roman" w:hAnsi="Times New Roman" w:eastAsia="方正小标宋简体"/>
          <w:color w:val="auto"/>
          <w:spacing w:val="10"/>
          <w:sz w:val="44"/>
          <w:szCs w:val="44"/>
        </w:rPr>
      </w:pPr>
      <w:r>
        <w:rPr>
          <w:rFonts w:hint="eastAsia" w:ascii="Times New Roman" w:hAnsi="Times New Roman" w:eastAsia="方正小标宋简体"/>
          <w:color w:val="auto"/>
          <w:spacing w:val="10"/>
          <w:sz w:val="44"/>
          <w:szCs w:val="44"/>
        </w:rPr>
        <w:t>（202</w:t>
      </w:r>
      <w:r>
        <w:rPr>
          <w:rFonts w:hint="eastAsia" w:ascii="Times New Roman" w:hAnsi="Times New Roman" w:eastAsia="方正小标宋简体"/>
          <w:color w:val="auto"/>
          <w:spacing w:val="10"/>
          <w:sz w:val="44"/>
          <w:szCs w:val="44"/>
          <w:lang w:val="en-US" w:eastAsia="zh-CN"/>
        </w:rPr>
        <w:t>4</w:t>
      </w:r>
      <w:r>
        <w:rPr>
          <w:rFonts w:ascii="Times New Roman" w:hAnsi="Times New Roman" w:eastAsia="方正小标宋简体"/>
          <w:color w:val="auto"/>
          <w:spacing w:val="10"/>
          <w:sz w:val="44"/>
          <w:szCs w:val="44"/>
        </w:rPr>
        <w:t>-202</w:t>
      </w:r>
      <w:r>
        <w:rPr>
          <w:rFonts w:hint="eastAsia" w:ascii="Times New Roman" w:hAnsi="Times New Roman" w:eastAsia="方正小标宋简体"/>
          <w:color w:val="auto"/>
          <w:spacing w:val="10"/>
          <w:sz w:val="44"/>
          <w:szCs w:val="44"/>
          <w:lang w:val="en-US" w:eastAsia="zh-CN"/>
        </w:rPr>
        <w:t>6</w:t>
      </w:r>
      <w:r>
        <w:rPr>
          <w:rFonts w:hint="eastAsia" w:ascii="Times New Roman" w:hAnsi="Times New Roman" w:eastAsia="方正小标宋简体"/>
          <w:color w:val="auto"/>
          <w:spacing w:val="10"/>
          <w:sz w:val="44"/>
          <w:szCs w:val="44"/>
        </w:rPr>
        <w:t>年）</w:t>
      </w:r>
    </w:p>
    <w:p w14:paraId="43AAAFAB">
      <w:pPr>
        <w:pStyle w:val="7"/>
        <w:keepNext w:val="0"/>
        <w:keepLines w:val="0"/>
        <w:pageBreakBefore w:val="0"/>
        <w:kinsoku/>
        <w:wordWrap/>
        <w:overflowPunct/>
        <w:topLinePunct w:val="0"/>
        <w:autoSpaceDE/>
        <w:autoSpaceDN/>
        <w:bidi w:val="0"/>
        <w:spacing w:line="560" w:lineRule="exact"/>
        <w:jc w:val="center"/>
        <w:textAlignment w:val="auto"/>
        <w:rPr>
          <w:rFonts w:ascii="Times New Roman" w:hAnsi="Times New Roman"/>
          <w:color w:val="auto"/>
          <w:spacing w:val="10"/>
          <w:sz w:val="32"/>
          <w:szCs w:val="32"/>
        </w:rPr>
      </w:pPr>
    </w:p>
    <w:p w14:paraId="1277FD54">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预防和减少出生缺陷，把好人生健康第一关，是提高出生人口素质、推进健康中国建设的重要举措，是坚持以人为本、促进经济社会可持续发展的内在要求。为深入贯彻党的二十大和全国卫生与健康大会精神，落实《中共中央、国务院关于优化生育政策促进人口长期均衡发展的决定》《中国儿童发展纲要（2021-2030年）》《“健康中国 2030”规划纲要》《全国出生缺陷综合防</w:t>
      </w:r>
      <w:r>
        <w:rPr>
          <w:rFonts w:hint="eastAsia" w:ascii="仿宋_GB2312" w:hAnsi="仿宋_GB2312" w:eastAsia="仿宋_GB2312" w:cs="仿宋_GB2312"/>
          <w:snapToGrid w:val="0"/>
          <w:color w:val="auto"/>
          <w:kern w:val="0"/>
          <w:sz w:val="32"/>
          <w:szCs w:val="32"/>
          <w:lang w:eastAsia="zh-CN"/>
        </w:rPr>
        <w:t>治</w:t>
      </w:r>
      <w:r>
        <w:rPr>
          <w:rFonts w:hint="eastAsia" w:ascii="仿宋_GB2312" w:hAnsi="仿宋_GB2312" w:eastAsia="仿宋_GB2312" w:cs="仿宋_GB2312"/>
          <w:snapToGrid w:val="0"/>
          <w:color w:val="auto"/>
          <w:kern w:val="0"/>
          <w:sz w:val="32"/>
          <w:szCs w:val="32"/>
        </w:rPr>
        <w:t>方案》《出生缺陷防治能力提升计划（2023-2027年）》</w:t>
      </w:r>
      <w:r>
        <w:rPr>
          <w:rFonts w:hint="eastAsia" w:ascii="仿宋_GB2312" w:hAnsi="仿宋_GB2312" w:eastAsia="仿宋_GB2312" w:cs="仿宋_GB2312"/>
          <w:snapToGrid w:val="0"/>
          <w:color w:val="auto"/>
          <w:kern w:val="0"/>
          <w:sz w:val="32"/>
          <w:szCs w:val="32"/>
          <w:shd w:val="clear" w:color="auto" w:fill="auto"/>
        </w:rPr>
        <w:t>《广东省出生缺陷综合防控项目管理方案（2024-2026年）》</w:t>
      </w:r>
      <w:r>
        <w:rPr>
          <w:rFonts w:hint="eastAsia" w:ascii="仿宋_GB2312" w:hAnsi="仿宋_GB2312" w:eastAsia="仿宋_GB2312" w:cs="仿宋_GB2312"/>
          <w:snapToGrid w:val="0"/>
          <w:color w:val="auto"/>
          <w:kern w:val="0"/>
          <w:sz w:val="32"/>
          <w:szCs w:val="32"/>
          <w:shd w:val="clear" w:color="auto" w:fill="auto"/>
          <w:lang w:eastAsia="zh-CN"/>
        </w:rPr>
        <w:t>等文件要求</w:t>
      </w:r>
      <w:r>
        <w:rPr>
          <w:rFonts w:hint="eastAsia" w:ascii="仿宋_GB2312" w:hAnsi="仿宋_GB2312" w:eastAsia="仿宋_GB2312" w:cs="仿宋_GB2312"/>
          <w:snapToGrid w:val="0"/>
          <w:color w:val="auto"/>
          <w:kern w:val="0"/>
          <w:sz w:val="32"/>
          <w:szCs w:val="32"/>
          <w:shd w:val="clear" w:color="auto" w:fill="auto"/>
        </w:rPr>
        <w:t>，</w:t>
      </w:r>
      <w:r>
        <w:rPr>
          <w:rFonts w:hint="eastAsia" w:ascii="仿宋_GB2312" w:hAnsi="仿宋_GB2312" w:eastAsia="仿宋_GB2312" w:cs="仿宋_GB2312"/>
          <w:snapToGrid w:val="0"/>
          <w:color w:val="auto"/>
          <w:kern w:val="0"/>
          <w:sz w:val="32"/>
          <w:szCs w:val="32"/>
          <w:lang w:eastAsia="zh-CN"/>
        </w:rPr>
        <w:t>全面推进</w:t>
      </w:r>
      <w:r>
        <w:rPr>
          <w:rFonts w:hint="eastAsia" w:ascii="仿宋_GB2312" w:hAnsi="仿宋_GB2312" w:eastAsia="仿宋_GB2312" w:cs="仿宋_GB2312"/>
          <w:snapToGrid w:val="0"/>
          <w:color w:val="auto"/>
          <w:kern w:val="0"/>
          <w:sz w:val="32"/>
          <w:szCs w:val="32"/>
        </w:rPr>
        <w:t>出生缺陷综合</w:t>
      </w:r>
      <w:r>
        <w:rPr>
          <w:rFonts w:hint="eastAsia" w:ascii="仿宋_GB2312" w:hAnsi="仿宋_GB2312" w:eastAsia="仿宋_GB2312" w:cs="仿宋_GB2312"/>
          <w:snapToGrid w:val="0"/>
          <w:color w:val="auto"/>
          <w:kern w:val="0"/>
          <w:sz w:val="32"/>
          <w:szCs w:val="32"/>
          <w:lang w:eastAsia="zh-CN"/>
        </w:rPr>
        <w:t>防控</w:t>
      </w:r>
      <w:r>
        <w:rPr>
          <w:rFonts w:hint="eastAsia" w:ascii="仿宋_GB2312" w:hAnsi="仿宋_GB2312" w:eastAsia="仿宋_GB2312" w:cs="仿宋_GB2312"/>
          <w:snapToGrid w:val="0"/>
          <w:color w:val="auto"/>
          <w:kern w:val="0"/>
          <w:sz w:val="32"/>
          <w:szCs w:val="32"/>
        </w:rPr>
        <w:t>工作</w:t>
      </w:r>
      <w:r>
        <w:rPr>
          <w:rFonts w:hint="eastAsia" w:ascii="仿宋_GB2312" w:hAnsi="仿宋_GB2312" w:eastAsia="仿宋_GB2312" w:cs="仿宋_GB2312"/>
          <w:snapToGrid w:val="0"/>
          <w:color w:val="auto"/>
          <w:kern w:val="0"/>
          <w:sz w:val="32"/>
          <w:szCs w:val="32"/>
          <w:lang w:eastAsia="zh-CN"/>
        </w:rPr>
        <w:t>高质量发展，</w:t>
      </w:r>
      <w:r>
        <w:rPr>
          <w:rFonts w:hint="eastAsia" w:ascii="仿宋_GB2312" w:hAnsi="仿宋_GB2312" w:eastAsia="仿宋_GB2312" w:cs="仿宋_GB2312"/>
          <w:snapToGrid w:val="0"/>
          <w:color w:val="auto"/>
          <w:kern w:val="0"/>
          <w:sz w:val="32"/>
          <w:szCs w:val="32"/>
        </w:rPr>
        <w:t>制定本方案。</w:t>
      </w:r>
    </w:p>
    <w:p w14:paraId="09E90F46">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Times New Roman" w:hAnsi="Times New Roman" w:eastAsia="黑体"/>
          <w:snapToGrid w:val="0"/>
          <w:color w:val="auto"/>
          <w:kern w:val="0"/>
          <w:sz w:val="32"/>
          <w:szCs w:val="32"/>
          <w:lang w:eastAsia="zh-CN"/>
        </w:rPr>
      </w:pPr>
      <w:r>
        <w:rPr>
          <w:rFonts w:ascii="Times New Roman" w:hAnsi="Times New Roman" w:eastAsia="黑体"/>
          <w:snapToGrid w:val="0"/>
          <w:color w:val="auto"/>
          <w:kern w:val="0"/>
          <w:sz w:val="32"/>
          <w:szCs w:val="32"/>
        </w:rPr>
        <w:t>一、</w:t>
      </w:r>
      <w:r>
        <w:rPr>
          <w:rFonts w:hint="eastAsia" w:ascii="Times New Roman" w:hAnsi="Times New Roman" w:eastAsia="黑体"/>
          <w:snapToGrid w:val="0"/>
          <w:color w:val="auto"/>
          <w:kern w:val="0"/>
          <w:sz w:val="32"/>
          <w:szCs w:val="32"/>
          <w:lang w:eastAsia="zh-CN"/>
        </w:rPr>
        <w:t>基本原则</w:t>
      </w:r>
    </w:p>
    <w:p w14:paraId="5DE67B1B">
      <w:pPr>
        <w:keepNext w:val="0"/>
        <w:keepLines w:val="0"/>
        <w:pageBreakBefore w:val="0"/>
        <w:kinsoku/>
        <w:wordWrap/>
        <w:overflowPunct/>
        <w:topLinePunct w:val="0"/>
        <w:autoSpaceDE/>
        <w:autoSpaceDN/>
        <w:bidi w:val="0"/>
        <w:spacing w:line="560" w:lineRule="exact"/>
        <w:ind w:firstLine="606" w:firstLineChars="200"/>
        <w:textAlignment w:val="auto"/>
        <w:rPr>
          <w:rFonts w:ascii="Times New Roman" w:hAnsi="Times New Roman" w:eastAsia="仿宋_GB2312" w:cs="Times New Roman"/>
          <w:snapToGrid w:val="0"/>
          <w:color w:val="auto"/>
          <w:kern w:val="0"/>
          <w:sz w:val="32"/>
          <w:szCs w:val="32"/>
        </w:rPr>
      </w:pPr>
      <w:r>
        <w:rPr>
          <w:rFonts w:hint="eastAsia" w:ascii="Times New Roman" w:hAnsi="Times New Roman" w:eastAsia="仿宋_GB2312" w:cs="Times New Roman"/>
          <w:snapToGrid w:val="0"/>
          <w:color w:val="auto"/>
          <w:kern w:val="0"/>
          <w:sz w:val="32"/>
          <w:szCs w:val="32"/>
        </w:rPr>
        <w:t>坚持政府主导，将出生缺陷防控融入所有健康政策，促进公平可及、人人享有</w:t>
      </w:r>
      <w:r>
        <w:rPr>
          <w:rFonts w:hint="eastAsia" w:ascii="Times New Roman" w:hAnsi="Times New Roman" w:eastAsia="仿宋_GB2312" w:cs="Times New Roman"/>
          <w:snapToGrid w:val="0"/>
          <w:color w:val="auto"/>
          <w:kern w:val="0"/>
          <w:sz w:val="32"/>
          <w:szCs w:val="32"/>
          <w:lang w:eastAsia="zh-CN"/>
        </w:rPr>
        <w:t>。</w:t>
      </w:r>
      <w:r>
        <w:rPr>
          <w:rFonts w:hint="eastAsia" w:ascii="Times New Roman" w:hAnsi="Times New Roman" w:eastAsia="仿宋_GB2312" w:cs="Times New Roman"/>
          <w:snapToGrid w:val="0"/>
          <w:color w:val="auto"/>
          <w:kern w:val="0"/>
          <w:sz w:val="32"/>
          <w:szCs w:val="32"/>
        </w:rPr>
        <w:t>坚持预防为主、防治结合，健全健康教育、筛查、诊断、治疗、康复全程服务。坚持精准施策，聚焦严重多发出生缺陷病种，完善防控措施。坚持统筹协调，动员社会参与，增强工作合力。</w:t>
      </w:r>
    </w:p>
    <w:p w14:paraId="5A87B69D">
      <w:pPr>
        <w:keepNext w:val="0"/>
        <w:keepLines w:val="0"/>
        <w:pageBreakBefore w:val="0"/>
        <w:numPr>
          <w:ilvl w:val="0"/>
          <w:numId w:val="1"/>
        </w:numPr>
        <w:kinsoku/>
        <w:wordWrap/>
        <w:overflowPunct/>
        <w:topLinePunct w:val="0"/>
        <w:autoSpaceDE/>
        <w:autoSpaceDN/>
        <w:bidi w:val="0"/>
        <w:spacing w:line="560" w:lineRule="exact"/>
        <w:ind w:firstLine="606" w:firstLineChars="200"/>
        <w:textAlignment w:val="auto"/>
        <w:rPr>
          <w:rFonts w:ascii="Times New Roman" w:hAnsi="Times New Roman" w:eastAsia="黑体"/>
          <w:snapToGrid w:val="0"/>
          <w:color w:val="auto"/>
          <w:kern w:val="0"/>
          <w:sz w:val="32"/>
          <w:szCs w:val="32"/>
        </w:rPr>
      </w:pPr>
      <w:r>
        <w:rPr>
          <w:rFonts w:hint="eastAsia" w:ascii="Times New Roman" w:hAnsi="Times New Roman" w:eastAsia="黑体"/>
          <w:snapToGrid w:val="0"/>
          <w:color w:val="auto"/>
          <w:kern w:val="0"/>
          <w:sz w:val="32"/>
          <w:szCs w:val="32"/>
          <w:lang w:eastAsia="zh-CN"/>
        </w:rPr>
        <w:t>主要</w:t>
      </w:r>
      <w:r>
        <w:rPr>
          <w:rFonts w:ascii="Times New Roman" w:hAnsi="Times New Roman" w:eastAsia="黑体"/>
          <w:snapToGrid w:val="0"/>
          <w:color w:val="auto"/>
          <w:kern w:val="0"/>
          <w:sz w:val="32"/>
          <w:szCs w:val="32"/>
        </w:rPr>
        <w:t>目标</w:t>
      </w:r>
    </w:p>
    <w:p w14:paraId="3EFF0E28">
      <w:pPr>
        <w:keepNext w:val="0"/>
        <w:keepLines w:val="0"/>
        <w:pageBreakBefore w:val="0"/>
        <w:numPr>
          <w:ilvl w:val="0"/>
          <w:numId w:val="0"/>
        </w:numPr>
        <w:kinsoku/>
        <w:wordWrap/>
        <w:overflowPunct/>
        <w:topLinePunct w:val="0"/>
        <w:autoSpaceDE/>
        <w:autoSpaceDN/>
        <w:bidi w:val="0"/>
        <w:spacing w:line="560" w:lineRule="exact"/>
        <w:ind w:firstLine="606" w:firstLineChars="200"/>
        <w:textAlignment w:val="auto"/>
        <w:rPr>
          <w:rFonts w:ascii="Times New Roman" w:hAnsi="Times New Roman" w:eastAsia="仿宋_GB2312"/>
          <w:snapToGrid w:val="0"/>
          <w:color w:val="auto"/>
          <w:kern w:val="0"/>
          <w:sz w:val="32"/>
          <w:szCs w:val="32"/>
        </w:rPr>
      </w:pPr>
      <w:r>
        <w:rPr>
          <w:rFonts w:hint="eastAsia" w:ascii="楷体" w:hAnsi="楷体" w:eastAsia="楷体" w:cs="楷体"/>
          <w:snapToGrid w:val="0"/>
          <w:color w:val="auto"/>
          <w:kern w:val="0"/>
          <w:sz w:val="32"/>
          <w:szCs w:val="32"/>
        </w:rPr>
        <w:t>（一）总体目标。</w:t>
      </w:r>
      <w:r>
        <w:rPr>
          <w:rFonts w:hint="eastAsia" w:ascii="Times New Roman" w:hAnsi="Times New Roman" w:eastAsia="仿宋_GB2312"/>
          <w:snapToGrid w:val="0"/>
          <w:color w:val="auto"/>
          <w:kern w:val="0"/>
          <w:sz w:val="32"/>
          <w:szCs w:val="32"/>
        </w:rPr>
        <w:t>构建覆盖城乡居民，涵盖婚前、孕前、孕期、儿童期各阶段的出生缺陷防控体系，为群众提供公平可及、优质高效的出生缺陷综合防控服务，预防和减少出生缺陷，提高出生人口素质和儿童健康水平。</w:t>
      </w:r>
    </w:p>
    <w:p w14:paraId="7612DB80">
      <w:pPr>
        <w:keepNext w:val="0"/>
        <w:keepLines w:val="0"/>
        <w:pageBreakBefore w:val="0"/>
        <w:widowControl/>
        <w:kinsoku/>
        <w:wordWrap/>
        <w:overflowPunct/>
        <w:topLinePunct w:val="0"/>
        <w:autoSpaceDE/>
        <w:autoSpaceDN/>
        <w:bidi w:val="0"/>
        <w:adjustRightInd w:val="0"/>
        <w:spacing w:line="560" w:lineRule="exact"/>
        <w:ind w:firstLine="606" w:firstLineChars="200"/>
        <w:jc w:val="left"/>
        <w:textAlignment w:val="auto"/>
        <w:rPr>
          <w:rFonts w:ascii="Times New Roman" w:hAnsi="Times New Roman" w:eastAsia="楷体_GB2312"/>
          <w:snapToGrid w:val="0"/>
          <w:color w:val="auto"/>
          <w:kern w:val="0"/>
          <w:sz w:val="32"/>
          <w:szCs w:val="32"/>
        </w:rPr>
      </w:pPr>
      <w:r>
        <w:rPr>
          <w:rFonts w:hint="eastAsia" w:ascii="楷体" w:hAnsi="楷体" w:eastAsia="楷体" w:cs="楷体"/>
          <w:snapToGrid w:val="0"/>
          <w:color w:val="auto"/>
          <w:kern w:val="0"/>
          <w:sz w:val="32"/>
          <w:szCs w:val="32"/>
        </w:rPr>
        <w:t>（二）年度目标。</w:t>
      </w:r>
    </w:p>
    <w:p w14:paraId="4069F1EF">
      <w:pPr>
        <w:keepNext w:val="0"/>
        <w:keepLines w:val="0"/>
        <w:pageBreakBefore w:val="0"/>
        <w:widowControl/>
        <w:kinsoku/>
        <w:wordWrap/>
        <w:overflowPunct/>
        <w:topLinePunct w:val="0"/>
        <w:autoSpaceDE/>
        <w:autoSpaceDN/>
        <w:bidi w:val="0"/>
        <w:adjustRightInd w:val="0"/>
        <w:spacing w:line="560" w:lineRule="exact"/>
        <w:ind w:firstLine="606" w:firstLineChars="200"/>
        <w:jc w:val="left"/>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1.</w:t>
      </w:r>
      <w:r>
        <w:rPr>
          <w:rFonts w:hint="eastAsia" w:ascii="仿宋_GB2312" w:hAnsi="仿宋_GB2312" w:eastAsia="仿宋_GB2312" w:cs="仿宋_GB2312"/>
          <w:snapToGrid w:val="0"/>
          <w:color w:val="auto"/>
          <w:kern w:val="0"/>
          <w:sz w:val="32"/>
          <w:szCs w:val="32"/>
        </w:rPr>
        <w:t>出生缺陷防治知识知晓率达 80%以上。</w:t>
      </w:r>
    </w:p>
    <w:p w14:paraId="35747363">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b/>
          <w:bCs/>
          <w:snapToGrid w:val="0"/>
          <w:color w:val="auto"/>
          <w:kern w:val="0"/>
          <w:sz w:val="32"/>
          <w:szCs w:val="32"/>
        </w:rPr>
        <w:t>2.</w:t>
      </w:r>
      <w:r>
        <w:rPr>
          <w:rFonts w:hint="eastAsia" w:ascii="仿宋_GB2312" w:hAnsi="仿宋_GB2312" w:eastAsia="仿宋_GB2312" w:cs="仿宋_GB2312"/>
          <w:snapToGrid w:val="0"/>
          <w:color w:val="auto"/>
          <w:kern w:val="0"/>
          <w:sz w:val="32"/>
          <w:szCs w:val="32"/>
        </w:rPr>
        <w:t>婚前医学检查率2024年达65%以上、2025年达70%以上</w:t>
      </w:r>
      <w:r>
        <w:rPr>
          <w:rFonts w:hint="eastAsia" w:ascii="仿宋_GB2312" w:hAnsi="仿宋_GB2312" w:eastAsia="仿宋_GB2312" w:cs="仿宋_GB2312"/>
          <w:snapToGrid w:val="0"/>
          <w:color w:val="auto"/>
          <w:kern w:val="0"/>
          <w:sz w:val="32"/>
          <w:szCs w:val="32"/>
          <w:lang w:eastAsia="zh-CN"/>
        </w:rPr>
        <w:t>。</w:t>
      </w:r>
    </w:p>
    <w:p w14:paraId="1A3083C6">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3.</w:t>
      </w:r>
      <w:r>
        <w:rPr>
          <w:rFonts w:hint="eastAsia" w:ascii="仿宋_GB2312" w:hAnsi="仿宋_GB2312" w:eastAsia="仿宋_GB2312" w:cs="仿宋_GB2312"/>
          <w:snapToGrid w:val="0"/>
          <w:color w:val="auto"/>
          <w:kern w:val="0"/>
          <w:sz w:val="32"/>
          <w:szCs w:val="32"/>
        </w:rPr>
        <w:t>孕前优生健康检查覆盖率达80%以上。</w:t>
      </w:r>
    </w:p>
    <w:p w14:paraId="0DA57D0F">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4.</w:t>
      </w:r>
      <w:r>
        <w:rPr>
          <w:rFonts w:hint="eastAsia" w:ascii="仿宋_GB2312" w:hAnsi="仿宋_GB2312" w:eastAsia="仿宋_GB2312" w:cs="仿宋_GB2312"/>
          <w:snapToGrid w:val="0"/>
          <w:color w:val="auto"/>
          <w:kern w:val="0"/>
          <w:sz w:val="32"/>
          <w:szCs w:val="32"/>
        </w:rPr>
        <w:t>孕产妇产前胎儿染色体异常筛查率和结构畸形筛查率均达80%以上。</w:t>
      </w:r>
    </w:p>
    <w:p w14:paraId="5253FA46">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5.</w:t>
      </w:r>
      <w:r>
        <w:rPr>
          <w:rFonts w:hint="eastAsia" w:ascii="仿宋_GB2312" w:hAnsi="仿宋_GB2312" w:eastAsia="仿宋_GB2312" w:cs="仿宋_GB2312"/>
          <w:snapToGrid w:val="0"/>
          <w:color w:val="auto"/>
          <w:kern w:val="0"/>
          <w:sz w:val="32"/>
          <w:szCs w:val="32"/>
        </w:rPr>
        <w:t>夫妇产前地贫初筛（血常规）率达95%以上。</w:t>
      </w:r>
    </w:p>
    <w:p w14:paraId="54A4BCA0">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6.</w:t>
      </w:r>
      <w:r>
        <w:rPr>
          <w:rFonts w:hint="eastAsia" w:ascii="仿宋_GB2312" w:hAnsi="仿宋_GB2312" w:eastAsia="仿宋_GB2312" w:cs="仿宋_GB2312"/>
          <w:snapToGrid w:val="0"/>
          <w:color w:val="auto"/>
          <w:kern w:val="0"/>
          <w:sz w:val="32"/>
          <w:szCs w:val="32"/>
        </w:rPr>
        <w:t>先天性甲状腺功能低下症、苯丙酮尿症、葡萄糖-6-磷酸脱氢酶缺乏症、先天性肾上腺皮质增生症新生儿遗传代谢性疾病筛查率达到98%以上。</w:t>
      </w:r>
    </w:p>
    <w:p w14:paraId="74EBF6C1">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7.</w:t>
      </w:r>
      <w:r>
        <w:rPr>
          <w:rFonts w:hint="eastAsia" w:ascii="仿宋_GB2312" w:hAnsi="仿宋_GB2312" w:eastAsia="仿宋_GB2312" w:cs="仿宋_GB2312"/>
          <w:snapToGrid w:val="0"/>
          <w:color w:val="auto"/>
          <w:kern w:val="0"/>
          <w:sz w:val="32"/>
          <w:szCs w:val="32"/>
        </w:rPr>
        <w:t>到2025年新生儿先天性心脏病筛查覆盖所有县（市、区）</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筛查率达到60%以上。</w:t>
      </w:r>
    </w:p>
    <w:p w14:paraId="576BB4E1">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Times New Roman" w:hAnsi="Times New Roman" w:eastAsia="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8.</w:t>
      </w:r>
      <w:r>
        <w:rPr>
          <w:rFonts w:hint="eastAsia" w:ascii="仿宋_GB2312" w:hAnsi="仿宋_GB2312" w:eastAsia="仿宋_GB2312" w:cs="仿宋_GB2312"/>
          <w:snapToGrid w:val="0"/>
          <w:color w:val="auto"/>
          <w:kern w:val="0"/>
          <w:sz w:val="32"/>
          <w:szCs w:val="32"/>
        </w:rPr>
        <w:t>新生儿听力筛查率达95%以上。</w:t>
      </w:r>
    </w:p>
    <w:p w14:paraId="6D395A09">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黑体" w:hAnsi="黑体" w:eastAsia="黑体" w:cs="黑体"/>
          <w:snapToGrid w:val="0"/>
          <w:color w:val="auto"/>
          <w:kern w:val="0"/>
          <w:sz w:val="32"/>
          <w:szCs w:val="32"/>
          <w:lang w:eastAsia="zh-CN"/>
        </w:rPr>
      </w:pPr>
      <w:r>
        <w:rPr>
          <w:rFonts w:hint="eastAsia" w:ascii="黑体" w:hAnsi="黑体" w:eastAsia="黑体" w:cs="黑体"/>
          <w:snapToGrid w:val="0"/>
          <w:color w:val="auto"/>
          <w:kern w:val="0"/>
          <w:sz w:val="32"/>
          <w:szCs w:val="32"/>
          <w:lang w:eastAsia="zh-CN"/>
        </w:rPr>
        <w:t>三、综合防控策略</w:t>
      </w:r>
    </w:p>
    <w:p w14:paraId="2714153E">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Times New Roman" w:hAnsi="Times New Roman" w:eastAsia="楷体_GB2312"/>
          <w:snapToGrid w:val="0"/>
          <w:color w:val="auto"/>
          <w:kern w:val="0"/>
          <w:sz w:val="32"/>
          <w:szCs w:val="32"/>
        </w:rPr>
      </w:pPr>
      <w:r>
        <w:rPr>
          <w:rFonts w:hint="eastAsia" w:ascii="楷体" w:hAnsi="楷体" w:eastAsia="楷体" w:cs="楷体"/>
          <w:snapToGrid w:val="0"/>
          <w:color w:val="auto"/>
          <w:kern w:val="0"/>
          <w:sz w:val="32"/>
          <w:szCs w:val="32"/>
        </w:rPr>
        <w:t>（一）加强一级预防，减少出生缺陷发生。</w:t>
      </w:r>
      <w:r>
        <w:rPr>
          <w:rFonts w:hint="eastAsia" w:ascii="仿宋_GB2312" w:hAnsi="仿宋_GB2312" w:eastAsia="仿宋_GB2312" w:cs="仿宋_GB2312"/>
          <w:snapToGrid w:val="0"/>
          <w:color w:val="auto"/>
          <w:kern w:val="0"/>
          <w:sz w:val="32"/>
          <w:szCs w:val="32"/>
        </w:rPr>
        <w:t>大力推进婚前孕前健康检查，在婚姻登记处紧邻设立适宜开展婚前孕前医学检查服务的场所，普及出生缺陷防控知识，增强群众自我保健意识和能力。重点宣传健康婚育、婚前医学检查、健康孕育、孕前检查相关科普知识。针对不同婚育阶段的目标人群，因人施策，统筹落实婚前医学检查、孕前优生健康检查、地中海贫血筛查、增补叶酸、孕期保健等服务。加强女职工劳动保护，避免备孕及孕期妇女接触有毒有害物质和放射线。</w:t>
      </w:r>
    </w:p>
    <w:p w14:paraId="775E5190">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snapToGrid w:val="0"/>
          <w:color w:val="auto"/>
          <w:kern w:val="0"/>
          <w:sz w:val="32"/>
          <w:szCs w:val="32"/>
        </w:rPr>
      </w:pPr>
      <w:r>
        <w:rPr>
          <w:rFonts w:hint="eastAsia" w:ascii="楷体" w:hAnsi="楷体" w:eastAsia="楷体" w:cs="楷体"/>
          <w:snapToGrid w:val="0"/>
          <w:color w:val="auto"/>
          <w:kern w:val="0"/>
          <w:sz w:val="32"/>
          <w:szCs w:val="32"/>
        </w:rPr>
        <w:t>（二）规范开展二级预防，减少严重出生缺陷儿出生。</w:t>
      </w:r>
      <w:r>
        <w:rPr>
          <w:rFonts w:hint="eastAsia" w:ascii="仿宋_GB2312" w:hAnsi="仿宋_GB2312" w:eastAsia="仿宋_GB2312" w:cs="仿宋_GB2312"/>
          <w:snapToGrid w:val="0"/>
          <w:color w:val="auto"/>
          <w:kern w:val="0"/>
          <w:sz w:val="32"/>
          <w:szCs w:val="32"/>
        </w:rPr>
        <w:t>全面开展产前筛查，普及应用产前筛查适宜技术，逐步实现怀孕妇女孕24周前自愿至少接受1次高质量产前筛查。对高危孕妇要指导其及时到有资质的医疗机构接受产前诊断服务。对确诊严重致死致残先天性心脏病、唐氏综合征、神经管缺陷、地中海贫血等出生缺陷胎儿的孕妇，及时给予医学指导和建议，减少严重出生缺陷儿出生。</w:t>
      </w:r>
    </w:p>
    <w:p w14:paraId="28B124B8">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snapToGrid w:val="0"/>
          <w:color w:val="auto"/>
          <w:kern w:val="0"/>
          <w:sz w:val="32"/>
          <w:szCs w:val="32"/>
        </w:rPr>
      </w:pPr>
      <w:r>
        <w:rPr>
          <w:rFonts w:hint="eastAsia" w:ascii="楷体" w:hAnsi="楷体" w:eastAsia="楷体" w:cs="楷体"/>
          <w:snapToGrid w:val="0"/>
          <w:color w:val="auto"/>
          <w:kern w:val="0"/>
          <w:sz w:val="32"/>
          <w:szCs w:val="32"/>
        </w:rPr>
        <w:t>（三）深入开展三级预防，减少先天残疾发生。</w:t>
      </w:r>
      <w:r>
        <w:rPr>
          <w:rFonts w:hint="eastAsia" w:ascii="仿宋_GB2312" w:hAnsi="仿宋_GB2312" w:eastAsia="仿宋_GB2312" w:cs="仿宋_GB2312"/>
          <w:snapToGrid w:val="0"/>
          <w:color w:val="auto"/>
          <w:kern w:val="0"/>
          <w:sz w:val="32"/>
          <w:szCs w:val="32"/>
        </w:rPr>
        <w:t>采用适宜技术开展苯丙酮尿症、先天性甲状腺功能减低症、葡萄糖-6-磷酸脱氢酶缺乏症、先天性肾上腺皮质增生症筛查，规范开展新生儿听力筛查、早产儿视网膜病变筛查、新生儿先天性心脏病筛查。加强筛查阳性病例的随访、确诊、治疗和干预。聚焦严重多发、可筛可治、技术成熟、愈后良好、费用可控的出生缺陷重点病种，开展筛查、诊断、治疗和困难救助全程服务试点，促进早发现、早治疗，减少先天残疾的发生。</w:t>
      </w:r>
    </w:p>
    <w:p w14:paraId="13A6C3B3">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Times New Roman" w:hAnsi="Times New Roman" w:eastAsia="黑体"/>
          <w:snapToGrid w:val="0"/>
          <w:color w:val="auto"/>
          <w:kern w:val="0"/>
          <w:sz w:val="32"/>
          <w:szCs w:val="32"/>
          <w:lang w:eastAsia="zh-CN"/>
        </w:rPr>
      </w:pPr>
      <w:r>
        <w:rPr>
          <w:rFonts w:hint="eastAsia" w:ascii="Times New Roman" w:hAnsi="Times New Roman" w:eastAsia="黑体"/>
          <w:snapToGrid w:val="0"/>
          <w:color w:val="auto"/>
          <w:kern w:val="0"/>
          <w:sz w:val="32"/>
          <w:szCs w:val="32"/>
          <w:lang w:eastAsia="zh-CN"/>
        </w:rPr>
        <w:t>四</w:t>
      </w:r>
      <w:r>
        <w:rPr>
          <w:rFonts w:ascii="Times New Roman" w:hAnsi="Times New Roman" w:eastAsia="黑体"/>
          <w:snapToGrid w:val="0"/>
          <w:color w:val="auto"/>
          <w:kern w:val="0"/>
          <w:sz w:val="32"/>
          <w:szCs w:val="32"/>
        </w:rPr>
        <w:t>、项目</w:t>
      </w:r>
      <w:r>
        <w:rPr>
          <w:rFonts w:hint="eastAsia" w:ascii="Times New Roman" w:hAnsi="Times New Roman" w:eastAsia="黑体"/>
          <w:snapToGrid w:val="0"/>
          <w:color w:val="auto"/>
          <w:kern w:val="0"/>
          <w:sz w:val="32"/>
          <w:szCs w:val="32"/>
          <w:lang w:eastAsia="zh-CN"/>
        </w:rPr>
        <w:t>服务对象</w:t>
      </w:r>
    </w:p>
    <w:p w14:paraId="179DE7D0">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b/>
          <w:bCs/>
          <w:snapToGrid w:val="0"/>
          <w:color w:val="auto"/>
          <w:kern w:val="0"/>
          <w:sz w:val="32"/>
          <w:szCs w:val="32"/>
          <w:lang w:eastAsia="zh-CN"/>
        </w:rPr>
        <w:t>1.</w:t>
      </w:r>
      <w:r>
        <w:rPr>
          <w:rFonts w:hint="eastAsia" w:ascii="仿宋_GB2312" w:hAnsi="仿宋_GB2312" w:eastAsia="仿宋_GB2312" w:cs="仿宋_GB2312"/>
          <w:snapToGrid w:val="0"/>
          <w:color w:val="auto"/>
          <w:kern w:val="0"/>
          <w:sz w:val="32"/>
          <w:szCs w:val="32"/>
          <w:lang w:eastAsia="zh-CN"/>
        </w:rPr>
        <w:t>产前筛查及诊断：广东省户籍孕妇（含配偶为广东省户籍）或持有效《广东省居住证》的流动人口孕妇。</w:t>
      </w:r>
    </w:p>
    <w:p w14:paraId="3B61480B">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b/>
          <w:bCs/>
          <w:snapToGrid w:val="0"/>
          <w:color w:val="auto"/>
          <w:kern w:val="0"/>
          <w:sz w:val="32"/>
          <w:szCs w:val="32"/>
          <w:lang w:eastAsia="zh-CN"/>
        </w:rPr>
        <w:t>2.</w:t>
      </w:r>
      <w:r>
        <w:rPr>
          <w:rFonts w:hint="eastAsia" w:ascii="仿宋_GB2312" w:hAnsi="仿宋_GB2312" w:eastAsia="仿宋_GB2312" w:cs="仿宋_GB2312"/>
          <w:snapToGrid w:val="0"/>
          <w:color w:val="auto"/>
          <w:kern w:val="0"/>
          <w:sz w:val="32"/>
          <w:szCs w:val="32"/>
          <w:lang w:eastAsia="zh-CN"/>
        </w:rPr>
        <w:t>新生儿疾病筛查：以上孕妇所娩新生儿（其中免费新生儿先天性心脏病筛查仅限任务数范围）。</w:t>
      </w:r>
    </w:p>
    <w:p w14:paraId="3567A848">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b/>
          <w:bCs/>
          <w:snapToGrid w:val="0"/>
          <w:color w:val="auto"/>
          <w:kern w:val="0"/>
          <w:sz w:val="32"/>
          <w:szCs w:val="32"/>
          <w:lang w:val="en-US" w:eastAsia="zh-CN"/>
        </w:rPr>
        <w:t>3.</w:t>
      </w:r>
      <w:r>
        <w:rPr>
          <w:rFonts w:hint="eastAsia" w:ascii="仿宋_GB2312" w:hAnsi="仿宋_GB2312" w:eastAsia="仿宋_GB2312" w:cs="仿宋_GB2312"/>
          <w:snapToGrid w:val="0"/>
          <w:color w:val="auto"/>
          <w:kern w:val="0"/>
          <w:sz w:val="32"/>
          <w:szCs w:val="32"/>
          <w:lang w:val="en-US" w:eastAsia="zh-CN"/>
        </w:rPr>
        <w:t>台山、开平、恩平地区按以上项目服务对象执行，蓬江、江海、新会、鹤山地区结合当地实际确定项目服务对象。</w:t>
      </w:r>
    </w:p>
    <w:p w14:paraId="49CEC1DD">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Times New Roman" w:hAnsi="Times New Roman" w:eastAsia="黑体"/>
          <w:snapToGrid w:val="0"/>
          <w:color w:val="auto"/>
          <w:kern w:val="0"/>
          <w:sz w:val="32"/>
          <w:szCs w:val="32"/>
          <w:lang w:eastAsia="zh-CN"/>
        </w:rPr>
      </w:pPr>
      <w:r>
        <w:rPr>
          <w:rFonts w:hint="eastAsia" w:ascii="Times New Roman" w:hAnsi="Times New Roman" w:eastAsia="黑体"/>
          <w:snapToGrid w:val="0"/>
          <w:color w:val="auto"/>
          <w:kern w:val="0"/>
          <w:sz w:val="32"/>
          <w:szCs w:val="32"/>
          <w:lang w:eastAsia="zh-CN"/>
        </w:rPr>
        <w:t>五</w:t>
      </w:r>
      <w:r>
        <w:rPr>
          <w:rFonts w:ascii="Times New Roman" w:hAnsi="Times New Roman" w:eastAsia="黑体"/>
          <w:snapToGrid w:val="0"/>
          <w:color w:val="auto"/>
          <w:kern w:val="0"/>
          <w:sz w:val="32"/>
          <w:szCs w:val="32"/>
        </w:rPr>
        <w:t>、</w:t>
      </w:r>
      <w:r>
        <w:rPr>
          <w:rFonts w:hint="eastAsia" w:ascii="Times New Roman" w:hAnsi="Times New Roman" w:eastAsia="黑体"/>
          <w:snapToGrid w:val="0"/>
          <w:color w:val="auto"/>
          <w:kern w:val="0"/>
          <w:sz w:val="32"/>
          <w:szCs w:val="32"/>
          <w:lang w:eastAsia="zh-CN"/>
        </w:rPr>
        <w:t>惠民</w:t>
      </w:r>
      <w:r>
        <w:rPr>
          <w:rFonts w:ascii="Times New Roman" w:hAnsi="Times New Roman" w:eastAsia="黑体"/>
          <w:snapToGrid w:val="0"/>
          <w:color w:val="auto"/>
          <w:kern w:val="0"/>
          <w:sz w:val="32"/>
          <w:szCs w:val="32"/>
        </w:rPr>
        <w:t>项目</w:t>
      </w:r>
      <w:r>
        <w:rPr>
          <w:rFonts w:hint="eastAsia" w:ascii="Times New Roman" w:hAnsi="Times New Roman" w:eastAsia="黑体"/>
          <w:snapToGrid w:val="0"/>
          <w:color w:val="auto"/>
          <w:kern w:val="0"/>
          <w:sz w:val="32"/>
          <w:szCs w:val="32"/>
          <w:lang w:eastAsia="zh-CN"/>
        </w:rPr>
        <w:t>内容</w:t>
      </w:r>
    </w:p>
    <w:p w14:paraId="1D4BA0EA">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以出生缺陷防控为中心，围绕生命全周期、健康全过程，完善出生缺陷健康教育、筛查、诊断、治疗、康复、救助相衔接的工作机制，实施九大出生缺陷惠民项目。</w:t>
      </w:r>
    </w:p>
    <w:p w14:paraId="44E75456">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Times New Roman" w:hAnsi="Times New Roman" w:eastAsia="楷体_GB2312"/>
          <w:snapToGrid w:val="0"/>
          <w:color w:val="auto"/>
          <w:kern w:val="0"/>
          <w:sz w:val="32"/>
          <w:szCs w:val="32"/>
        </w:rPr>
      </w:pPr>
      <w:r>
        <w:rPr>
          <w:rFonts w:hint="eastAsia" w:ascii="楷体" w:hAnsi="楷体" w:eastAsia="楷体" w:cs="楷体"/>
          <w:snapToGrid w:val="0"/>
          <w:color w:val="auto"/>
          <w:kern w:val="0"/>
          <w:sz w:val="32"/>
          <w:szCs w:val="32"/>
        </w:rPr>
        <w:t>（一）免费唐氏综合征产前筛查项目。</w:t>
      </w:r>
      <w:r>
        <w:rPr>
          <w:rFonts w:hint="eastAsia" w:ascii="仿宋_GB2312" w:hAnsi="仿宋_GB2312" w:eastAsia="仿宋_GB2312" w:cs="仿宋_GB2312"/>
          <w:snapToGrid w:val="0"/>
          <w:color w:val="auto"/>
          <w:kern w:val="0"/>
          <w:sz w:val="32"/>
          <w:szCs w:val="32"/>
        </w:rPr>
        <w:t>为符合服务对象要求</w:t>
      </w:r>
      <w:r>
        <w:rPr>
          <w:rFonts w:hint="eastAsia" w:ascii="仿宋_GB2312" w:hAnsi="仿宋_GB2312" w:eastAsia="仿宋_GB2312" w:cs="仿宋_GB2312"/>
          <w:snapToGrid w:val="0"/>
          <w:color w:val="auto"/>
          <w:kern w:val="0"/>
          <w:sz w:val="32"/>
          <w:szCs w:val="32"/>
          <w:lang w:eastAsia="zh-CN"/>
        </w:rPr>
        <w:t>的</w:t>
      </w:r>
      <w:r>
        <w:rPr>
          <w:rFonts w:hint="eastAsia" w:ascii="仿宋_GB2312" w:hAnsi="仿宋_GB2312" w:eastAsia="仿宋_GB2312" w:cs="仿宋_GB2312"/>
          <w:snapToGrid w:val="0"/>
          <w:color w:val="auto"/>
          <w:kern w:val="0"/>
          <w:sz w:val="32"/>
          <w:szCs w:val="32"/>
        </w:rPr>
        <w:t>预产期年龄＜35周岁的孕妇免费提供一次孕早期（11-13+6周）或孕中期（15-20+6周）血清学唐氏综合征筛查；为唐氏血清学筛查结果为临界风险或单指标异常预产期年龄＜35周岁的孕妇提供定额补助的游离DNA产前筛查（12-22+6周）。</w:t>
      </w:r>
    </w:p>
    <w:p w14:paraId="27B1362D">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Times New Roman" w:hAnsi="Times New Roman" w:eastAsia="楷体_GB2312"/>
          <w:snapToGrid w:val="0"/>
          <w:color w:val="auto"/>
          <w:kern w:val="0"/>
          <w:sz w:val="32"/>
          <w:szCs w:val="32"/>
        </w:rPr>
      </w:pPr>
      <w:r>
        <w:rPr>
          <w:rFonts w:hint="eastAsia" w:ascii="楷体" w:hAnsi="楷体" w:eastAsia="楷体" w:cs="楷体"/>
          <w:snapToGrid w:val="0"/>
          <w:color w:val="auto"/>
          <w:kern w:val="0"/>
          <w:sz w:val="32"/>
          <w:szCs w:val="32"/>
        </w:rPr>
        <w:t>（二）免费地中海贫血筛查项目。</w:t>
      </w:r>
      <w:r>
        <w:rPr>
          <w:rFonts w:hint="eastAsia" w:ascii="仿宋_GB2312" w:hAnsi="仿宋_GB2312" w:eastAsia="仿宋_GB2312" w:cs="仿宋_GB2312"/>
          <w:snapToGrid w:val="0"/>
          <w:color w:val="auto"/>
          <w:kern w:val="0"/>
          <w:sz w:val="32"/>
          <w:szCs w:val="32"/>
        </w:rPr>
        <w:t>为符合服务对象要求的计划怀孕和孕期夫妇中初筛阳性人群免费提供血红蛋白电泳复筛，电泳双方阳性者提供基因检测（已进行地贫筛查者每胎次不再重复筛查）。</w:t>
      </w:r>
    </w:p>
    <w:p w14:paraId="569D54A6">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snapToGrid w:val="0"/>
          <w:color w:val="auto"/>
          <w:kern w:val="0"/>
          <w:sz w:val="32"/>
          <w:szCs w:val="32"/>
        </w:rPr>
      </w:pPr>
      <w:r>
        <w:rPr>
          <w:rFonts w:hint="eastAsia" w:ascii="楷体" w:hAnsi="楷体" w:eastAsia="楷体" w:cs="楷体"/>
          <w:snapToGrid w:val="0"/>
          <w:color w:val="auto"/>
          <w:kern w:val="0"/>
          <w:sz w:val="32"/>
          <w:szCs w:val="32"/>
        </w:rPr>
        <w:t>（三）免费严重致死致残性结构畸形筛查项目。</w:t>
      </w:r>
      <w:r>
        <w:rPr>
          <w:rFonts w:hint="eastAsia" w:ascii="仿宋_GB2312" w:hAnsi="仿宋_GB2312" w:eastAsia="仿宋_GB2312" w:cs="仿宋_GB2312"/>
          <w:snapToGrid w:val="0"/>
          <w:color w:val="auto"/>
          <w:kern w:val="0"/>
          <w:sz w:val="32"/>
          <w:szCs w:val="32"/>
        </w:rPr>
        <w:t>为</w:t>
      </w:r>
      <w:r>
        <w:rPr>
          <w:rFonts w:hint="eastAsia" w:ascii="仿宋_GB2312" w:hAnsi="仿宋_GB2312" w:eastAsia="仿宋_GB2312" w:cs="仿宋_GB2312"/>
          <w:snapToGrid w:val="0"/>
          <w:color w:val="auto"/>
          <w:kern w:val="0"/>
          <w:sz w:val="32"/>
          <w:szCs w:val="32"/>
          <w:lang w:eastAsia="zh-CN"/>
        </w:rPr>
        <w:t>符</w:t>
      </w:r>
      <w:r>
        <w:rPr>
          <w:rFonts w:hint="eastAsia" w:ascii="仿宋_GB2312" w:hAnsi="仿宋_GB2312" w:eastAsia="仿宋_GB2312" w:cs="仿宋_GB2312"/>
          <w:snapToGrid w:val="0"/>
          <w:color w:val="auto"/>
          <w:kern w:val="0"/>
          <w:sz w:val="32"/>
          <w:szCs w:val="32"/>
        </w:rPr>
        <w:t>合服务对象要求的孕妇免费提供一次孕早期超声筛查（含NT）和一次孕中期（18-24周）严重致死致残性结构畸形超声筛查（II级产前超声检查）。</w:t>
      </w:r>
    </w:p>
    <w:p w14:paraId="2A6024D2">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Times New Roman" w:hAnsi="Times New Roman" w:eastAsia="楷体_GB2312"/>
          <w:snapToGrid w:val="0"/>
          <w:color w:val="auto"/>
          <w:kern w:val="0"/>
          <w:sz w:val="32"/>
          <w:szCs w:val="32"/>
        </w:rPr>
      </w:pPr>
      <w:r>
        <w:rPr>
          <w:rFonts w:hint="eastAsia" w:ascii="楷体" w:hAnsi="楷体" w:eastAsia="楷体" w:cs="楷体"/>
          <w:snapToGrid w:val="0"/>
          <w:color w:val="auto"/>
          <w:kern w:val="0"/>
          <w:sz w:val="32"/>
          <w:szCs w:val="32"/>
        </w:rPr>
        <w:t>（四）定额补助的产前诊断项目。</w:t>
      </w:r>
      <w:r>
        <w:rPr>
          <w:rFonts w:hint="eastAsia" w:ascii="仿宋_GB2312" w:hAnsi="仿宋_GB2312" w:eastAsia="仿宋_GB2312" w:cs="仿宋_GB2312"/>
          <w:snapToGrid w:val="0"/>
          <w:color w:val="auto"/>
          <w:kern w:val="0"/>
          <w:sz w:val="32"/>
          <w:szCs w:val="32"/>
        </w:rPr>
        <w:t>为符合服务对象要求筛查高风险孕妇的胎儿提供定额补助的产前诊断，包括：地中海贫血及其他12种致死致残单基因遗传病、唐氏综合征及其他严重致死致残染色体异常的遗传学诊断，严重致死致残超声结构异常的III级超声检查，严重先天性心脏病的胎儿心脏超声多普勒超声检查。</w:t>
      </w:r>
    </w:p>
    <w:p w14:paraId="11B8F311">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Times New Roman" w:hAnsi="Times New Roman" w:eastAsia="楷体_GB2312"/>
          <w:snapToGrid w:val="0"/>
          <w:color w:val="auto"/>
          <w:kern w:val="0"/>
          <w:sz w:val="32"/>
          <w:szCs w:val="32"/>
        </w:rPr>
      </w:pPr>
      <w:r>
        <w:rPr>
          <w:rFonts w:hint="eastAsia" w:ascii="楷体" w:hAnsi="楷体" w:eastAsia="楷体" w:cs="楷体"/>
          <w:snapToGrid w:val="0"/>
          <w:color w:val="auto"/>
          <w:kern w:val="0"/>
          <w:sz w:val="32"/>
          <w:szCs w:val="32"/>
        </w:rPr>
        <w:t>（五）免费新生儿遗传代谢病筛查项目。</w:t>
      </w:r>
      <w:r>
        <w:rPr>
          <w:rFonts w:hint="eastAsia" w:ascii="仿宋_GB2312" w:hAnsi="仿宋_GB2312" w:eastAsia="仿宋_GB2312" w:cs="仿宋_GB2312"/>
          <w:snapToGrid w:val="0"/>
          <w:color w:val="auto"/>
          <w:kern w:val="0"/>
          <w:sz w:val="32"/>
          <w:szCs w:val="32"/>
        </w:rPr>
        <w:t>对我</w:t>
      </w:r>
      <w:r>
        <w:rPr>
          <w:rFonts w:hint="eastAsia" w:ascii="仿宋_GB2312" w:hAnsi="仿宋_GB2312" w:eastAsia="仿宋_GB2312" w:cs="仿宋_GB2312"/>
          <w:snapToGrid w:val="0"/>
          <w:color w:val="auto"/>
          <w:kern w:val="0"/>
          <w:sz w:val="32"/>
          <w:szCs w:val="32"/>
          <w:lang w:eastAsia="zh-CN"/>
        </w:rPr>
        <w:t>市</w:t>
      </w:r>
      <w:r>
        <w:rPr>
          <w:rFonts w:hint="eastAsia" w:ascii="仿宋_GB2312" w:hAnsi="仿宋_GB2312" w:eastAsia="仿宋_GB2312" w:cs="仿宋_GB2312"/>
          <w:snapToGrid w:val="0"/>
          <w:color w:val="auto"/>
          <w:kern w:val="0"/>
          <w:sz w:val="32"/>
          <w:szCs w:val="32"/>
        </w:rPr>
        <w:t>医疗机构出生符合服务对象要求的新生儿免费提供一次苯丙酮尿症、先天性甲状腺功能减低症、葡萄糖-6-磷酸脱氢酶缺乏症、先天性肾上腺皮质增生症等遗传代谢病的初筛和初筛阳性者复筛。</w:t>
      </w:r>
    </w:p>
    <w:p w14:paraId="090BE2FD">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snapToGrid w:val="0"/>
          <w:color w:val="auto"/>
          <w:kern w:val="0"/>
          <w:sz w:val="32"/>
          <w:szCs w:val="32"/>
        </w:rPr>
      </w:pPr>
      <w:r>
        <w:rPr>
          <w:rFonts w:hint="eastAsia" w:ascii="楷体" w:hAnsi="楷体" w:eastAsia="楷体" w:cs="楷体"/>
          <w:snapToGrid w:val="0"/>
          <w:color w:val="auto"/>
          <w:kern w:val="0"/>
          <w:sz w:val="32"/>
          <w:szCs w:val="32"/>
        </w:rPr>
        <w:t>（六）免费新生儿听力筛查项目。</w:t>
      </w:r>
      <w:r>
        <w:rPr>
          <w:rFonts w:hint="eastAsia" w:ascii="仿宋_GB2312" w:hAnsi="仿宋_GB2312" w:eastAsia="仿宋_GB2312" w:cs="仿宋_GB2312"/>
          <w:snapToGrid w:val="0"/>
          <w:color w:val="auto"/>
          <w:kern w:val="0"/>
          <w:sz w:val="32"/>
          <w:szCs w:val="32"/>
        </w:rPr>
        <w:t>为我</w:t>
      </w:r>
      <w:r>
        <w:rPr>
          <w:rFonts w:hint="eastAsia" w:ascii="仿宋_GB2312" w:hAnsi="仿宋_GB2312" w:eastAsia="仿宋_GB2312" w:cs="仿宋_GB2312"/>
          <w:snapToGrid w:val="0"/>
          <w:color w:val="auto"/>
          <w:kern w:val="0"/>
          <w:sz w:val="32"/>
          <w:szCs w:val="32"/>
          <w:lang w:eastAsia="zh-CN"/>
        </w:rPr>
        <w:t>市</w:t>
      </w:r>
      <w:r>
        <w:rPr>
          <w:rFonts w:hint="eastAsia" w:ascii="仿宋_GB2312" w:hAnsi="仿宋_GB2312" w:eastAsia="仿宋_GB2312" w:cs="仿宋_GB2312"/>
          <w:snapToGrid w:val="0"/>
          <w:color w:val="auto"/>
          <w:kern w:val="0"/>
          <w:sz w:val="32"/>
          <w:szCs w:val="32"/>
        </w:rPr>
        <w:t>医疗机构出生符合服务对象要求</w:t>
      </w:r>
      <w:r>
        <w:rPr>
          <w:rFonts w:hint="eastAsia" w:ascii="仿宋_GB2312" w:hAnsi="仿宋_GB2312" w:eastAsia="仿宋_GB2312" w:cs="仿宋_GB2312"/>
          <w:snapToGrid w:val="0"/>
          <w:color w:val="auto"/>
          <w:kern w:val="0"/>
          <w:sz w:val="32"/>
          <w:szCs w:val="32"/>
          <w:lang w:eastAsia="zh-CN"/>
        </w:rPr>
        <w:t>的</w:t>
      </w:r>
      <w:r>
        <w:rPr>
          <w:rFonts w:hint="eastAsia" w:ascii="仿宋_GB2312" w:hAnsi="仿宋_GB2312" w:eastAsia="仿宋_GB2312" w:cs="仿宋_GB2312"/>
          <w:snapToGrid w:val="0"/>
          <w:color w:val="auto"/>
          <w:kern w:val="0"/>
          <w:sz w:val="32"/>
          <w:szCs w:val="32"/>
        </w:rPr>
        <w:t>新生儿免费提供一次听力初筛和初筛阳性者复筛。</w:t>
      </w:r>
    </w:p>
    <w:p w14:paraId="53EFD701">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Times New Roman" w:hAnsi="Times New Roman" w:eastAsia="楷体_GB2312"/>
          <w:snapToGrid w:val="0"/>
          <w:color w:val="auto"/>
          <w:kern w:val="0"/>
          <w:sz w:val="32"/>
          <w:szCs w:val="32"/>
        </w:rPr>
      </w:pPr>
      <w:r>
        <w:rPr>
          <w:rFonts w:hint="eastAsia" w:ascii="楷体" w:hAnsi="楷体" w:eastAsia="楷体" w:cs="楷体"/>
          <w:snapToGrid w:val="0"/>
          <w:color w:val="auto"/>
          <w:kern w:val="0"/>
          <w:sz w:val="32"/>
          <w:szCs w:val="32"/>
        </w:rPr>
        <w:t>（七）免费早产儿视网膜筛查项目。</w:t>
      </w:r>
      <w:r>
        <w:rPr>
          <w:rFonts w:hint="eastAsia" w:ascii="仿宋_GB2312" w:hAnsi="仿宋_GB2312" w:eastAsia="仿宋_GB2312" w:cs="仿宋_GB2312"/>
          <w:snapToGrid w:val="0"/>
          <w:color w:val="auto"/>
          <w:kern w:val="0"/>
          <w:sz w:val="32"/>
          <w:szCs w:val="32"/>
        </w:rPr>
        <w:t>对全</w:t>
      </w:r>
      <w:r>
        <w:rPr>
          <w:rFonts w:hint="eastAsia" w:ascii="仿宋_GB2312" w:hAnsi="仿宋_GB2312" w:eastAsia="仿宋_GB2312" w:cs="仿宋_GB2312"/>
          <w:snapToGrid w:val="0"/>
          <w:color w:val="auto"/>
          <w:kern w:val="0"/>
          <w:sz w:val="32"/>
          <w:szCs w:val="32"/>
          <w:lang w:eastAsia="zh-CN"/>
        </w:rPr>
        <w:t>市</w:t>
      </w:r>
      <w:r>
        <w:rPr>
          <w:rFonts w:hint="eastAsia" w:ascii="仿宋_GB2312" w:hAnsi="仿宋_GB2312" w:eastAsia="仿宋_GB2312" w:cs="仿宋_GB2312"/>
          <w:snapToGrid w:val="0"/>
          <w:color w:val="auto"/>
          <w:kern w:val="0"/>
          <w:sz w:val="32"/>
          <w:szCs w:val="32"/>
        </w:rPr>
        <w:t>符合服务对象要求的早产儿（出生孕周＜37周）免费提供一次早产儿视网膜筛查及筛查阳性者复筛。</w:t>
      </w:r>
    </w:p>
    <w:p w14:paraId="2FA98A6F">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Times New Roman" w:hAnsi="Times New Roman" w:eastAsia="楷体_GB2312"/>
          <w:snapToGrid w:val="0"/>
          <w:color w:val="auto"/>
          <w:kern w:val="0"/>
          <w:sz w:val="32"/>
          <w:szCs w:val="32"/>
        </w:rPr>
      </w:pPr>
      <w:r>
        <w:rPr>
          <w:rFonts w:hint="eastAsia" w:ascii="楷体" w:hAnsi="楷体" w:eastAsia="楷体" w:cs="楷体"/>
          <w:snapToGrid w:val="0"/>
          <w:color w:val="auto"/>
          <w:kern w:val="0"/>
          <w:sz w:val="32"/>
          <w:szCs w:val="32"/>
        </w:rPr>
        <w:t>（八）免费新生儿先天</w:t>
      </w:r>
      <w:r>
        <w:rPr>
          <w:rFonts w:hint="eastAsia" w:ascii="楷体" w:hAnsi="楷体" w:eastAsia="楷体" w:cs="楷体"/>
          <w:snapToGrid w:val="0"/>
          <w:color w:val="auto"/>
          <w:kern w:val="0"/>
          <w:sz w:val="32"/>
          <w:szCs w:val="32"/>
          <w:lang w:eastAsia="zh-CN"/>
        </w:rPr>
        <w:t>性心脏病</w:t>
      </w:r>
      <w:r>
        <w:rPr>
          <w:rFonts w:hint="eastAsia" w:ascii="楷体" w:hAnsi="楷体" w:eastAsia="楷体" w:cs="楷体"/>
          <w:snapToGrid w:val="0"/>
          <w:color w:val="auto"/>
          <w:kern w:val="0"/>
          <w:sz w:val="32"/>
          <w:szCs w:val="32"/>
        </w:rPr>
        <w:t>筛查项目。</w:t>
      </w:r>
      <w:r>
        <w:rPr>
          <w:rFonts w:hint="eastAsia" w:ascii="仿宋_GB2312" w:hAnsi="仿宋_GB2312" w:eastAsia="仿宋_GB2312" w:cs="仿宋_GB2312"/>
          <w:snapToGrid w:val="0"/>
          <w:color w:val="auto"/>
          <w:kern w:val="0"/>
          <w:sz w:val="32"/>
          <w:szCs w:val="32"/>
        </w:rPr>
        <w:t>按《江门市新生儿先天性心脏病筛查项目工作方案》（江卫办〔2019〕33号）要求，按每年市级安排任务数为符合条件的新生儿提供免费先天性心脏病筛查。</w:t>
      </w:r>
    </w:p>
    <w:p w14:paraId="4E5737ED">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snapToGrid w:val="0"/>
          <w:color w:val="auto"/>
          <w:kern w:val="0"/>
          <w:sz w:val="32"/>
          <w:szCs w:val="32"/>
        </w:rPr>
      </w:pPr>
      <w:r>
        <w:rPr>
          <w:rFonts w:hint="eastAsia" w:ascii="楷体" w:hAnsi="楷体" w:eastAsia="楷体" w:cs="楷体"/>
          <w:snapToGrid w:val="0"/>
          <w:color w:val="auto"/>
          <w:kern w:val="0"/>
          <w:sz w:val="32"/>
          <w:szCs w:val="32"/>
        </w:rPr>
        <w:t>（九）出生缺陷救助项目。</w:t>
      </w:r>
      <w:r>
        <w:rPr>
          <w:rFonts w:hint="eastAsia" w:ascii="仿宋_GB2312" w:hAnsi="仿宋_GB2312" w:eastAsia="仿宋_GB2312" w:cs="仿宋_GB2312"/>
          <w:snapToGrid w:val="0"/>
          <w:color w:val="auto"/>
          <w:kern w:val="0"/>
          <w:sz w:val="32"/>
          <w:szCs w:val="32"/>
        </w:rPr>
        <w:t>江门市妇幼保健院为遗传代谢病、先天性结构畸形、功能性出生缺陷救助项目实施单位；江门市中心医院为先天性结构畸形救助项目实施单位</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全面落实国家出生缺陷救助项目要求，按国家要求为符合救助条件的患儿提供指定病种的遗传代谢病、先天性结构畸形和功能性出生缺陷医疗费用补助。</w:t>
      </w:r>
    </w:p>
    <w:p w14:paraId="29EAA85F">
      <w:pPr>
        <w:keepNext w:val="0"/>
        <w:keepLines w:val="0"/>
        <w:pageBreakBefore w:val="0"/>
        <w:kinsoku/>
        <w:wordWrap/>
        <w:overflowPunct/>
        <w:topLinePunct w:val="0"/>
        <w:autoSpaceDE/>
        <w:autoSpaceDN/>
        <w:bidi w:val="0"/>
        <w:spacing w:line="560" w:lineRule="exact"/>
        <w:ind w:firstLine="606" w:firstLineChars="200"/>
        <w:textAlignment w:val="auto"/>
        <w:rPr>
          <w:rFonts w:ascii="Times New Roman" w:hAnsi="Times New Roman" w:eastAsia="黑体"/>
          <w:snapToGrid w:val="0"/>
          <w:color w:val="auto"/>
          <w:kern w:val="0"/>
          <w:sz w:val="32"/>
          <w:szCs w:val="32"/>
        </w:rPr>
      </w:pPr>
      <w:r>
        <w:rPr>
          <w:rFonts w:hint="eastAsia" w:ascii="Times New Roman" w:hAnsi="Times New Roman" w:eastAsia="黑体"/>
          <w:snapToGrid w:val="0"/>
          <w:color w:val="auto"/>
          <w:kern w:val="0"/>
          <w:sz w:val="32"/>
          <w:szCs w:val="32"/>
          <w:lang w:eastAsia="zh-CN"/>
        </w:rPr>
        <w:t>六</w:t>
      </w:r>
      <w:r>
        <w:rPr>
          <w:rFonts w:ascii="Times New Roman" w:hAnsi="Times New Roman" w:eastAsia="黑体"/>
          <w:snapToGrid w:val="0"/>
          <w:color w:val="auto"/>
          <w:kern w:val="0"/>
          <w:sz w:val="32"/>
          <w:szCs w:val="32"/>
        </w:rPr>
        <w:t>、</w:t>
      </w:r>
      <w:r>
        <w:rPr>
          <w:rFonts w:hint="eastAsia" w:ascii="Times New Roman" w:hAnsi="Times New Roman" w:eastAsia="黑体"/>
          <w:snapToGrid w:val="0"/>
          <w:color w:val="auto"/>
          <w:kern w:val="0"/>
          <w:sz w:val="32"/>
          <w:szCs w:val="32"/>
          <w:lang w:eastAsia="zh-CN"/>
        </w:rPr>
        <w:t>经费使用</w:t>
      </w:r>
      <w:r>
        <w:rPr>
          <w:rFonts w:ascii="Times New Roman" w:hAnsi="Times New Roman" w:eastAsia="黑体"/>
          <w:snapToGrid w:val="0"/>
          <w:color w:val="auto"/>
          <w:kern w:val="0"/>
          <w:sz w:val="32"/>
          <w:szCs w:val="32"/>
        </w:rPr>
        <w:t>与管理</w:t>
      </w:r>
    </w:p>
    <w:p w14:paraId="33925691">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各县（市、区）要加大对出生缺陷防控网络建设、人才培训、专科建设、质量控制、防控项目等方面的经费投入。各级卫生健康行政部门应当以为群众提供优质便捷服务为宗旨，结合本地服务能力，合理确定定点服务机构，</w:t>
      </w:r>
      <w:r>
        <w:rPr>
          <w:rFonts w:hint="eastAsia" w:ascii="仿宋_GB2312" w:hAnsi="仿宋_GB2312" w:eastAsia="仿宋_GB2312" w:cs="仿宋_GB2312"/>
          <w:b w:val="0"/>
          <w:bCs w:val="0"/>
          <w:snapToGrid w:val="0"/>
          <w:color w:val="auto"/>
          <w:kern w:val="0"/>
          <w:sz w:val="32"/>
          <w:szCs w:val="32"/>
          <w:lang w:val="en-US" w:eastAsia="zh-CN"/>
        </w:rPr>
        <w:t>各县（市、区）可与具有出生缺陷筛查服务资质的市直有关医疗机构协商，确定为本辖区服务对象的定点服务机构，</w:t>
      </w:r>
      <w:r>
        <w:rPr>
          <w:rFonts w:hint="eastAsia" w:ascii="仿宋_GB2312" w:hAnsi="仿宋_GB2312" w:eastAsia="仿宋_GB2312" w:cs="仿宋_GB2312"/>
          <w:snapToGrid w:val="0"/>
          <w:color w:val="auto"/>
          <w:kern w:val="0"/>
          <w:sz w:val="32"/>
          <w:szCs w:val="32"/>
        </w:rPr>
        <w:t>并向社会公布，实行机构间结算，为服务对象即时减免费用。</w:t>
      </w:r>
    </w:p>
    <w:p w14:paraId="4444800C">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楷体" w:hAnsi="楷体" w:eastAsia="楷体" w:cs="楷体"/>
          <w:snapToGrid w:val="0"/>
          <w:color w:val="auto"/>
          <w:kern w:val="0"/>
          <w:sz w:val="32"/>
          <w:szCs w:val="32"/>
        </w:rPr>
      </w:pPr>
      <w:r>
        <w:rPr>
          <w:rFonts w:hint="eastAsia" w:ascii="楷体" w:hAnsi="楷体" w:eastAsia="楷体" w:cs="楷体"/>
          <w:snapToGrid w:val="0"/>
          <w:color w:val="auto"/>
          <w:kern w:val="0"/>
          <w:sz w:val="32"/>
          <w:szCs w:val="32"/>
        </w:rPr>
        <w:t>（一）经费安排</w:t>
      </w:r>
    </w:p>
    <w:p w14:paraId="777FB040">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1.</w:t>
      </w:r>
      <w:r>
        <w:rPr>
          <w:rFonts w:hint="eastAsia" w:ascii="仿宋_GB2312" w:hAnsi="仿宋_GB2312" w:eastAsia="仿宋_GB2312" w:cs="仿宋_GB2312"/>
          <w:snapToGrid w:val="0"/>
          <w:color w:val="auto"/>
          <w:kern w:val="0"/>
          <w:sz w:val="32"/>
          <w:szCs w:val="32"/>
        </w:rPr>
        <w:t>2024</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2026年省级出生缺陷综合防控资金重点用于支持台山、开平、恩平地区开展胎儿和新生儿出生缺陷指定疾病的筛查干预，以及</w:t>
      </w:r>
      <w:r>
        <w:rPr>
          <w:rFonts w:hint="eastAsia" w:ascii="仿宋_GB2312" w:hAnsi="仿宋_GB2312" w:eastAsia="仿宋_GB2312" w:cs="仿宋_GB2312"/>
          <w:snapToGrid w:val="0"/>
          <w:color w:val="auto"/>
          <w:kern w:val="0"/>
          <w:sz w:val="32"/>
          <w:szCs w:val="32"/>
          <w:lang w:eastAsia="zh-CN"/>
        </w:rPr>
        <w:t>地</w:t>
      </w:r>
      <w:r>
        <w:rPr>
          <w:rFonts w:hint="eastAsia" w:ascii="仿宋_GB2312" w:hAnsi="仿宋_GB2312" w:eastAsia="仿宋_GB2312" w:cs="仿宋_GB2312"/>
          <w:snapToGrid w:val="0"/>
          <w:color w:val="auto"/>
          <w:kern w:val="0"/>
          <w:sz w:val="32"/>
          <w:szCs w:val="32"/>
        </w:rPr>
        <w:t>市、县</w:t>
      </w:r>
      <w:r>
        <w:rPr>
          <w:rFonts w:hint="eastAsia" w:ascii="仿宋_GB2312" w:hAnsi="仿宋_GB2312" w:eastAsia="仿宋_GB2312" w:cs="仿宋_GB2312"/>
          <w:snapToGrid w:val="0"/>
          <w:color w:val="auto"/>
          <w:kern w:val="0"/>
          <w:sz w:val="32"/>
          <w:szCs w:val="32"/>
          <w:lang w:eastAsia="zh-CN"/>
        </w:rPr>
        <w:t>（市、区）</w:t>
      </w:r>
      <w:r>
        <w:rPr>
          <w:rFonts w:hint="eastAsia" w:ascii="仿宋_GB2312" w:hAnsi="仿宋_GB2312" w:eastAsia="仿宋_GB2312" w:cs="仿宋_GB2312"/>
          <w:snapToGrid w:val="0"/>
          <w:color w:val="auto"/>
          <w:kern w:val="0"/>
          <w:sz w:val="32"/>
          <w:szCs w:val="32"/>
        </w:rPr>
        <w:t>级出生缺陷</w:t>
      </w:r>
      <w:r>
        <w:rPr>
          <w:rFonts w:hint="eastAsia" w:ascii="仿宋_GB2312" w:hAnsi="仿宋_GB2312" w:eastAsia="仿宋_GB2312" w:cs="仿宋_GB2312"/>
          <w:snapToGrid w:val="0"/>
          <w:color w:val="auto"/>
          <w:kern w:val="0"/>
          <w:sz w:val="32"/>
          <w:szCs w:val="32"/>
          <w:lang w:eastAsia="zh-CN"/>
        </w:rPr>
        <w:t>综合</w:t>
      </w:r>
      <w:r>
        <w:rPr>
          <w:rFonts w:hint="eastAsia" w:ascii="仿宋_GB2312" w:hAnsi="仿宋_GB2312" w:eastAsia="仿宋_GB2312" w:cs="仿宋_GB2312"/>
          <w:snapToGrid w:val="0"/>
          <w:color w:val="auto"/>
          <w:kern w:val="0"/>
          <w:sz w:val="32"/>
          <w:szCs w:val="32"/>
        </w:rPr>
        <w:t>干预中心</w:t>
      </w:r>
      <w:r>
        <w:rPr>
          <w:rFonts w:hint="eastAsia" w:ascii="仿宋_GB2312" w:hAnsi="仿宋_GB2312" w:eastAsia="仿宋_GB2312" w:cs="仿宋_GB2312"/>
          <w:snapToGrid w:val="0"/>
          <w:color w:val="auto"/>
          <w:kern w:val="0"/>
          <w:sz w:val="32"/>
          <w:szCs w:val="32"/>
          <w:lang w:eastAsia="zh-CN"/>
        </w:rPr>
        <w:t>开展</w:t>
      </w:r>
      <w:r>
        <w:rPr>
          <w:rFonts w:hint="eastAsia" w:ascii="仿宋_GB2312" w:hAnsi="仿宋_GB2312" w:eastAsia="仿宋_GB2312" w:cs="仿宋_GB2312"/>
          <w:snapToGrid w:val="0"/>
          <w:color w:val="auto"/>
          <w:kern w:val="0"/>
          <w:sz w:val="32"/>
          <w:szCs w:val="32"/>
        </w:rPr>
        <w:t>项目管理工作。</w:t>
      </w:r>
    </w:p>
    <w:p w14:paraId="4C2B1D22">
      <w:pPr>
        <w:keepNext w:val="0"/>
        <w:keepLines w:val="0"/>
        <w:pageBreakBefore w:val="0"/>
        <w:numPr>
          <w:ilvl w:val="0"/>
          <w:numId w:val="0"/>
        </w:numPr>
        <w:kinsoku/>
        <w:wordWrap/>
        <w:overflowPunct/>
        <w:topLinePunct w:val="0"/>
        <w:autoSpaceDE/>
        <w:autoSpaceDN/>
        <w:bidi w:val="0"/>
        <w:spacing w:line="560" w:lineRule="exact"/>
        <w:ind w:firstLine="606" w:firstLineChars="200"/>
        <w:textAlignment w:val="auto"/>
        <w:rPr>
          <w:rFonts w:hint="eastAsia" w:ascii="Times New Roman" w:hAnsi="Times New Roman" w:eastAsia="仿宋_GB2312"/>
          <w:snapToGrid w:val="0"/>
          <w:color w:val="auto"/>
          <w:kern w:val="0"/>
          <w:sz w:val="32"/>
          <w:szCs w:val="32"/>
          <w:lang w:eastAsia="zh-CN"/>
        </w:rPr>
      </w:pPr>
      <w:r>
        <w:rPr>
          <w:rFonts w:hint="eastAsia" w:ascii="仿宋_GB2312" w:hAnsi="仿宋_GB2312" w:eastAsia="仿宋_GB2312" w:cs="仿宋_GB2312"/>
          <w:b/>
          <w:bCs/>
          <w:snapToGrid w:val="0"/>
          <w:color w:val="auto"/>
          <w:kern w:val="0"/>
          <w:sz w:val="32"/>
          <w:szCs w:val="32"/>
          <w:lang w:val="en-US" w:eastAsia="zh-CN"/>
        </w:rPr>
        <w:t>2.</w:t>
      </w:r>
      <w:r>
        <w:rPr>
          <w:rFonts w:hint="eastAsia" w:ascii="仿宋_GB2312" w:hAnsi="仿宋_GB2312" w:eastAsia="仿宋_GB2312" w:cs="仿宋_GB2312"/>
          <w:b/>
          <w:bCs/>
          <w:snapToGrid w:val="0"/>
          <w:color w:val="auto"/>
          <w:kern w:val="0"/>
          <w:sz w:val="32"/>
          <w:szCs w:val="32"/>
        </w:rPr>
        <w:t>台山、开平、恩平地区</w:t>
      </w:r>
      <w:r>
        <w:rPr>
          <w:rFonts w:hint="eastAsia" w:ascii="仿宋_GB2312" w:hAnsi="仿宋_GB2312" w:eastAsia="仿宋_GB2312" w:cs="仿宋_GB2312"/>
          <w:b/>
          <w:bCs/>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市级出生缺陷综合防控资金</w:t>
      </w:r>
      <w:r>
        <w:rPr>
          <w:rFonts w:hint="eastAsia" w:ascii="仿宋_GB2312" w:hAnsi="仿宋_GB2312" w:eastAsia="仿宋_GB2312" w:cs="仿宋_GB2312"/>
          <w:snapToGrid w:val="0"/>
          <w:color w:val="auto"/>
          <w:kern w:val="0"/>
          <w:sz w:val="32"/>
          <w:szCs w:val="32"/>
          <w:lang w:eastAsia="zh-CN"/>
        </w:rPr>
        <w:t>按省、市、县财政</w:t>
      </w:r>
      <w:r>
        <w:rPr>
          <w:rFonts w:hint="eastAsia" w:ascii="仿宋_GB2312" w:hAnsi="仿宋_GB2312" w:eastAsia="仿宋_GB2312" w:cs="仿宋_GB2312"/>
          <w:snapToGrid w:val="0"/>
          <w:color w:val="auto"/>
          <w:kern w:val="0"/>
          <w:sz w:val="32"/>
          <w:szCs w:val="32"/>
          <w:lang w:val="en-US" w:eastAsia="zh-CN"/>
        </w:rPr>
        <w:t>6：2：2的比例</w:t>
      </w:r>
      <w:r>
        <w:rPr>
          <w:rFonts w:hint="eastAsia" w:ascii="仿宋_GB2312" w:hAnsi="仿宋_GB2312" w:eastAsia="仿宋_GB2312" w:cs="仿宋_GB2312"/>
          <w:snapToGrid w:val="0"/>
          <w:color w:val="auto"/>
          <w:kern w:val="0"/>
          <w:sz w:val="32"/>
          <w:szCs w:val="32"/>
          <w:lang w:eastAsia="zh-CN"/>
        </w:rPr>
        <w:t>配套</w:t>
      </w:r>
      <w:r>
        <w:rPr>
          <w:rFonts w:hint="eastAsia" w:ascii="仿宋_GB2312" w:hAnsi="仿宋_GB2312" w:eastAsia="仿宋_GB2312" w:cs="仿宋_GB2312"/>
          <w:snapToGrid w:val="0"/>
          <w:color w:val="auto"/>
          <w:kern w:val="0"/>
          <w:sz w:val="32"/>
          <w:szCs w:val="32"/>
        </w:rPr>
        <w:t>支持台山、开平、恩平地区开展胎儿和新生儿出生缺陷指定疾病的筛查干预</w:t>
      </w:r>
      <w:r>
        <w:rPr>
          <w:rFonts w:hint="eastAsia" w:ascii="仿宋_GB2312" w:hAnsi="仿宋_GB2312" w:eastAsia="仿宋_GB2312" w:cs="仿宋_GB2312"/>
          <w:snapToGrid w:val="0"/>
          <w:color w:val="auto"/>
          <w:kern w:val="0"/>
          <w:sz w:val="32"/>
          <w:szCs w:val="32"/>
          <w:lang w:eastAsia="zh-CN"/>
        </w:rPr>
        <w:t>，市级资金按</w:t>
      </w:r>
      <w:r>
        <w:rPr>
          <w:rFonts w:hint="eastAsia" w:ascii="仿宋_GB2312" w:hAnsi="仿宋_GB2312" w:eastAsia="仿宋_GB2312" w:cs="仿宋_GB2312"/>
          <w:snapToGrid w:val="0"/>
          <w:color w:val="auto"/>
          <w:kern w:val="0"/>
          <w:sz w:val="32"/>
          <w:szCs w:val="32"/>
          <w:lang w:val="en-US" w:eastAsia="zh-CN"/>
        </w:rPr>
        <w:t>100%比例补助指定任务数的新生儿先天性心脏病筛查</w:t>
      </w:r>
      <w:r>
        <w:rPr>
          <w:rFonts w:hint="eastAsia" w:ascii="仿宋_GB2312" w:hAnsi="仿宋_GB2312" w:eastAsia="仿宋_GB2312" w:cs="仿宋_GB2312"/>
          <w:snapToGrid w:val="0"/>
          <w:color w:val="auto"/>
          <w:kern w:val="0"/>
          <w:sz w:val="32"/>
          <w:szCs w:val="32"/>
          <w:lang w:eastAsia="zh-CN"/>
        </w:rPr>
        <w:t>。</w:t>
      </w:r>
    </w:p>
    <w:p w14:paraId="207CFC73">
      <w:pPr>
        <w:keepNext w:val="0"/>
        <w:keepLines w:val="0"/>
        <w:pageBreakBefore w:val="0"/>
        <w:numPr>
          <w:ilvl w:val="0"/>
          <w:numId w:val="0"/>
        </w:numPr>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snapToGrid w:val="0"/>
          <w:color w:val="0000FF"/>
          <w:kern w:val="0"/>
          <w:sz w:val="32"/>
          <w:szCs w:val="32"/>
        </w:rPr>
      </w:pPr>
      <w:r>
        <w:rPr>
          <w:rFonts w:hint="eastAsia" w:ascii="仿宋_GB2312" w:hAnsi="仿宋_GB2312" w:eastAsia="仿宋_GB2312" w:cs="仿宋_GB2312"/>
          <w:b/>
          <w:bCs/>
          <w:snapToGrid w:val="0"/>
          <w:color w:val="auto"/>
          <w:kern w:val="0"/>
          <w:sz w:val="32"/>
          <w:szCs w:val="32"/>
          <w:lang w:val="en-US" w:eastAsia="zh-CN"/>
        </w:rPr>
        <w:t>3.</w:t>
      </w:r>
      <w:r>
        <w:rPr>
          <w:rFonts w:hint="eastAsia" w:ascii="仿宋_GB2312" w:hAnsi="仿宋_GB2312" w:eastAsia="仿宋_GB2312" w:cs="仿宋_GB2312"/>
          <w:b/>
          <w:bCs/>
          <w:snapToGrid w:val="0"/>
          <w:color w:val="auto"/>
          <w:kern w:val="0"/>
          <w:sz w:val="32"/>
          <w:szCs w:val="32"/>
          <w:lang w:eastAsia="zh-CN"/>
        </w:rPr>
        <w:t>蓬江、江海、新会、鹤山地区：</w:t>
      </w:r>
      <w:r>
        <w:rPr>
          <w:rFonts w:hint="eastAsia" w:ascii="仿宋_GB2312" w:hAnsi="仿宋_GB2312" w:eastAsia="仿宋_GB2312" w:cs="仿宋_GB2312"/>
          <w:snapToGrid w:val="0"/>
          <w:color w:val="auto"/>
          <w:kern w:val="0"/>
          <w:sz w:val="32"/>
          <w:szCs w:val="32"/>
        </w:rPr>
        <w:t>市级出生缺陷综合防控资金</w:t>
      </w:r>
      <w:r>
        <w:rPr>
          <w:rFonts w:hint="eastAsia" w:ascii="仿宋_GB2312" w:hAnsi="仿宋_GB2312" w:eastAsia="仿宋_GB2312" w:cs="仿宋_GB2312"/>
          <w:snapToGrid w:val="0"/>
          <w:color w:val="auto"/>
          <w:kern w:val="0"/>
          <w:sz w:val="32"/>
          <w:szCs w:val="32"/>
          <w:lang w:eastAsia="zh-CN"/>
        </w:rPr>
        <w:t>按</w:t>
      </w:r>
      <w:r>
        <w:rPr>
          <w:rFonts w:hint="eastAsia" w:ascii="仿宋_GB2312" w:hAnsi="仿宋_GB2312" w:eastAsia="仿宋_GB2312" w:cs="仿宋_GB2312"/>
          <w:snapToGrid w:val="0"/>
          <w:color w:val="auto"/>
          <w:kern w:val="0"/>
          <w:sz w:val="32"/>
          <w:szCs w:val="32"/>
          <w:lang w:val="en-US" w:eastAsia="zh-CN"/>
        </w:rPr>
        <w:t>100%比例</w:t>
      </w:r>
      <w:r>
        <w:rPr>
          <w:rFonts w:hint="eastAsia" w:ascii="仿宋_GB2312" w:hAnsi="仿宋_GB2312" w:eastAsia="仿宋_GB2312" w:cs="仿宋_GB2312"/>
          <w:snapToGrid w:val="0"/>
          <w:color w:val="auto"/>
          <w:kern w:val="0"/>
          <w:sz w:val="32"/>
          <w:szCs w:val="32"/>
          <w:lang w:eastAsia="zh-CN"/>
        </w:rPr>
        <w:t>补助新生儿遗传代谢病筛查、产前诊断定额补助、指定任务数的先天性心脏病筛查</w:t>
      </w:r>
      <w:r>
        <w:rPr>
          <w:rFonts w:hint="eastAsia" w:ascii="仿宋_GB2312" w:hAnsi="仿宋_GB2312" w:eastAsia="仿宋_GB2312" w:cs="仿宋_GB2312"/>
          <w:snapToGrid w:val="0"/>
          <w:color w:val="auto"/>
          <w:kern w:val="0"/>
          <w:sz w:val="32"/>
          <w:szCs w:val="32"/>
        </w:rPr>
        <w:t>以及地市级出生缺陷干预中心的项目管理工作。</w:t>
      </w:r>
      <w:r>
        <w:rPr>
          <w:rFonts w:hint="eastAsia" w:ascii="仿宋_GB2312" w:hAnsi="仿宋_GB2312" w:eastAsia="仿宋_GB2312" w:cs="仿宋_GB2312"/>
          <w:snapToGrid w:val="0"/>
          <w:color w:val="auto"/>
          <w:kern w:val="0"/>
          <w:sz w:val="32"/>
          <w:szCs w:val="32"/>
          <w:lang w:eastAsia="zh-CN"/>
        </w:rPr>
        <w:t>县级出生缺陷综合防控资金按</w:t>
      </w:r>
      <w:r>
        <w:rPr>
          <w:rFonts w:hint="eastAsia" w:ascii="仿宋_GB2312" w:hAnsi="仿宋_GB2312" w:eastAsia="仿宋_GB2312" w:cs="仿宋_GB2312"/>
          <w:snapToGrid w:val="0"/>
          <w:color w:val="auto"/>
          <w:kern w:val="0"/>
          <w:sz w:val="32"/>
          <w:szCs w:val="32"/>
          <w:lang w:val="en-US" w:eastAsia="zh-CN"/>
        </w:rPr>
        <w:t>100%比例补助</w:t>
      </w:r>
      <w:r>
        <w:rPr>
          <w:rFonts w:hint="eastAsia" w:ascii="仿宋_GB2312" w:hAnsi="仿宋_GB2312" w:eastAsia="仿宋_GB2312" w:cs="仿宋_GB2312"/>
          <w:snapToGrid w:val="0"/>
          <w:color w:val="auto"/>
          <w:kern w:val="0"/>
          <w:sz w:val="32"/>
          <w:szCs w:val="32"/>
          <w:lang w:eastAsia="zh-CN"/>
        </w:rPr>
        <w:t>产前筛查、新生儿听力筛查、早产儿视网膜筛查以及县级出生缺陷干预中心的项目管理工作。</w:t>
      </w:r>
    </w:p>
    <w:p w14:paraId="521919DB">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Times New Roman" w:hAnsi="Times New Roman" w:eastAsia="仿宋_GB2312"/>
          <w:snapToGrid w:val="0"/>
          <w:color w:val="auto"/>
          <w:kern w:val="0"/>
          <w:sz w:val="32"/>
          <w:szCs w:val="32"/>
        </w:rPr>
      </w:pPr>
      <w:r>
        <w:rPr>
          <w:rFonts w:hint="eastAsia" w:ascii="Times New Roman" w:hAnsi="Times New Roman" w:eastAsia="仿宋_GB2312"/>
          <w:b/>
          <w:bCs/>
          <w:snapToGrid w:val="0"/>
          <w:color w:val="auto"/>
          <w:kern w:val="0"/>
          <w:sz w:val="32"/>
          <w:szCs w:val="32"/>
          <w:lang w:val="en-US" w:eastAsia="zh-CN"/>
        </w:rPr>
        <w:t>4.</w:t>
      </w:r>
      <w:r>
        <w:rPr>
          <w:rFonts w:ascii="Times New Roman" w:hAnsi="Times New Roman" w:eastAsia="仿宋_GB2312"/>
          <w:snapToGrid w:val="0"/>
          <w:color w:val="auto"/>
          <w:kern w:val="0"/>
          <w:sz w:val="32"/>
          <w:szCs w:val="32"/>
        </w:rPr>
        <w:t>增补叶酸预防神经管缺陷、免费</w:t>
      </w:r>
      <w:r>
        <w:rPr>
          <w:rFonts w:hint="eastAsia" w:ascii="Times New Roman" w:hAnsi="Times New Roman" w:eastAsia="仿宋_GB2312"/>
          <w:snapToGrid w:val="0"/>
          <w:color w:val="auto"/>
          <w:kern w:val="0"/>
          <w:sz w:val="32"/>
          <w:szCs w:val="32"/>
          <w:lang w:eastAsia="zh-CN"/>
        </w:rPr>
        <w:t>婚前</w:t>
      </w:r>
      <w:r>
        <w:rPr>
          <w:rFonts w:ascii="Times New Roman" w:hAnsi="Times New Roman" w:eastAsia="仿宋_GB2312"/>
          <w:snapToGrid w:val="0"/>
          <w:color w:val="auto"/>
          <w:kern w:val="0"/>
          <w:sz w:val="32"/>
          <w:szCs w:val="32"/>
        </w:rPr>
        <w:t>孕前优生健康检查、</w:t>
      </w:r>
      <w:r>
        <w:rPr>
          <w:rFonts w:hint="eastAsia" w:ascii="Times New Roman" w:hAnsi="Times New Roman" w:eastAsia="仿宋_GB2312"/>
          <w:snapToGrid w:val="0"/>
          <w:color w:val="auto"/>
          <w:kern w:val="0"/>
          <w:sz w:val="32"/>
          <w:szCs w:val="32"/>
          <w:lang w:eastAsia="zh-CN"/>
        </w:rPr>
        <w:t>预防</w:t>
      </w:r>
      <w:r>
        <w:rPr>
          <w:rFonts w:ascii="Times New Roman" w:hAnsi="Times New Roman" w:eastAsia="仿宋_GB2312"/>
          <w:snapToGrid w:val="0"/>
          <w:color w:val="auto"/>
          <w:kern w:val="0"/>
          <w:sz w:val="32"/>
          <w:szCs w:val="32"/>
        </w:rPr>
        <w:t>艾滋病梅毒</w:t>
      </w:r>
      <w:r>
        <w:rPr>
          <w:rFonts w:hint="eastAsia" w:ascii="Times New Roman" w:hAnsi="Times New Roman" w:eastAsia="仿宋_GB2312"/>
          <w:snapToGrid w:val="0"/>
          <w:color w:val="auto"/>
          <w:kern w:val="0"/>
          <w:sz w:val="32"/>
          <w:szCs w:val="32"/>
          <w:lang w:eastAsia="zh-CN"/>
        </w:rPr>
        <w:t>和</w:t>
      </w:r>
      <w:r>
        <w:rPr>
          <w:rFonts w:ascii="Times New Roman" w:hAnsi="Times New Roman" w:eastAsia="仿宋_GB2312"/>
          <w:snapToGrid w:val="0"/>
          <w:color w:val="auto"/>
          <w:kern w:val="0"/>
          <w:sz w:val="32"/>
          <w:szCs w:val="32"/>
        </w:rPr>
        <w:t>乙肝母婴传播</w:t>
      </w:r>
      <w:r>
        <w:rPr>
          <w:rFonts w:hint="eastAsia" w:ascii="Times New Roman" w:hAnsi="Times New Roman" w:eastAsia="仿宋_GB2312"/>
          <w:snapToGrid w:val="0"/>
          <w:color w:val="auto"/>
          <w:kern w:val="0"/>
          <w:sz w:val="32"/>
          <w:szCs w:val="32"/>
          <w:lang w:eastAsia="zh-CN"/>
        </w:rPr>
        <w:t>等其他妇幼重大公共卫生服务</w:t>
      </w:r>
      <w:r>
        <w:rPr>
          <w:rFonts w:ascii="Times New Roman" w:hAnsi="Times New Roman" w:eastAsia="仿宋_GB2312"/>
          <w:snapToGrid w:val="0"/>
          <w:color w:val="auto"/>
          <w:kern w:val="0"/>
          <w:sz w:val="32"/>
          <w:szCs w:val="32"/>
        </w:rPr>
        <w:t>项目</w:t>
      </w:r>
      <w:r>
        <w:rPr>
          <w:rFonts w:hint="eastAsia" w:ascii="Times New Roman" w:hAnsi="Times New Roman" w:eastAsia="仿宋_GB2312"/>
          <w:snapToGrid w:val="0"/>
          <w:color w:val="auto"/>
          <w:kern w:val="0"/>
          <w:sz w:val="32"/>
          <w:szCs w:val="32"/>
          <w:lang w:eastAsia="zh-CN"/>
        </w:rPr>
        <w:t>，</w:t>
      </w:r>
      <w:r>
        <w:rPr>
          <w:rFonts w:ascii="Times New Roman" w:hAnsi="Times New Roman" w:eastAsia="仿宋_GB2312"/>
          <w:snapToGrid w:val="0"/>
          <w:color w:val="auto"/>
          <w:kern w:val="0"/>
          <w:sz w:val="32"/>
          <w:szCs w:val="32"/>
        </w:rPr>
        <w:t>按照相应方案执行</w:t>
      </w:r>
      <w:r>
        <w:rPr>
          <w:rFonts w:hint="eastAsia" w:ascii="Times New Roman" w:hAnsi="Times New Roman" w:eastAsia="仿宋_GB2312"/>
          <w:snapToGrid w:val="0"/>
          <w:color w:val="auto"/>
          <w:kern w:val="0"/>
          <w:sz w:val="32"/>
          <w:szCs w:val="32"/>
          <w:lang w:eastAsia="zh-CN"/>
        </w:rPr>
        <w:t>。新生儿先天性心脏病筛查费用参照现行医疗卫生机构收费标准收取（免费任务的除外）</w:t>
      </w:r>
      <w:r>
        <w:rPr>
          <w:rFonts w:ascii="Times New Roman" w:hAnsi="Times New Roman" w:eastAsia="仿宋_GB2312"/>
          <w:snapToGrid w:val="0"/>
          <w:color w:val="auto"/>
          <w:kern w:val="0"/>
          <w:sz w:val="32"/>
          <w:szCs w:val="32"/>
        </w:rPr>
        <w:t>。</w:t>
      </w:r>
      <w:r>
        <w:rPr>
          <w:rFonts w:hint="eastAsia" w:ascii="Times New Roman" w:hAnsi="Times New Roman" w:eastAsia="仿宋_GB2312"/>
          <w:snapToGrid w:val="0"/>
          <w:color w:val="auto"/>
          <w:kern w:val="0"/>
          <w:sz w:val="32"/>
          <w:szCs w:val="32"/>
        </w:rPr>
        <w:t>鼓励各地在保障服务质量的前提下，采用适宜新技术、新方法，增加筛查病种，所需新增经费由当地财政自行解决。</w:t>
      </w:r>
    </w:p>
    <w:p w14:paraId="6A3ADBD3">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Times New Roman" w:hAnsi="Times New Roman" w:eastAsia="楷体_GB2312"/>
          <w:snapToGrid w:val="0"/>
          <w:color w:val="auto"/>
          <w:kern w:val="0"/>
          <w:sz w:val="32"/>
          <w:szCs w:val="32"/>
          <w:lang w:eastAsia="zh-CN"/>
        </w:rPr>
      </w:pPr>
      <w:r>
        <w:rPr>
          <w:rFonts w:hint="eastAsia" w:ascii="楷体" w:hAnsi="楷体" w:eastAsia="楷体" w:cs="楷体"/>
          <w:snapToGrid w:val="0"/>
          <w:color w:val="auto"/>
          <w:kern w:val="0"/>
          <w:sz w:val="32"/>
          <w:szCs w:val="32"/>
        </w:rPr>
        <w:t>（二）</w:t>
      </w:r>
      <w:r>
        <w:rPr>
          <w:rFonts w:hint="eastAsia" w:ascii="楷体" w:hAnsi="楷体" w:eastAsia="楷体" w:cs="楷体"/>
          <w:snapToGrid w:val="0"/>
          <w:color w:val="auto"/>
          <w:kern w:val="0"/>
          <w:sz w:val="32"/>
          <w:szCs w:val="32"/>
          <w:lang w:eastAsia="zh-CN"/>
        </w:rPr>
        <w:t>项目补助内容及标准</w:t>
      </w:r>
    </w:p>
    <w:p w14:paraId="54FE0C57">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snapToGrid w:val="0"/>
          <w:color w:val="auto"/>
          <w:kern w:val="0"/>
          <w:sz w:val="32"/>
          <w:szCs w:val="32"/>
          <w:lang w:val="en-US" w:eastAsia="zh-CN"/>
        </w:rPr>
        <w:t>1.</w:t>
      </w:r>
      <w:r>
        <w:rPr>
          <w:rFonts w:hint="eastAsia" w:ascii="仿宋_GB2312" w:hAnsi="仿宋_GB2312" w:eastAsia="仿宋_GB2312" w:cs="仿宋_GB2312"/>
          <w:b/>
          <w:bCs/>
          <w:snapToGrid w:val="0"/>
          <w:color w:val="auto"/>
          <w:kern w:val="0"/>
          <w:sz w:val="32"/>
          <w:szCs w:val="32"/>
        </w:rPr>
        <w:t>供方补助内容及标准。</w:t>
      </w:r>
    </w:p>
    <w:p w14:paraId="065CD122">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省级财政补助</w:t>
      </w:r>
      <w:r>
        <w:rPr>
          <w:rFonts w:hint="eastAsia" w:ascii="仿宋_GB2312" w:hAnsi="仿宋_GB2312" w:eastAsia="仿宋_GB2312" w:cs="仿宋_GB2312"/>
          <w:snapToGrid w:val="0"/>
          <w:color w:val="auto"/>
          <w:kern w:val="0"/>
          <w:sz w:val="32"/>
          <w:szCs w:val="32"/>
          <w:lang w:eastAsia="zh-CN"/>
        </w:rPr>
        <w:t>经费划拨到</w:t>
      </w:r>
      <w:r>
        <w:rPr>
          <w:rFonts w:hint="eastAsia" w:ascii="仿宋_GB2312" w:hAnsi="仿宋_GB2312" w:eastAsia="仿宋_GB2312" w:cs="仿宋_GB2312"/>
          <w:snapToGrid w:val="0"/>
          <w:color w:val="auto"/>
          <w:kern w:val="0"/>
          <w:sz w:val="32"/>
          <w:szCs w:val="32"/>
        </w:rPr>
        <w:t>市、县级出生缺陷综合干预中心</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标准分别为市级12万</w:t>
      </w:r>
      <w:r>
        <w:rPr>
          <w:rFonts w:hint="eastAsia" w:ascii="仿宋_GB2312" w:hAnsi="仿宋_GB2312" w:eastAsia="仿宋_GB2312" w:cs="仿宋_GB2312"/>
          <w:snapToGrid w:val="0"/>
          <w:color w:val="auto"/>
          <w:kern w:val="0"/>
          <w:sz w:val="32"/>
          <w:szCs w:val="32"/>
          <w:lang w:eastAsia="zh-CN"/>
        </w:rPr>
        <w:t>元</w:t>
      </w:r>
      <w:r>
        <w:rPr>
          <w:rFonts w:hint="eastAsia" w:ascii="仿宋_GB2312" w:hAnsi="仿宋_GB2312" w:eastAsia="仿宋_GB2312" w:cs="仿宋_GB2312"/>
          <w:snapToGrid w:val="0"/>
          <w:color w:val="auto"/>
          <w:kern w:val="0"/>
          <w:sz w:val="32"/>
          <w:szCs w:val="32"/>
        </w:rPr>
        <w:t>/年、县级9万</w:t>
      </w:r>
      <w:r>
        <w:rPr>
          <w:rFonts w:hint="eastAsia" w:ascii="仿宋_GB2312" w:hAnsi="仿宋_GB2312" w:eastAsia="仿宋_GB2312" w:cs="仿宋_GB2312"/>
          <w:snapToGrid w:val="0"/>
          <w:color w:val="auto"/>
          <w:kern w:val="0"/>
          <w:sz w:val="32"/>
          <w:szCs w:val="32"/>
          <w:lang w:eastAsia="zh-CN"/>
        </w:rPr>
        <w:t>元</w:t>
      </w:r>
      <w:r>
        <w:rPr>
          <w:rFonts w:hint="eastAsia" w:ascii="仿宋_GB2312" w:hAnsi="仿宋_GB2312" w:eastAsia="仿宋_GB2312" w:cs="仿宋_GB2312"/>
          <w:snapToGrid w:val="0"/>
          <w:color w:val="auto"/>
          <w:kern w:val="0"/>
          <w:sz w:val="32"/>
          <w:szCs w:val="32"/>
        </w:rPr>
        <w:t>/年，主要用于辖区业务骨干培训、督导评估、质量控制、健康档案和信息管理、宣传教育、阳性随访、工作调研、工作交流等。</w:t>
      </w:r>
    </w:p>
    <w:p w14:paraId="4EECECDE">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市级财政补助</w:t>
      </w:r>
      <w:r>
        <w:rPr>
          <w:rFonts w:hint="eastAsia" w:ascii="仿宋_GB2312" w:hAnsi="仿宋_GB2312" w:eastAsia="仿宋_GB2312" w:cs="仿宋_GB2312"/>
          <w:snapToGrid w:val="0"/>
          <w:color w:val="auto"/>
          <w:kern w:val="0"/>
          <w:sz w:val="32"/>
          <w:szCs w:val="32"/>
          <w:lang w:eastAsia="zh-CN"/>
        </w:rPr>
        <w:t>经费划拨到</w:t>
      </w:r>
      <w:r>
        <w:rPr>
          <w:rFonts w:hint="eastAsia" w:ascii="仿宋_GB2312" w:hAnsi="仿宋_GB2312" w:eastAsia="仿宋_GB2312" w:cs="仿宋_GB2312"/>
          <w:snapToGrid w:val="0"/>
          <w:color w:val="auto"/>
          <w:kern w:val="0"/>
          <w:sz w:val="32"/>
          <w:szCs w:val="32"/>
        </w:rPr>
        <w:t>市级出生缺陷防控综合干预中心（江门市妇幼保健院）1</w:t>
      </w:r>
      <w:r>
        <w:rPr>
          <w:rFonts w:hint="eastAsia" w:ascii="仿宋_GB2312" w:hAnsi="仿宋_GB2312" w:eastAsia="仿宋_GB2312" w:cs="仿宋_GB2312"/>
          <w:snapToGrid w:val="0"/>
          <w:color w:val="auto"/>
          <w:kern w:val="0"/>
          <w:sz w:val="32"/>
          <w:szCs w:val="32"/>
          <w:lang w:val="en-US" w:eastAsia="zh-CN"/>
        </w:rPr>
        <w:t>2</w:t>
      </w:r>
      <w:r>
        <w:rPr>
          <w:rFonts w:hint="eastAsia" w:ascii="仿宋_GB2312" w:hAnsi="仿宋_GB2312" w:eastAsia="仿宋_GB2312" w:cs="仿宋_GB2312"/>
          <w:snapToGrid w:val="0"/>
          <w:color w:val="auto"/>
          <w:kern w:val="0"/>
          <w:sz w:val="32"/>
          <w:szCs w:val="32"/>
        </w:rPr>
        <w:t>万</w:t>
      </w:r>
      <w:r>
        <w:rPr>
          <w:rFonts w:hint="eastAsia" w:ascii="仿宋_GB2312" w:hAnsi="仿宋_GB2312" w:eastAsia="仿宋_GB2312" w:cs="仿宋_GB2312"/>
          <w:snapToGrid w:val="0"/>
          <w:color w:val="auto"/>
          <w:kern w:val="0"/>
          <w:sz w:val="32"/>
          <w:szCs w:val="32"/>
          <w:lang w:eastAsia="zh-CN"/>
        </w:rPr>
        <w:t>元</w:t>
      </w:r>
      <w:r>
        <w:rPr>
          <w:rFonts w:hint="eastAsia" w:ascii="仿宋_GB2312" w:hAnsi="仿宋_GB2312" w:eastAsia="仿宋_GB2312" w:cs="仿宋_GB2312"/>
          <w:snapToGrid w:val="0"/>
          <w:color w:val="auto"/>
          <w:kern w:val="0"/>
          <w:sz w:val="32"/>
          <w:szCs w:val="32"/>
        </w:rPr>
        <w:t>/年，主要用于业务进修培训、督导评估、质量控制、信息管理与质控、宣传教育、阳性随访、调研交流等。市财政补助市</w:t>
      </w:r>
      <w:r>
        <w:rPr>
          <w:rFonts w:hint="eastAsia" w:ascii="仿宋_GB2312" w:hAnsi="仿宋_GB2312" w:eastAsia="仿宋_GB2312" w:cs="仿宋_GB2312"/>
          <w:snapToGrid w:val="0"/>
          <w:color w:val="auto"/>
          <w:kern w:val="0"/>
          <w:sz w:val="32"/>
          <w:szCs w:val="32"/>
          <w:lang w:eastAsia="zh-CN"/>
        </w:rPr>
        <w:t>中心医院、市五邑中医院、市人民医</w:t>
      </w:r>
      <w:r>
        <w:rPr>
          <w:rFonts w:hint="eastAsia" w:ascii="仿宋_GB2312" w:hAnsi="仿宋_GB2312" w:eastAsia="仿宋_GB2312" w:cs="仿宋_GB2312"/>
          <w:snapToGrid w:val="0"/>
          <w:color w:val="auto"/>
          <w:kern w:val="0"/>
          <w:sz w:val="32"/>
          <w:szCs w:val="32"/>
          <w:lang w:val="en-US" w:eastAsia="zh-CN"/>
        </w:rPr>
        <w:t>1</w:t>
      </w:r>
      <w:r>
        <w:rPr>
          <w:rFonts w:hint="eastAsia" w:ascii="仿宋_GB2312" w:hAnsi="仿宋_GB2312" w:eastAsia="仿宋_GB2312" w:cs="仿宋_GB2312"/>
          <w:snapToGrid w:val="0"/>
          <w:color w:val="auto"/>
          <w:kern w:val="0"/>
          <w:sz w:val="32"/>
          <w:szCs w:val="32"/>
        </w:rPr>
        <w:t>-3万元，用于本机构出生缺陷防控项目管理工作。</w:t>
      </w:r>
    </w:p>
    <w:p w14:paraId="6D5D3BD2">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县级财政供方补助经费由当地财政结合实际安排给县级出生缺陷干预中心。</w:t>
      </w:r>
    </w:p>
    <w:p w14:paraId="3569A7F5">
      <w:pPr>
        <w:keepNext w:val="0"/>
        <w:keepLines w:val="0"/>
        <w:pageBreakBefore w:val="0"/>
        <w:numPr>
          <w:ilvl w:val="0"/>
          <w:numId w:val="0"/>
        </w:numPr>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snapToGrid w:val="0"/>
          <w:color w:val="auto"/>
          <w:kern w:val="0"/>
          <w:sz w:val="32"/>
          <w:szCs w:val="32"/>
          <w:lang w:val="en-US" w:eastAsia="zh-CN"/>
        </w:rPr>
        <w:t>2.</w:t>
      </w:r>
      <w:r>
        <w:rPr>
          <w:rFonts w:hint="eastAsia" w:ascii="仿宋_GB2312" w:hAnsi="仿宋_GB2312" w:eastAsia="仿宋_GB2312" w:cs="仿宋_GB2312"/>
          <w:b/>
          <w:bCs/>
          <w:snapToGrid w:val="0"/>
          <w:color w:val="auto"/>
          <w:kern w:val="0"/>
          <w:sz w:val="32"/>
          <w:szCs w:val="32"/>
          <w:lang w:eastAsia="zh-CN"/>
        </w:rPr>
        <w:t>需</w:t>
      </w:r>
      <w:r>
        <w:rPr>
          <w:rFonts w:hint="eastAsia" w:ascii="仿宋_GB2312" w:hAnsi="仿宋_GB2312" w:eastAsia="仿宋_GB2312" w:cs="仿宋_GB2312"/>
          <w:b/>
          <w:bCs/>
          <w:snapToGrid w:val="0"/>
          <w:color w:val="auto"/>
          <w:kern w:val="0"/>
          <w:sz w:val="32"/>
          <w:szCs w:val="32"/>
        </w:rPr>
        <w:t>方补助内容及标准</w:t>
      </w:r>
      <w:r>
        <w:rPr>
          <w:rFonts w:hint="eastAsia" w:ascii="仿宋_GB2312" w:hAnsi="仿宋_GB2312" w:eastAsia="仿宋_GB2312" w:cs="仿宋_GB2312"/>
          <w:b/>
          <w:bCs/>
          <w:snapToGrid w:val="0"/>
          <w:color w:val="auto"/>
          <w:kern w:val="0"/>
          <w:sz w:val="32"/>
          <w:szCs w:val="32"/>
          <w:lang w:eastAsia="zh-CN"/>
        </w:rPr>
        <w:t>（附件</w:t>
      </w:r>
      <w:r>
        <w:rPr>
          <w:rFonts w:hint="eastAsia" w:ascii="仿宋_GB2312" w:hAnsi="仿宋_GB2312" w:eastAsia="仿宋_GB2312" w:cs="仿宋_GB2312"/>
          <w:b/>
          <w:bCs/>
          <w:snapToGrid w:val="0"/>
          <w:color w:val="auto"/>
          <w:kern w:val="0"/>
          <w:sz w:val="32"/>
          <w:szCs w:val="32"/>
          <w:lang w:val="en-US" w:eastAsia="zh-CN"/>
        </w:rPr>
        <w:t>1</w:t>
      </w:r>
      <w:r>
        <w:rPr>
          <w:rFonts w:hint="eastAsia" w:ascii="仿宋_GB2312" w:hAnsi="仿宋_GB2312" w:eastAsia="仿宋_GB2312" w:cs="仿宋_GB2312"/>
          <w:b/>
          <w:bCs/>
          <w:snapToGrid w:val="0"/>
          <w:color w:val="auto"/>
          <w:kern w:val="0"/>
          <w:sz w:val="32"/>
          <w:szCs w:val="32"/>
          <w:lang w:eastAsia="zh-CN"/>
        </w:rPr>
        <w:t>）</w:t>
      </w:r>
      <w:r>
        <w:rPr>
          <w:rFonts w:hint="eastAsia" w:ascii="仿宋_GB2312" w:hAnsi="仿宋_GB2312" w:eastAsia="仿宋_GB2312" w:cs="仿宋_GB2312"/>
          <w:b/>
          <w:bCs/>
          <w:snapToGrid w:val="0"/>
          <w:color w:val="auto"/>
          <w:kern w:val="0"/>
          <w:sz w:val="32"/>
          <w:szCs w:val="32"/>
        </w:rPr>
        <w:t>。</w:t>
      </w:r>
    </w:p>
    <w:p w14:paraId="525E6562">
      <w:pPr>
        <w:keepNext w:val="0"/>
        <w:keepLines w:val="0"/>
        <w:pageBreakBefore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b/>
          <w:bCs/>
          <w:snapToGrid w:val="0"/>
          <w:color w:val="auto"/>
          <w:kern w:val="0"/>
          <w:sz w:val="32"/>
          <w:szCs w:val="32"/>
          <w:lang w:val="en-US" w:eastAsia="zh-CN"/>
        </w:rPr>
      </w:pPr>
      <w:r>
        <w:rPr>
          <w:rFonts w:hint="eastAsia" w:ascii="仿宋_GB2312" w:hAnsi="仿宋_GB2312" w:eastAsia="仿宋_GB2312" w:cs="仿宋_GB2312"/>
          <w:b/>
          <w:bCs/>
          <w:snapToGrid w:val="0"/>
          <w:color w:val="auto"/>
          <w:kern w:val="0"/>
          <w:sz w:val="32"/>
          <w:szCs w:val="32"/>
          <w:lang w:val="en-US" w:eastAsia="zh-CN"/>
        </w:rPr>
        <w:t xml:space="preserve">    </w:t>
      </w:r>
      <w:r>
        <w:rPr>
          <w:rFonts w:hint="eastAsia" w:ascii="仿宋_GB2312" w:hAnsi="仿宋_GB2312" w:eastAsia="仿宋_GB2312" w:cs="仿宋_GB2312"/>
          <w:b w:val="0"/>
          <w:bCs w:val="0"/>
          <w:snapToGrid w:val="0"/>
          <w:color w:val="auto"/>
          <w:kern w:val="0"/>
          <w:sz w:val="32"/>
          <w:szCs w:val="32"/>
          <w:lang w:val="en-US" w:eastAsia="zh-CN"/>
        </w:rPr>
        <w:t>符合条件的孕妇：开展地中海贫血及其他严重致死致残单基因遗传病，唐氏综合征及其他严重致死致残染色体异常，无脑儿、脑膨出、开放性脊柱裂、胸腹壁缺损内脏外翻、单腔心、致死性软骨发育不良等严重致死致残性结构畸形的免费产前筛查与产前诊断定额补助。</w:t>
      </w:r>
    </w:p>
    <w:p w14:paraId="76CC3871">
      <w:pPr>
        <w:keepNext w:val="0"/>
        <w:keepLines w:val="0"/>
        <w:pageBreakBefore w:val="0"/>
        <w:numPr>
          <w:ilvl w:val="0"/>
          <w:numId w:val="0"/>
        </w:numPr>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b w:val="0"/>
          <w:bCs w:val="0"/>
          <w:snapToGrid w:val="0"/>
          <w:color w:val="auto"/>
          <w:kern w:val="0"/>
          <w:sz w:val="32"/>
          <w:szCs w:val="32"/>
          <w:lang w:val="en-US" w:eastAsia="zh-CN"/>
        </w:rPr>
      </w:pPr>
      <w:r>
        <w:rPr>
          <w:rFonts w:hint="eastAsia" w:ascii="仿宋_GB2312" w:hAnsi="仿宋_GB2312" w:eastAsia="仿宋_GB2312" w:cs="仿宋_GB2312"/>
          <w:b w:val="0"/>
          <w:bCs w:val="0"/>
          <w:snapToGrid w:val="0"/>
          <w:color w:val="auto"/>
          <w:kern w:val="0"/>
          <w:sz w:val="32"/>
          <w:szCs w:val="32"/>
          <w:lang w:val="en-US" w:eastAsia="zh-CN"/>
        </w:rPr>
        <w:t>符合条件的新生儿：开展苯丙酮尿症、先天性甲状腺功能减低症，葡萄糖-6-磷酸脱氢酶缺乏症、先天性肾上腺皮质增生症4种新生儿遗传代谢病，新生儿听力的免费初筛与初筛阳性者复筛；早产儿视网膜的免费筛查与筛查阳性者复筛；新生儿先天性心脏病筛查（按任务数筛查）。</w:t>
      </w:r>
    </w:p>
    <w:p w14:paraId="26E98E92">
      <w:pPr>
        <w:keepNext w:val="0"/>
        <w:keepLines w:val="0"/>
        <w:pageBreakBefore w:val="0"/>
        <w:numPr>
          <w:ilvl w:val="0"/>
          <w:numId w:val="0"/>
        </w:numPr>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b w:val="0"/>
          <w:bCs w:val="0"/>
          <w:snapToGrid w:val="0"/>
          <w:color w:val="auto"/>
          <w:kern w:val="0"/>
          <w:sz w:val="32"/>
          <w:szCs w:val="32"/>
          <w:lang w:val="en-US" w:eastAsia="zh-CN"/>
        </w:rPr>
      </w:pPr>
      <w:r>
        <w:rPr>
          <w:rFonts w:hint="eastAsia" w:ascii="仿宋_GB2312" w:hAnsi="仿宋_GB2312" w:eastAsia="仿宋_GB2312" w:cs="仿宋_GB2312"/>
          <w:b w:val="0"/>
          <w:bCs w:val="0"/>
          <w:snapToGrid w:val="0"/>
          <w:color w:val="auto"/>
          <w:kern w:val="0"/>
          <w:sz w:val="32"/>
          <w:szCs w:val="32"/>
          <w:lang w:val="en-US" w:eastAsia="zh-CN"/>
        </w:rPr>
        <w:t>各级财政每年按孕妇</w:t>
      </w:r>
      <w:r>
        <w:rPr>
          <w:rFonts w:hint="eastAsia" w:ascii="仿宋_GB2312" w:hAnsi="仿宋_GB2312" w:eastAsia="仿宋_GB2312" w:cs="仿宋_GB2312"/>
          <w:snapToGrid w:val="0"/>
          <w:color w:val="auto"/>
          <w:kern w:val="0"/>
          <w:sz w:val="32"/>
          <w:szCs w:val="32"/>
          <w:lang w:val="en-US" w:eastAsia="zh-CN"/>
        </w:rPr>
        <w:t>620</w:t>
      </w:r>
      <w:r>
        <w:rPr>
          <w:rFonts w:hint="eastAsia" w:ascii="仿宋_GB2312" w:hAnsi="仿宋_GB2312" w:eastAsia="仿宋_GB2312" w:cs="仿宋_GB2312"/>
          <w:b w:val="0"/>
          <w:bCs w:val="0"/>
          <w:snapToGrid w:val="0"/>
          <w:color w:val="auto"/>
          <w:kern w:val="0"/>
          <w:sz w:val="32"/>
          <w:szCs w:val="32"/>
          <w:lang w:val="en-US" w:eastAsia="zh-CN"/>
        </w:rPr>
        <w:t>元/胎、新生儿</w:t>
      </w:r>
      <w:r>
        <w:rPr>
          <w:rFonts w:hint="eastAsia" w:ascii="仿宋_GB2312" w:hAnsi="仿宋_GB2312" w:eastAsia="仿宋_GB2312" w:cs="仿宋_GB2312"/>
          <w:snapToGrid w:val="0"/>
          <w:color w:val="auto"/>
          <w:kern w:val="0"/>
          <w:sz w:val="32"/>
          <w:szCs w:val="32"/>
          <w:lang w:val="en-US" w:eastAsia="zh-CN"/>
        </w:rPr>
        <w:t>214</w:t>
      </w:r>
      <w:r>
        <w:rPr>
          <w:rFonts w:hint="eastAsia" w:ascii="仿宋_GB2312" w:hAnsi="仿宋_GB2312" w:eastAsia="仿宋_GB2312" w:cs="仿宋_GB2312"/>
          <w:b w:val="0"/>
          <w:bCs w:val="0"/>
          <w:snapToGrid w:val="0"/>
          <w:color w:val="auto"/>
          <w:kern w:val="0"/>
          <w:sz w:val="32"/>
          <w:szCs w:val="32"/>
          <w:lang w:val="en-US" w:eastAsia="zh-CN"/>
        </w:rPr>
        <w:t>元/人的标准，预拨需方补助资金，按照每个检查项目实际完成例数和各级财政结算标准据实结算。各级财政根据各县（市、区）目标人群预测数，结合补助标准和上年结余情况，下达当年资金。</w:t>
      </w:r>
      <w:r>
        <w:rPr>
          <w:rFonts w:hint="eastAsia" w:ascii="仿宋_GB2312" w:hAnsi="仿宋_GB2312" w:eastAsia="仿宋_GB2312" w:cs="仿宋_GB2312"/>
          <w:b/>
          <w:bCs/>
          <w:snapToGrid w:val="0"/>
          <w:color w:val="auto"/>
          <w:kern w:val="0"/>
          <w:sz w:val="32"/>
          <w:szCs w:val="32"/>
        </w:rPr>
        <w:t>台山、开平、恩平地区</w:t>
      </w:r>
      <w:r>
        <w:rPr>
          <w:rFonts w:hint="eastAsia" w:ascii="仿宋_GB2312" w:hAnsi="仿宋_GB2312" w:eastAsia="仿宋_GB2312" w:cs="仿宋_GB2312"/>
          <w:b/>
          <w:bCs/>
          <w:snapToGrid w:val="0"/>
          <w:color w:val="auto"/>
          <w:kern w:val="0"/>
          <w:sz w:val="32"/>
          <w:szCs w:val="32"/>
          <w:lang w:val="en-US" w:eastAsia="zh-CN"/>
        </w:rPr>
        <w:t>：</w:t>
      </w:r>
      <w:r>
        <w:rPr>
          <w:rFonts w:hint="eastAsia" w:ascii="仿宋_GB2312" w:hAnsi="仿宋_GB2312" w:eastAsia="仿宋_GB2312" w:cs="仿宋_GB2312"/>
          <w:b w:val="0"/>
          <w:bCs w:val="0"/>
          <w:snapToGrid w:val="0"/>
          <w:color w:val="auto"/>
          <w:kern w:val="0"/>
          <w:sz w:val="32"/>
          <w:szCs w:val="32"/>
          <w:lang w:val="en-US" w:eastAsia="zh-CN"/>
        </w:rPr>
        <w:t>省、市、县财政需方补助经费按照</w:t>
      </w:r>
      <w:r>
        <w:rPr>
          <w:rFonts w:hint="eastAsia" w:ascii="仿宋_GB2312" w:hAnsi="仿宋_GB2312" w:eastAsia="仿宋_GB2312" w:cs="仿宋_GB2312"/>
          <w:snapToGrid w:val="0"/>
          <w:color w:val="auto"/>
          <w:kern w:val="0"/>
          <w:sz w:val="32"/>
          <w:szCs w:val="32"/>
          <w:lang w:val="en-US" w:eastAsia="zh-CN"/>
        </w:rPr>
        <w:t>6：2：2</w:t>
      </w:r>
      <w:r>
        <w:rPr>
          <w:rFonts w:hint="eastAsia" w:ascii="仿宋_GB2312" w:hAnsi="仿宋_GB2312" w:eastAsia="仿宋_GB2312" w:cs="仿宋_GB2312"/>
          <w:b w:val="0"/>
          <w:bCs w:val="0"/>
          <w:snapToGrid w:val="0"/>
          <w:color w:val="auto"/>
          <w:kern w:val="0"/>
          <w:sz w:val="32"/>
          <w:szCs w:val="32"/>
          <w:lang w:val="en-US" w:eastAsia="zh-CN"/>
        </w:rPr>
        <w:t>的分担原则进行预拨和结算。</w:t>
      </w:r>
      <w:r>
        <w:rPr>
          <w:rFonts w:hint="eastAsia" w:ascii="仿宋_GB2312" w:hAnsi="仿宋_GB2312" w:eastAsia="仿宋_GB2312" w:cs="仿宋_GB2312"/>
          <w:b/>
          <w:bCs/>
          <w:snapToGrid w:val="0"/>
          <w:color w:val="auto"/>
          <w:kern w:val="0"/>
          <w:sz w:val="32"/>
          <w:szCs w:val="32"/>
          <w:lang w:eastAsia="zh-CN"/>
        </w:rPr>
        <w:t>蓬江、江海、新会、鹤山地区</w:t>
      </w:r>
      <w:r>
        <w:rPr>
          <w:rFonts w:hint="eastAsia" w:ascii="仿宋_GB2312" w:hAnsi="仿宋_GB2312" w:eastAsia="仿宋_GB2312" w:cs="仿宋_GB2312"/>
          <w:b/>
          <w:bCs/>
          <w:snapToGrid w:val="0"/>
          <w:color w:val="auto"/>
          <w:kern w:val="0"/>
          <w:sz w:val="32"/>
          <w:szCs w:val="32"/>
          <w:lang w:val="en-US" w:eastAsia="zh-CN"/>
        </w:rPr>
        <w:t>：</w:t>
      </w:r>
      <w:r>
        <w:rPr>
          <w:rFonts w:hint="eastAsia" w:ascii="仿宋_GB2312" w:hAnsi="仿宋_GB2312" w:eastAsia="仿宋_GB2312" w:cs="仿宋_GB2312"/>
          <w:b w:val="0"/>
          <w:bCs w:val="0"/>
          <w:snapToGrid w:val="0"/>
          <w:color w:val="auto"/>
          <w:kern w:val="0"/>
          <w:sz w:val="32"/>
          <w:szCs w:val="32"/>
          <w:lang w:val="en-US" w:eastAsia="zh-CN"/>
        </w:rPr>
        <w:t>市级财政需方补助经费</w:t>
      </w:r>
      <w:r>
        <w:rPr>
          <w:rFonts w:hint="eastAsia" w:ascii="仿宋_GB2312" w:hAnsi="仿宋_GB2312" w:eastAsia="仿宋_GB2312" w:cs="仿宋_GB2312"/>
          <w:snapToGrid w:val="0"/>
          <w:color w:val="auto"/>
          <w:kern w:val="0"/>
          <w:sz w:val="32"/>
          <w:szCs w:val="32"/>
          <w:lang w:val="en-US" w:eastAsia="zh-CN"/>
        </w:rPr>
        <w:t>100%</w:t>
      </w:r>
      <w:r>
        <w:rPr>
          <w:rFonts w:hint="eastAsia" w:ascii="仿宋_GB2312" w:hAnsi="仿宋_GB2312" w:eastAsia="仿宋_GB2312" w:cs="仿宋_GB2312"/>
          <w:b w:val="0"/>
          <w:bCs w:val="0"/>
          <w:snapToGrid w:val="0"/>
          <w:color w:val="auto"/>
          <w:kern w:val="0"/>
          <w:sz w:val="32"/>
          <w:szCs w:val="32"/>
          <w:lang w:val="en-US" w:eastAsia="zh-CN"/>
        </w:rPr>
        <w:t>承担符合条件的孕产妇产前诊断定额补助、新生儿遗传代谢性病筛查等项目费用；县级财政需方补助经费</w:t>
      </w:r>
      <w:r>
        <w:rPr>
          <w:rFonts w:hint="eastAsia" w:ascii="仿宋_GB2312" w:hAnsi="仿宋_GB2312" w:eastAsia="仿宋_GB2312" w:cs="仿宋_GB2312"/>
          <w:snapToGrid w:val="0"/>
          <w:color w:val="auto"/>
          <w:kern w:val="0"/>
          <w:sz w:val="32"/>
          <w:szCs w:val="32"/>
          <w:lang w:val="en-US" w:eastAsia="zh-CN"/>
        </w:rPr>
        <w:t>100%</w:t>
      </w:r>
      <w:r>
        <w:rPr>
          <w:rFonts w:hint="eastAsia" w:ascii="仿宋_GB2312" w:hAnsi="仿宋_GB2312" w:eastAsia="仿宋_GB2312" w:cs="仿宋_GB2312"/>
          <w:b w:val="0"/>
          <w:bCs w:val="0"/>
          <w:snapToGrid w:val="0"/>
          <w:color w:val="auto"/>
          <w:kern w:val="0"/>
          <w:sz w:val="32"/>
          <w:szCs w:val="32"/>
          <w:lang w:val="en-US" w:eastAsia="zh-CN"/>
        </w:rPr>
        <w:t>承担符合条件的孕产妇产前筛查、新生儿听力筛查、早产儿视网膜筛查等项目费用。此外，市级财政每年按</w:t>
      </w:r>
      <w:r>
        <w:rPr>
          <w:rFonts w:hint="eastAsia" w:ascii="仿宋_GB2312" w:hAnsi="仿宋_GB2312" w:eastAsia="仿宋_GB2312" w:cs="仿宋_GB2312"/>
          <w:snapToGrid w:val="0"/>
          <w:color w:val="auto"/>
          <w:kern w:val="0"/>
          <w:sz w:val="32"/>
          <w:szCs w:val="32"/>
          <w:lang w:val="en-US" w:eastAsia="zh-CN"/>
        </w:rPr>
        <w:t>105</w:t>
      </w:r>
      <w:r>
        <w:rPr>
          <w:rFonts w:hint="eastAsia" w:ascii="仿宋_GB2312" w:hAnsi="仿宋_GB2312" w:eastAsia="仿宋_GB2312" w:cs="仿宋_GB2312"/>
          <w:b w:val="0"/>
          <w:bCs w:val="0"/>
          <w:snapToGrid w:val="0"/>
          <w:color w:val="auto"/>
          <w:kern w:val="0"/>
          <w:sz w:val="32"/>
          <w:szCs w:val="32"/>
          <w:lang w:val="en-US" w:eastAsia="zh-CN"/>
        </w:rPr>
        <w:t>元/例（其中需方补助</w:t>
      </w:r>
      <w:r>
        <w:rPr>
          <w:rFonts w:hint="eastAsia" w:ascii="仿宋_GB2312" w:hAnsi="仿宋_GB2312" w:eastAsia="仿宋_GB2312" w:cs="仿宋_GB2312"/>
          <w:snapToGrid w:val="0"/>
          <w:color w:val="auto"/>
          <w:kern w:val="0"/>
          <w:sz w:val="32"/>
          <w:szCs w:val="32"/>
          <w:lang w:val="en-US" w:eastAsia="zh-CN"/>
        </w:rPr>
        <w:t>100</w:t>
      </w:r>
      <w:r>
        <w:rPr>
          <w:rFonts w:hint="eastAsia" w:ascii="仿宋_GB2312" w:hAnsi="仿宋_GB2312" w:eastAsia="仿宋_GB2312" w:cs="仿宋_GB2312"/>
          <w:b w:val="0"/>
          <w:bCs w:val="0"/>
          <w:snapToGrid w:val="0"/>
          <w:color w:val="auto"/>
          <w:kern w:val="0"/>
          <w:sz w:val="32"/>
          <w:szCs w:val="32"/>
          <w:lang w:val="en-US" w:eastAsia="zh-CN"/>
        </w:rPr>
        <w:t>元/例，信息录入</w:t>
      </w:r>
      <w:r>
        <w:rPr>
          <w:rFonts w:hint="eastAsia" w:ascii="仿宋_GB2312" w:hAnsi="仿宋_GB2312" w:eastAsia="仿宋_GB2312" w:cs="仿宋_GB2312"/>
          <w:snapToGrid w:val="0"/>
          <w:color w:val="auto"/>
          <w:kern w:val="0"/>
          <w:sz w:val="32"/>
          <w:szCs w:val="32"/>
          <w:lang w:val="en-US" w:eastAsia="zh-CN"/>
        </w:rPr>
        <w:t>5</w:t>
      </w:r>
      <w:r>
        <w:rPr>
          <w:rFonts w:hint="eastAsia" w:ascii="仿宋_GB2312" w:hAnsi="仿宋_GB2312" w:eastAsia="仿宋_GB2312" w:cs="仿宋_GB2312"/>
          <w:b w:val="0"/>
          <w:bCs w:val="0"/>
          <w:snapToGrid w:val="0"/>
          <w:color w:val="auto"/>
          <w:kern w:val="0"/>
          <w:sz w:val="32"/>
          <w:szCs w:val="32"/>
          <w:lang w:val="en-US" w:eastAsia="zh-CN"/>
        </w:rPr>
        <w:t>元/例）的标准，按一定任务数补助新会区、台山市、开平市、鹤山市、恩平市及江门市妇幼保健院开展新生儿先天性心脏病筛查。各县（市、区）结合实际，参考省、市的需方定额减免范围，制定本地区需方补助办法，明确资金预拨、分配及结算方式。</w:t>
      </w:r>
    </w:p>
    <w:p w14:paraId="770F6BE3">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楷体" w:hAnsi="楷体" w:eastAsia="楷体" w:cs="楷体"/>
          <w:snapToGrid w:val="0"/>
          <w:color w:val="auto"/>
          <w:kern w:val="0"/>
          <w:sz w:val="32"/>
          <w:szCs w:val="32"/>
          <w:lang w:eastAsia="zh-CN"/>
        </w:rPr>
      </w:pPr>
      <w:r>
        <w:rPr>
          <w:rFonts w:hint="eastAsia" w:ascii="楷体" w:hAnsi="楷体" w:eastAsia="楷体" w:cs="楷体"/>
          <w:snapToGrid w:val="0"/>
          <w:color w:val="auto"/>
          <w:kern w:val="0"/>
          <w:sz w:val="32"/>
          <w:szCs w:val="32"/>
        </w:rPr>
        <w:t>（三）</w:t>
      </w:r>
      <w:r>
        <w:rPr>
          <w:rFonts w:hint="eastAsia" w:ascii="楷体" w:hAnsi="楷体" w:eastAsia="楷体" w:cs="楷体"/>
          <w:snapToGrid w:val="0"/>
          <w:color w:val="auto"/>
          <w:kern w:val="0"/>
          <w:sz w:val="32"/>
          <w:szCs w:val="32"/>
          <w:lang w:eastAsia="zh-CN"/>
        </w:rPr>
        <w:t>经费管理要求</w:t>
      </w:r>
    </w:p>
    <w:p w14:paraId="561E6A7D">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b/>
          <w:bCs/>
          <w:snapToGrid w:val="0"/>
          <w:color w:val="auto"/>
          <w:kern w:val="0"/>
          <w:sz w:val="32"/>
          <w:szCs w:val="32"/>
          <w:lang w:eastAsia="zh-CN"/>
        </w:rPr>
      </w:pPr>
      <w:r>
        <w:rPr>
          <w:rFonts w:hint="eastAsia" w:ascii="仿宋_GB2312" w:hAnsi="仿宋_GB2312" w:eastAsia="仿宋_GB2312" w:cs="仿宋_GB2312"/>
          <w:b/>
          <w:bCs/>
          <w:snapToGrid w:val="0"/>
          <w:color w:val="auto"/>
          <w:kern w:val="0"/>
          <w:sz w:val="32"/>
          <w:szCs w:val="32"/>
        </w:rPr>
        <w:t>1.</w:t>
      </w:r>
      <w:r>
        <w:rPr>
          <w:rFonts w:hint="eastAsia" w:ascii="仿宋_GB2312" w:hAnsi="仿宋_GB2312" w:eastAsia="仿宋_GB2312" w:cs="仿宋_GB2312"/>
          <w:b/>
          <w:bCs/>
          <w:snapToGrid w:val="0"/>
          <w:color w:val="auto"/>
          <w:kern w:val="0"/>
          <w:sz w:val="32"/>
          <w:szCs w:val="32"/>
          <w:lang w:eastAsia="zh-CN"/>
        </w:rPr>
        <w:t>分级</w:t>
      </w:r>
      <w:r>
        <w:rPr>
          <w:rFonts w:hint="eastAsia" w:ascii="仿宋_GB2312" w:hAnsi="仿宋_GB2312" w:eastAsia="仿宋_GB2312" w:cs="仿宋_GB2312"/>
          <w:b/>
          <w:bCs/>
          <w:snapToGrid w:val="0"/>
          <w:color w:val="auto"/>
          <w:kern w:val="0"/>
          <w:sz w:val="32"/>
          <w:szCs w:val="32"/>
        </w:rPr>
        <w:t>预拨</w:t>
      </w:r>
      <w:r>
        <w:rPr>
          <w:rFonts w:hint="eastAsia" w:ascii="仿宋_GB2312" w:hAnsi="仿宋_GB2312" w:eastAsia="仿宋_GB2312" w:cs="仿宋_GB2312"/>
          <w:b/>
          <w:bCs/>
          <w:snapToGrid w:val="0"/>
          <w:color w:val="auto"/>
          <w:kern w:val="0"/>
          <w:sz w:val="32"/>
          <w:szCs w:val="32"/>
          <w:lang w:eastAsia="zh-CN"/>
        </w:rPr>
        <w:t>和结算。</w:t>
      </w:r>
    </w:p>
    <w:p w14:paraId="47C3E713">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b w:val="0"/>
          <w:bCs w:val="0"/>
          <w:snapToGrid w:val="0"/>
          <w:color w:val="auto"/>
          <w:kern w:val="0"/>
          <w:sz w:val="32"/>
          <w:szCs w:val="32"/>
        </w:rPr>
      </w:pPr>
      <w:r>
        <w:rPr>
          <w:rFonts w:hint="eastAsia" w:ascii="仿宋_GB2312" w:hAnsi="仿宋_GB2312" w:eastAsia="仿宋_GB2312" w:cs="仿宋_GB2312"/>
          <w:b w:val="0"/>
          <w:bCs w:val="0"/>
          <w:snapToGrid w:val="0"/>
          <w:color w:val="auto"/>
          <w:kern w:val="0"/>
          <w:sz w:val="32"/>
          <w:szCs w:val="32"/>
          <w:lang w:eastAsia="zh-CN"/>
        </w:rPr>
        <w:t>（</w:t>
      </w:r>
      <w:r>
        <w:rPr>
          <w:rFonts w:hint="eastAsia" w:ascii="仿宋_GB2312" w:hAnsi="仿宋_GB2312" w:eastAsia="仿宋_GB2312" w:cs="仿宋_GB2312"/>
          <w:b w:val="0"/>
          <w:bCs w:val="0"/>
          <w:snapToGrid w:val="0"/>
          <w:color w:val="auto"/>
          <w:kern w:val="0"/>
          <w:sz w:val="32"/>
          <w:szCs w:val="32"/>
          <w:lang w:val="en-US" w:eastAsia="zh-CN"/>
        </w:rPr>
        <w:t>1</w:t>
      </w:r>
      <w:r>
        <w:rPr>
          <w:rFonts w:hint="eastAsia" w:ascii="仿宋_GB2312" w:hAnsi="仿宋_GB2312" w:eastAsia="仿宋_GB2312" w:cs="仿宋_GB2312"/>
          <w:b w:val="0"/>
          <w:bCs w:val="0"/>
          <w:snapToGrid w:val="0"/>
          <w:color w:val="auto"/>
          <w:kern w:val="0"/>
          <w:sz w:val="32"/>
          <w:szCs w:val="32"/>
          <w:lang w:eastAsia="zh-CN"/>
        </w:rPr>
        <w:t>）需方经费</w:t>
      </w:r>
    </w:p>
    <w:p w14:paraId="08743F2B">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b w:val="0"/>
          <w:bCs w:val="0"/>
          <w:snapToGrid w:val="0"/>
          <w:color w:val="auto"/>
          <w:kern w:val="0"/>
          <w:sz w:val="32"/>
          <w:szCs w:val="32"/>
          <w:lang w:val="en-US" w:eastAsia="zh-CN"/>
        </w:rPr>
      </w:pPr>
      <w:r>
        <w:rPr>
          <w:rFonts w:hint="eastAsia" w:ascii="Times New Roman" w:hAnsi="Times New Roman" w:eastAsia="仿宋_GB2312"/>
          <w:b/>
          <w:bCs/>
          <w:snapToGrid w:val="0"/>
          <w:color w:val="auto"/>
          <w:kern w:val="0"/>
          <w:sz w:val="32"/>
          <w:szCs w:val="32"/>
        </w:rPr>
        <w:t>台山、开平、恩平</w:t>
      </w:r>
      <w:r>
        <w:rPr>
          <w:rFonts w:ascii="Times New Roman" w:hAnsi="Times New Roman" w:eastAsia="仿宋_GB2312"/>
          <w:b/>
          <w:bCs/>
          <w:snapToGrid w:val="0"/>
          <w:color w:val="auto"/>
          <w:kern w:val="0"/>
          <w:sz w:val="32"/>
          <w:szCs w:val="32"/>
        </w:rPr>
        <w:t>地区</w:t>
      </w:r>
      <w:r>
        <w:rPr>
          <w:rFonts w:hint="eastAsia" w:ascii="仿宋_GB2312" w:hAnsi="仿宋_GB2312" w:eastAsia="仿宋_GB2312" w:cs="仿宋_GB2312"/>
          <w:b/>
          <w:bCs/>
          <w:snapToGrid w:val="0"/>
          <w:color w:val="auto"/>
          <w:kern w:val="0"/>
          <w:sz w:val="32"/>
          <w:szCs w:val="32"/>
          <w:lang w:val="en-US" w:eastAsia="zh-CN"/>
        </w:rPr>
        <w:t>：</w:t>
      </w:r>
      <w:r>
        <w:rPr>
          <w:rFonts w:hint="eastAsia" w:ascii="仿宋_GB2312" w:hAnsi="仿宋_GB2312" w:eastAsia="仿宋_GB2312" w:cs="仿宋_GB2312"/>
          <w:b w:val="0"/>
          <w:bCs w:val="0"/>
          <w:snapToGrid w:val="0"/>
          <w:color w:val="auto"/>
          <w:kern w:val="0"/>
          <w:sz w:val="32"/>
          <w:szCs w:val="32"/>
        </w:rPr>
        <w:t>省、市、县级财政按照</w:t>
      </w:r>
      <w:r>
        <w:rPr>
          <w:rFonts w:hint="eastAsia" w:ascii="仿宋_GB2312" w:hAnsi="仿宋_GB2312" w:eastAsia="仿宋_GB2312" w:cs="仿宋_GB2312"/>
          <w:snapToGrid w:val="0"/>
          <w:color w:val="auto"/>
          <w:kern w:val="0"/>
          <w:sz w:val="32"/>
          <w:szCs w:val="32"/>
          <w:lang w:val="en-US" w:eastAsia="zh-CN"/>
        </w:rPr>
        <w:t>6：2：2</w:t>
      </w:r>
      <w:r>
        <w:rPr>
          <w:rFonts w:hint="eastAsia" w:ascii="仿宋_GB2312" w:hAnsi="仿宋_GB2312" w:eastAsia="仿宋_GB2312" w:cs="仿宋_GB2312"/>
          <w:b w:val="0"/>
          <w:bCs w:val="0"/>
          <w:snapToGrid w:val="0"/>
          <w:color w:val="auto"/>
          <w:kern w:val="0"/>
          <w:sz w:val="32"/>
          <w:szCs w:val="32"/>
        </w:rPr>
        <w:t>比例承担所有产前筛查及诊断项目、新生儿疾病筛查项目并预拨经费至县级出生缺陷综合干预中心</w:t>
      </w:r>
      <w:r>
        <w:rPr>
          <w:rFonts w:hint="eastAsia" w:ascii="仿宋_GB2312" w:hAnsi="仿宋_GB2312" w:eastAsia="仿宋_GB2312" w:cs="仿宋_GB2312"/>
          <w:b w:val="0"/>
          <w:bCs w:val="0"/>
          <w:snapToGrid w:val="0"/>
          <w:color w:val="auto"/>
          <w:kern w:val="0"/>
          <w:sz w:val="32"/>
          <w:szCs w:val="32"/>
          <w:lang w:eastAsia="zh-CN"/>
        </w:rPr>
        <w:t>，其中市财政对新生儿遗传代谢病筛查项目补助经费提取预拨至江门市遗传代谢病筛查中心（江门市妇幼保健院）</w:t>
      </w:r>
      <w:r>
        <w:rPr>
          <w:rFonts w:hint="eastAsia" w:ascii="仿宋_GB2312" w:hAnsi="仿宋_GB2312" w:eastAsia="仿宋_GB2312" w:cs="仿宋_GB2312"/>
          <w:b w:val="0"/>
          <w:bCs w:val="0"/>
          <w:snapToGrid w:val="0"/>
          <w:color w:val="auto"/>
          <w:kern w:val="0"/>
          <w:sz w:val="32"/>
          <w:szCs w:val="32"/>
        </w:rPr>
        <w:t>。市级财政</w:t>
      </w:r>
      <w:r>
        <w:rPr>
          <w:rFonts w:hint="eastAsia" w:ascii="仿宋_GB2312" w:hAnsi="仿宋_GB2312" w:eastAsia="仿宋_GB2312" w:cs="仿宋_GB2312"/>
          <w:b w:val="0"/>
          <w:bCs w:val="0"/>
          <w:snapToGrid w:val="0"/>
          <w:color w:val="auto"/>
          <w:kern w:val="0"/>
          <w:sz w:val="32"/>
          <w:szCs w:val="32"/>
          <w:lang w:eastAsia="zh-CN"/>
        </w:rPr>
        <w:t>按</w:t>
      </w:r>
      <w:r>
        <w:rPr>
          <w:rFonts w:hint="eastAsia" w:ascii="仿宋_GB2312" w:hAnsi="仿宋_GB2312" w:eastAsia="仿宋_GB2312" w:cs="仿宋_GB2312"/>
          <w:snapToGrid w:val="0"/>
          <w:color w:val="auto"/>
          <w:kern w:val="0"/>
          <w:sz w:val="32"/>
          <w:szCs w:val="32"/>
          <w:lang w:val="en-US" w:eastAsia="zh-CN"/>
        </w:rPr>
        <w:t>105</w:t>
      </w:r>
      <w:r>
        <w:rPr>
          <w:rFonts w:hint="eastAsia" w:ascii="仿宋_GB2312" w:hAnsi="仿宋_GB2312" w:eastAsia="仿宋_GB2312" w:cs="仿宋_GB2312"/>
          <w:b w:val="0"/>
          <w:bCs w:val="0"/>
          <w:snapToGrid w:val="0"/>
          <w:color w:val="auto"/>
          <w:kern w:val="0"/>
          <w:sz w:val="32"/>
          <w:szCs w:val="32"/>
          <w:lang w:val="en-US" w:eastAsia="zh-CN"/>
        </w:rPr>
        <w:t>元/例的标准按</w:t>
      </w:r>
      <w:r>
        <w:rPr>
          <w:rFonts w:hint="eastAsia" w:ascii="仿宋_GB2312" w:hAnsi="仿宋_GB2312" w:eastAsia="仿宋_GB2312" w:cs="仿宋_GB2312"/>
          <w:b w:val="0"/>
          <w:bCs w:val="0"/>
          <w:snapToGrid w:val="0"/>
          <w:color w:val="auto"/>
          <w:kern w:val="0"/>
          <w:sz w:val="32"/>
          <w:szCs w:val="32"/>
          <w:lang w:eastAsia="zh-CN"/>
        </w:rPr>
        <w:t>任务数预拨</w:t>
      </w:r>
      <w:r>
        <w:rPr>
          <w:rFonts w:hint="eastAsia" w:ascii="仿宋_GB2312" w:hAnsi="仿宋_GB2312" w:eastAsia="仿宋_GB2312" w:cs="仿宋_GB2312"/>
          <w:b w:val="0"/>
          <w:bCs w:val="0"/>
          <w:snapToGrid w:val="0"/>
          <w:color w:val="auto"/>
          <w:kern w:val="0"/>
          <w:sz w:val="32"/>
          <w:szCs w:val="32"/>
        </w:rPr>
        <w:t>新生儿先天性心脏病筛查</w:t>
      </w:r>
      <w:r>
        <w:rPr>
          <w:rFonts w:hint="eastAsia" w:ascii="仿宋_GB2312" w:hAnsi="仿宋_GB2312" w:eastAsia="仿宋_GB2312" w:cs="仿宋_GB2312"/>
          <w:b w:val="0"/>
          <w:bCs w:val="0"/>
          <w:snapToGrid w:val="0"/>
          <w:color w:val="auto"/>
          <w:kern w:val="0"/>
          <w:sz w:val="32"/>
          <w:szCs w:val="32"/>
          <w:lang w:eastAsia="zh-CN"/>
        </w:rPr>
        <w:t>经费至项目县（市）出生缺陷综合干预中心。</w:t>
      </w:r>
    </w:p>
    <w:p w14:paraId="272C6C50">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b w:val="0"/>
          <w:bCs w:val="0"/>
          <w:snapToGrid w:val="0"/>
          <w:color w:val="0000FF"/>
          <w:kern w:val="0"/>
          <w:sz w:val="32"/>
          <w:szCs w:val="32"/>
        </w:rPr>
      </w:pPr>
      <w:r>
        <w:rPr>
          <w:rFonts w:hint="eastAsia" w:ascii="Times New Roman" w:hAnsi="Times New Roman" w:eastAsia="仿宋_GB2312"/>
          <w:b/>
          <w:bCs/>
          <w:snapToGrid w:val="0"/>
          <w:color w:val="auto"/>
          <w:kern w:val="0"/>
          <w:sz w:val="32"/>
          <w:szCs w:val="32"/>
          <w:lang w:eastAsia="zh-CN"/>
        </w:rPr>
        <w:t>蓬江、江海、新会、鹤山地区</w:t>
      </w:r>
      <w:r>
        <w:rPr>
          <w:rFonts w:hint="eastAsia" w:ascii="仿宋_GB2312" w:hAnsi="仿宋_GB2312" w:eastAsia="仿宋_GB2312" w:cs="仿宋_GB2312"/>
          <w:b/>
          <w:bCs/>
          <w:snapToGrid w:val="0"/>
          <w:color w:val="auto"/>
          <w:kern w:val="0"/>
          <w:sz w:val="32"/>
          <w:szCs w:val="32"/>
          <w:lang w:val="en-US" w:eastAsia="zh-CN"/>
        </w:rPr>
        <w:t>：</w:t>
      </w:r>
      <w:r>
        <w:rPr>
          <w:rFonts w:hint="eastAsia" w:ascii="仿宋_GB2312" w:hAnsi="仿宋_GB2312" w:eastAsia="仿宋_GB2312" w:cs="仿宋_GB2312"/>
          <w:b w:val="0"/>
          <w:bCs w:val="0"/>
          <w:snapToGrid w:val="0"/>
          <w:color w:val="auto"/>
          <w:kern w:val="0"/>
          <w:sz w:val="32"/>
          <w:szCs w:val="32"/>
        </w:rPr>
        <w:t>市级财政</w:t>
      </w:r>
      <w:r>
        <w:rPr>
          <w:rFonts w:hint="eastAsia" w:ascii="仿宋_GB2312" w:hAnsi="仿宋_GB2312" w:eastAsia="仿宋_GB2312" w:cs="仿宋_GB2312"/>
          <w:snapToGrid w:val="0"/>
          <w:color w:val="auto"/>
          <w:kern w:val="0"/>
          <w:sz w:val="32"/>
          <w:szCs w:val="32"/>
          <w:lang w:val="en-US" w:eastAsia="zh-CN"/>
        </w:rPr>
        <w:t>100%</w:t>
      </w:r>
      <w:r>
        <w:rPr>
          <w:rFonts w:hint="eastAsia" w:ascii="仿宋_GB2312" w:hAnsi="仿宋_GB2312" w:eastAsia="仿宋_GB2312" w:cs="仿宋_GB2312"/>
          <w:b w:val="0"/>
          <w:bCs w:val="0"/>
          <w:snapToGrid w:val="0"/>
          <w:color w:val="auto"/>
          <w:kern w:val="0"/>
          <w:sz w:val="32"/>
          <w:szCs w:val="32"/>
        </w:rPr>
        <w:t>承担符合补助要求的孕产妇产前诊断</w:t>
      </w:r>
      <w:r>
        <w:rPr>
          <w:rFonts w:hint="eastAsia" w:ascii="仿宋_GB2312" w:hAnsi="仿宋_GB2312" w:eastAsia="仿宋_GB2312" w:cs="仿宋_GB2312"/>
          <w:b w:val="0"/>
          <w:bCs w:val="0"/>
          <w:snapToGrid w:val="0"/>
          <w:color w:val="auto"/>
          <w:kern w:val="0"/>
          <w:sz w:val="32"/>
          <w:szCs w:val="32"/>
          <w:lang w:eastAsia="zh-CN"/>
        </w:rPr>
        <w:t>定额补助</w:t>
      </w:r>
      <w:r>
        <w:rPr>
          <w:rFonts w:hint="eastAsia" w:ascii="仿宋_GB2312" w:hAnsi="仿宋_GB2312" w:eastAsia="仿宋_GB2312" w:cs="仿宋_GB2312"/>
          <w:b w:val="0"/>
          <w:bCs w:val="0"/>
          <w:snapToGrid w:val="0"/>
          <w:color w:val="auto"/>
          <w:kern w:val="0"/>
          <w:sz w:val="32"/>
          <w:szCs w:val="32"/>
        </w:rPr>
        <w:t>和新生儿遗传代谢性疾病筛查项目</w:t>
      </w:r>
      <w:r>
        <w:rPr>
          <w:rFonts w:hint="eastAsia" w:ascii="仿宋_GB2312" w:hAnsi="仿宋_GB2312" w:eastAsia="仿宋_GB2312" w:cs="仿宋_GB2312"/>
          <w:b w:val="0"/>
          <w:bCs w:val="0"/>
          <w:snapToGrid w:val="0"/>
          <w:color w:val="auto"/>
          <w:kern w:val="0"/>
          <w:sz w:val="32"/>
          <w:szCs w:val="32"/>
          <w:lang w:eastAsia="zh-CN"/>
        </w:rPr>
        <w:t>并预拨经费至承担项目的市直医疗机构（江门市中心医院、江门市妇幼保健院），市财政按照</w:t>
      </w:r>
      <w:r>
        <w:rPr>
          <w:rFonts w:hint="eastAsia" w:ascii="仿宋_GB2312" w:hAnsi="仿宋_GB2312" w:eastAsia="仿宋_GB2312" w:cs="仿宋_GB2312"/>
          <w:snapToGrid w:val="0"/>
          <w:color w:val="auto"/>
          <w:kern w:val="0"/>
          <w:sz w:val="32"/>
          <w:szCs w:val="32"/>
          <w:lang w:val="en-US" w:eastAsia="zh-CN"/>
        </w:rPr>
        <w:t>105</w:t>
      </w:r>
      <w:r>
        <w:rPr>
          <w:rFonts w:hint="eastAsia" w:ascii="仿宋_GB2312" w:hAnsi="仿宋_GB2312" w:eastAsia="仿宋_GB2312" w:cs="仿宋_GB2312"/>
          <w:b w:val="0"/>
          <w:bCs w:val="0"/>
          <w:snapToGrid w:val="0"/>
          <w:color w:val="auto"/>
          <w:kern w:val="0"/>
          <w:sz w:val="32"/>
          <w:szCs w:val="32"/>
          <w:lang w:val="en-US" w:eastAsia="zh-CN"/>
        </w:rPr>
        <w:t>元/例的标准按任务</w:t>
      </w:r>
      <w:r>
        <w:rPr>
          <w:rFonts w:hint="eastAsia" w:ascii="仿宋_GB2312" w:hAnsi="仿宋_GB2312" w:eastAsia="仿宋_GB2312" w:cs="仿宋_GB2312"/>
          <w:b w:val="0"/>
          <w:bCs w:val="0"/>
          <w:snapToGrid w:val="0"/>
          <w:color w:val="auto"/>
          <w:kern w:val="0"/>
          <w:sz w:val="32"/>
          <w:szCs w:val="32"/>
        </w:rPr>
        <w:t>数</w:t>
      </w:r>
      <w:r>
        <w:rPr>
          <w:rFonts w:hint="eastAsia" w:ascii="仿宋_GB2312" w:hAnsi="仿宋_GB2312" w:eastAsia="仿宋_GB2312" w:cs="仿宋_GB2312"/>
          <w:b w:val="0"/>
          <w:bCs w:val="0"/>
          <w:snapToGrid w:val="0"/>
          <w:color w:val="auto"/>
          <w:kern w:val="0"/>
          <w:sz w:val="32"/>
          <w:szCs w:val="32"/>
          <w:lang w:eastAsia="zh-CN"/>
        </w:rPr>
        <w:t>预拨</w:t>
      </w:r>
      <w:r>
        <w:rPr>
          <w:rFonts w:hint="eastAsia" w:ascii="仿宋_GB2312" w:hAnsi="仿宋_GB2312" w:eastAsia="仿宋_GB2312" w:cs="仿宋_GB2312"/>
          <w:b w:val="0"/>
          <w:bCs w:val="0"/>
          <w:snapToGrid w:val="0"/>
          <w:color w:val="auto"/>
          <w:kern w:val="0"/>
          <w:sz w:val="32"/>
          <w:szCs w:val="32"/>
        </w:rPr>
        <w:t>新生儿先天性心脏病筛查</w:t>
      </w:r>
      <w:r>
        <w:rPr>
          <w:rFonts w:hint="eastAsia" w:ascii="仿宋_GB2312" w:hAnsi="仿宋_GB2312" w:eastAsia="仿宋_GB2312" w:cs="仿宋_GB2312"/>
          <w:b w:val="0"/>
          <w:bCs w:val="0"/>
          <w:snapToGrid w:val="0"/>
          <w:color w:val="auto"/>
          <w:kern w:val="0"/>
          <w:sz w:val="32"/>
          <w:szCs w:val="32"/>
          <w:lang w:eastAsia="zh-CN"/>
        </w:rPr>
        <w:t>经费至项目县（市、区）出生缺陷综合干预中心及江门市妇幼保健院</w:t>
      </w:r>
      <w:r>
        <w:rPr>
          <w:rFonts w:hint="eastAsia" w:ascii="仿宋_GB2312" w:hAnsi="仿宋_GB2312" w:eastAsia="仿宋_GB2312" w:cs="仿宋_GB2312"/>
          <w:b w:val="0"/>
          <w:bCs w:val="0"/>
          <w:snapToGrid w:val="0"/>
          <w:color w:val="auto"/>
          <w:kern w:val="0"/>
          <w:sz w:val="32"/>
          <w:szCs w:val="32"/>
        </w:rPr>
        <w:t>。</w:t>
      </w:r>
      <w:r>
        <w:rPr>
          <w:rFonts w:hint="eastAsia" w:ascii="仿宋_GB2312" w:hAnsi="仿宋_GB2312" w:eastAsia="仿宋_GB2312" w:cs="仿宋_GB2312"/>
          <w:b w:val="0"/>
          <w:bCs w:val="0"/>
          <w:snapToGrid w:val="0"/>
          <w:color w:val="auto"/>
          <w:kern w:val="0"/>
          <w:sz w:val="32"/>
          <w:szCs w:val="32"/>
          <w:lang w:eastAsia="zh-CN"/>
        </w:rPr>
        <w:t>县级财政</w:t>
      </w:r>
      <w:r>
        <w:rPr>
          <w:rFonts w:hint="eastAsia" w:ascii="仿宋_GB2312" w:hAnsi="仿宋_GB2312" w:eastAsia="仿宋_GB2312" w:cs="仿宋_GB2312"/>
          <w:snapToGrid w:val="0"/>
          <w:color w:val="auto"/>
          <w:kern w:val="0"/>
          <w:sz w:val="32"/>
          <w:szCs w:val="32"/>
          <w:lang w:val="en-US" w:eastAsia="zh-CN"/>
        </w:rPr>
        <w:t>100%</w:t>
      </w:r>
      <w:r>
        <w:rPr>
          <w:rFonts w:hint="eastAsia" w:ascii="仿宋_GB2312" w:hAnsi="仿宋_GB2312" w:eastAsia="仿宋_GB2312" w:cs="仿宋_GB2312"/>
          <w:b w:val="0"/>
          <w:bCs w:val="0"/>
          <w:snapToGrid w:val="0"/>
          <w:color w:val="auto"/>
          <w:kern w:val="0"/>
          <w:sz w:val="32"/>
          <w:szCs w:val="32"/>
          <w:lang w:val="en-US" w:eastAsia="zh-CN"/>
        </w:rPr>
        <w:t>承担符合补助要求的</w:t>
      </w:r>
      <w:r>
        <w:rPr>
          <w:rFonts w:hint="eastAsia" w:ascii="仿宋_GB2312" w:hAnsi="仿宋_GB2312" w:eastAsia="仿宋_GB2312" w:cs="仿宋_GB2312"/>
          <w:b w:val="0"/>
          <w:bCs w:val="0"/>
          <w:snapToGrid w:val="0"/>
          <w:color w:val="auto"/>
          <w:kern w:val="0"/>
          <w:sz w:val="32"/>
          <w:szCs w:val="32"/>
          <w:lang w:eastAsia="zh-CN"/>
        </w:rPr>
        <w:t>孕产妇</w:t>
      </w:r>
      <w:r>
        <w:rPr>
          <w:rFonts w:hint="eastAsia" w:ascii="仿宋_GB2312" w:hAnsi="仿宋_GB2312" w:eastAsia="仿宋_GB2312" w:cs="仿宋_GB2312"/>
          <w:b w:val="0"/>
          <w:bCs w:val="0"/>
          <w:snapToGrid w:val="0"/>
          <w:color w:val="auto"/>
          <w:kern w:val="0"/>
          <w:sz w:val="32"/>
          <w:szCs w:val="32"/>
        </w:rPr>
        <w:t>产前筛查、新生儿听力筛查、早产儿视网膜筛查</w:t>
      </w:r>
      <w:r>
        <w:rPr>
          <w:rFonts w:hint="eastAsia" w:ascii="仿宋_GB2312" w:hAnsi="仿宋_GB2312" w:eastAsia="仿宋_GB2312" w:cs="仿宋_GB2312"/>
          <w:b w:val="0"/>
          <w:bCs w:val="0"/>
          <w:snapToGrid w:val="0"/>
          <w:color w:val="auto"/>
          <w:kern w:val="0"/>
          <w:sz w:val="32"/>
          <w:szCs w:val="32"/>
          <w:lang w:eastAsia="zh-CN"/>
        </w:rPr>
        <w:t>等项目并预拨经费至县级出生缺陷综合干预中心。</w:t>
      </w:r>
    </w:p>
    <w:p w14:paraId="1808E4CE">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b w:val="0"/>
          <w:bCs w:val="0"/>
          <w:snapToGrid w:val="0"/>
          <w:color w:val="auto"/>
          <w:kern w:val="0"/>
          <w:sz w:val="32"/>
          <w:szCs w:val="32"/>
        </w:rPr>
      </w:pPr>
      <w:r>
        <w:rPr>
          <w:rFonts w:hint="eastAsia" w:ascii="仿宋_GB2312" w:hAnsi="仿宋_GB2312" w:eastAsia="仿宋_GB2312" w:cs="仿宋_GB2312"/>
          <w:b w:val="0"/>
          <w:bCs w:val="0"/>
          <w:snapToGrid w:val="0"/>
          <w:color w:val="auto"/>
          <w:kern w:val="0"/>
          <w:sz w:val="32"/>
          <w:szCs w:val="32"/>
          <w:lang w:eastAsia="zh-CN"/>
        </w:rPr>
        <w:t>（</w:t>
      </w:r>
      <w:r>
        <w:rPr>
          <w:rFonts w:hint="eastAsia" w:ascii="仿宋_GB2312" w:hAnsi="仿宋_GB2312" w:eastAsia="仿宋_GB2312" w:cs="仿宋_GB2312"/>
          <w:b w:val="0"/>
          <w:bCs w:val="0"/>
          <w:snapToGrid w:val="0"/>
          <w:color w:val="auto"/>
          <w:kern w:val="0"/>
          <w:sz w:val="32"/>
          <w:szCs w:val="32"/>
          <w:lang w:val="en-US" w:eastAsia="zh-CN"/>
        </w:rPr>
        <w:t>2</w:t>
      </w:r>
      <w:r>
        <w:rPr>
          <w:rFonts w:hint="eastAsia" w:ascii="仿宋_GB2312" w:hAnsi="仿宋_GB2312" w:eastAsia="仿宋_GB2312" w:cs="仿宋_GB2312"/>
          <w:b w:val="0"/>
          <w:bCs w:val="0"/>
          <w:snapToGrid w:val="0"/>
          <w:color w:val="auto"/>
          <w:kern w:val="0"/>
          <w:sz w:val="32"/>
          <w:szCs w:val="32"/>
          <w:lang w:eastAsia="zh-CN"/>
        </w:rPr>
        <w:t>）供方经费</w:t>
      </w:r>
    </w:p>
    <w:p w14:paraId="7AED59BC">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b w:val="0"/>
          <w:bCs w:val="0"/>
          <w:snapToGrid w:val="0"/>
          <w:color w:val="auto"/>
          <w:kern w:val="0"/>
          <w:sz w:val="32"/>
          <w:szCs w:val="32"/>
          <w:lang w:eastAsia="zh-CN"/>
        </w:rPr>
      </w:pPr>
      <w:r>
        <w:rPr>
          <w:rFonts w:hint="eastAsia" w:ascii="仿宋_GB2312" w:hAnsi="仿宋_GB2312" w:eastAsia="仿宋_GB2312" w:cs="仿宋_GB2312"/>
          <w:b w:val="0"/>
          <w:bCs w:val="0"/>
          <w:snapToGrid w:val="0"/>
          <w:color w:val="auto"/>
          <w:kern w:val="0"/>
          <w:sz w:val="32"/>
          <w:szCs w:val="32"/>
        </w:rPr>
        <w:t>省级经费</w:t>
      </w:r>
      <w:r>
        <w:rPr>
          <w:rFonts w:hint="eastAsia" w:ascii="仿宋_GB2312" w:hAnsi="仿宋_GB2312" w:eastAsia="仿宋_GB2312" w:cs="仿宋_GB2312"/>
          <w:b w:val="0"/>
          <w:bCs w:val="0"/>
          <w:snapToGrid w:val="0"/>
          <w:color w:val="auto"/>
          <w:kern w:val="0"/>
          <w:sz w:val="32"/>
          <w:szCs w:val="32"/>
          <w:lang w:eastAsia="zh-CN"/>
        </w:rPr>
        <w:t>安排</w:t>
      </w:r>
      <w:r>
        <w:rPr>
          <w:rFonts w:hint="eastAsia" w:ascii="仿宋_GB2312" w:hAnsi="仿宋_GB2312" w:eastAsia="仿宋_GB2312" w:cs="仿宋_GB2312"/>
          <w:snapToGrid w:val="0"/>
          <w:color w:val="auto"/>
          <w:kern w:val="0"/>
          <w:sz w:val="32"/>
          <w:szCs w:val="32"/>
          <w:lang w:val="en-US" w:eastAsia="zh-CN"/>
        </w:rPr>
        <w:t>12</w:t>
      </w:r>
      <w:r>
        <w:rPr>
          <w:rFonts w:hint="eastAsia" w:ascii="仿宋_GB2312" w:hAnsi="仿宋_GB2312" w:eastAsia="仿宋_GB2312" w:cs="仿宋_GB2312"/>
          <w:b w:val="0"/>
          <w:bCs w:val="0"/>
          <w:snapToGrid w:val="0"/>
          <w:color w:val="auto"/>
          <w:kern w:val="0"/>
          <w:sz w:val="32"/>
          <w:szCs w:val="32"/>
        </w:rPr>
        <w:t>万</w:t>
      </w:r>
      <w:r>
        <w:rPr>
          <w:rFonts w:hint="eastAsia" w:ascii="仿宋_GB2312" w:hAnsi="仿宋_GB2312" w:eastAsia="仿宋_GB2312" w:cs="仿宋_GB2312"/>
          <w:b w:val="0"/>
          <w:bCs w:val="0"/>
          <w:snapToGrid w:val="0"/>
          <w:color w:val="auto"/>
          <w:kern w:val="0"/>
          <w:sz w:val="32"/>
          <w:szCs w:val="32"/>
          <w:lang w:eastAsia="zh-CN"/>
        </w:rPr>
        <w:t>元</w:t>
      </w:r>
      <w:r>
        <w:rPr>
          <w:rFonts w:hint="eastAsia" w:ascii="仿宋_GB2312" w:hAnsi="仿宋_GB2312" w:eastAsia="仿宋_GB2312" w:cs="仿宋_GB2312"/>
          <w:b w:val="0"/>
          <w:bCs w:val="0"/>
          <w:snapToGrid w:val="0"/>
          <w:color w:val="auto"/>
          <w:kern w:val="0"/>
          <w:sz w:val="32"/>
          <w:szCs w:val="32"/>
        </w:rPr>
        <w:t>/年</w:t>
      </w:r>
      <w:r>
        <w:rPr>
          <w:rFonts w:hint="eastAsia" w:ascii="仿宋_GB2312" w:hAnsi="仿宋_GB2312" w:eastAsia="仿宋_GB2312" w:cs="仿宋_GB2312"/>
          <w:b w:val="0"/>
          <w:bCs w:val="0"/>
          <w:snapToGrid w:val="0"/>
          <w:color w:val="auto"/>
          <w:kern w:val="0"/>
          <w:sz w:val="32"/>
          <w:szCs w:val="32"/>
          <w:lang w:eastAsia="zh-CN"/>
        </w:rPr>
        <w:t>给市级出生缺陷综合干预中心</w:t>
      </w:r>
      <w:r>
        <w:rPr>
          <w:rFonts w:hint="eastAsia" w:ascii="仿宋_GB2312" w:hAnsi="仿宋_GB2312" w:eastAsia="仿宋_GB2312" w:cs="仿宋_GB2312"/>
          <w:b w:val="0"/>
          <w:bCs w:val="0"/>
          <w:snapToGrid w:val="0"/>
          <w:color w:val="auto"/>
          <w:kern w:val="0"/>
          <w:sz w:val="32"/>
          <w:szCs w:val="32"/>
        </w:rPr>
        <w:t>、</w:t>
      </w:r>
      <w:r>
        <w:rPr>
          <w:rFonts w:hint="eastAsia" w:ascii="仿宋_GB2312" w:hAnsi="仿宋_GB2312" w:eastAsia="仿宋_GB2312" w:cs="仿宋_GB2312"/>
          <w:b w:val="0"/>
          <w:bCs w:val="0"/>
          <w:snapToGrid w:val="0"/>
          <w:color w:val="auto"/>
          <w:kern w:val="0"/>
          <w:sz w:val="32"/>
          <w:szCs w:val="32"/>
          <w:lang w:eastAsia="zh-CN"/>
        </w:rPr>
        <w:t>安排</w:t>
      </w:r>
      <w:r>
        <w:rPr>
          <w:rFonts w:hint="eastAsia" w:ascii="仿宋_GB2312" w:hAnsi="仿宋_GB2312" w:eastAsia="仿宋_GB2312" w:cs="仿宋_GB2312"/>
          <w:snapToGrid w:val="0"/>
          <w:color w:val="auto"/>
          <w:kern w:val="0"/>
          <w:sz w:val="32"/>
          <w:szCs w:val="32"/>
          <w:lang w:val="en-US" w:eastAsia="zh-CN"/>
        </w:rPr>
        <w:t>9</w:t>
      </w:r>
      <w:r>
        <w:rPr>
          <w:rFonts w:hint="eastAsia" w:ascii="仿宋_GB2312" w:hAnsi="仿宋_GB2312" w:eastAsia="仿宋_GB2312" w:cs="仿宋_GB2312"/>
          <w:b w:val="0"/>
          <w:bCs w:val="0"/>
          <w:snapToGrid w:val="0"/>
          <w:color w:val="auto"/>
          <w:kern w:val="0"/>
          <w:sz w:val="32"/>
          <w:szCs w:val="32"/>
        </w:rPr>
        <w:t>万</w:t>
      </w:r>
      <w:r>
        <w:rPr>
          <w:rFonts w:hint="eastAsia" w:ascii="仿宋_GB2312" w:hAnsi="仿宋_GB2312" w:eastAsia="仿宋_GB2312" w:cs="仿宋_GB2312"/>
          <w:b w:val="0"/>
          <w:bCs w:val="0"/>
          <w:snapToGrid w:val="0"/>
          <w:color w:val="auto"/>
          <w:kern w:val="0"/>
          <w:sz w:val="32"/>
          <w:szCs w:val="32"/>
          <w:lang w:eastAsia="zh-CN"/>
        </w:rPr>
        <w:t>元</w:t>
      </w:r>
      <w:r>
        <w:rPr>
          <w:rFonts w:hint="eastAsia" w:ascii="仿宋_GB2312" w:hAnsi="仿宋_GB2312" w:eastAsia="仿宋_GB2312" w:cs="仿宋_GB2312"/>
          <w:b w:val="0"/>
          <w:bCs w:val="0"/>
          <w:snapToGrid w:val="0"/>
          <w:color w:val="auto"/>
          <w:kern w:val="0"/>
          <w:sz w:val="32"/>
          <w:szCs w:val="32"/>
        </w:rPr>
        <w:t>/年</w:t>
      </w:r>
      <w:r>
        <w:rPr>
          <w:rFonts w:hint="eastAsia" w:ascii="仿宋_GB2312" w:hAnsi="仿宋_GB2312" w:eastAsia="仿宋_GB2312" w:cs="仿宋_GB2312"/>
          <w:b w:val="0"/>
          <w:bCs w:val="0"/>
          <w:snapToGrid w:val="0"/>
          <w:color w:val="auto"/>
          <w:kern w:val="0"/>
          <w:sz w:val="32"/>
          <w:szCs w:val="32"/>
          <w:lang w:eastAsia="zh-CN"/>
        </w:rPr>
        <w:t>给台山市、开平市、恩平市</w:t>
      </w:r>
      <w:r>
        <w:rPr>
          <w:rFonts w:hint="eastAsia" w:ascii="仿宋_GB2312" w:hAnsi="仿宋_GB2312" w:eastAsia="仿宋_GB2312" w:cs="仿宋_GB2312"/>
          <w:b w:val="0"/>
          <w:bCs w:val="0"/>
          <w:snapToGrid w:val="0"/>
          <w:color w:val="auto"/>
          <w:kern w:val="0"/>
          <w:sz w:val="32"/>
          <w:szCs w:val="32"/>
        </w:rPr>
        <w:t>出生缺陷综合干预中心</w:t>
      </w:r>
      <w:r>
        <w:rPr>
          <w:rFonts w:hint="eastAsia" w:ascii="仿宋_GB2312" w:hAnsi="仿宋_GB2312" w:eastAsia="仿宋_GB2312" w:cs="仿宋_GB2312"/>
          <w:b w:val="0"/>
          <w:bCs w:val="0"/>
          <w:snapToGrid w:val="0"/>
          <w:color w:val="auto"/>
          <w:kern w:val="0"/>
          <w:sz w:val="32"/>
          <w:szCs w:val="32"/>
          <w:lang w:eastAsia="zh-CN"/>
        </w:rPr>
        <w:t>使用；</w:t>
      </w:r>
      <w:r>
        <w:rPr>
          <w:rFonts w:hint="eastAsia" w:ascii="仿宋_GB2312" w:hAnsi="仿宋_GB2312" w:eastAsia="仿宋_GB2312" w:cs="仿宋_GB2312"/>
          <w:b w:val="0"/>
          <w:bCs w:val="0"/>
          <w:snapToGrid w:val="0"/>
          <w:color w:val="auto"/>
          <w:kern w:val="0"/>
          <w:sz w:val="32"/>
          <w:szCs w:val="32"/>
        </w:rPr>
        <w:t>市级经费</w:t>
      </w:r>
      <w:r>
        <w:rPr>
          <w:rFonts w:hint="eastAsia" w:ascii="仿宋_GB2312" w:hAnsi="仿宋_GB2312" w:eastAsia="仿宋_GB2312" w:cs="仿宋_GB2312"/>
          <w:b w:val="0"/>
          <w:bCs w:val="0"/>
          <w:snapToGrid w:val="0"/>
          <w:color w:val="auto"/>
          <w:kern w:val="0"/>
          <w:sz w:val="32"/>
          <w:szCs w:val="32"/>
          <w:lang w:eastAsia="zh-CN"/>
        </w:rPr>
        <w:t>安排</w:t>
      </w:r>
      <w:r>
        <w:rPr>
          <w:rFonts w:hint="eastAsia" w:ascii="仿宋_GB2312" w:hAnsi="仿宋_GB2312" w:eastAsia="仿宋_GB2312" w:cs="仿宋_GB2312"/>
          <w:snapToGrid w:val="0"/>
          <w:color w:val="auto"/>
          <w:kern w:val="0"/>
          <w:sz w:val="32"/>
          <w:szCs w:val="32"/>
          <w:lang w:val="en-US" w:eastAsia="zh-CN"/>
        </w:rPr>
        <w:t>12</w:t>
      </w:r>
      <w:r>
        <w:rPr>
          <w:rFonts w:hint="eastAsia" w:ascii="仿宋_GB2312" w:hAnsi="仿宋_GB2312" w:eastAsia="仿宋_GB2312" w:cs="仿宋_GB2312"/>
          <w:b w:val="0"/>
          <w:bCs w:val="0"/>
          <w:snapToGrid w:val="0"/>
          <w:color w:val="auto"/>
          <w:kern w:val="0"/>
          <w:sz w:val="32"/>
          <w:szCs w:val="32"/>
        </w:rPr>
        <w:t>万</w:t>
      </w:r>
      <w:r>
        <w:rPr>
          <w:rFonts w:hint="eastAsia" w:ascii="仿宋_GB2312" w:hAnsi="仿宋_GB2312" w:eastAsia="仿宋_GB2312" w:cs="仿宋_GB2312"/>
          <w:b w:val="0"/>
          <w:bCs w:val="0"/>
          <w:snapToGrid w:val="0"/>
          <w:color w:val="auto"/>
          <w:kern w:val="0"/>
          <w:sz w:val="32"/>
          <w:szCs w:val="32"/>
          <w:lang w:eastAsia="zh-CN"/>
        </w:rPr>
        <w:t>元</w:t>
      </w:r>
      <w:r>
        <w:rPr>
          <w:rFonts w:hint="eastAsia" w:ascii="仿宋_GB2312" w:hAnsi="仿宋_GB2312" w:eastAsia="仿宋_GB2312" w:cs="仿宋_GB2312"/>
          <w:b w:val="0"/>
          <w:bCs w:val="0"/>
          <w:snapToGrid w:val="0"/>
          <w:color w:val="auto"/>
          <w:kern w:val="0"/>
          <w:sz w:val="32"/>
          <w:szCs w:val="32"/>
        </w:rPr>
        <w:t>/年</w:t>
      </w:r>
      <w:r>
        <w:rPr>
          <w:rFonts w:hint="eastAsia" w:ascii="仿宋_GB2312" w:hAnsi="仿宋_GB2312" w:eastAsia="仿宋_GB2312" w:cs="仿宋_GB2312"/>
          <w:b w:val="0"/>
          <w:bCs w:val="0"/>
          <w:snapToGrid w:val="0"/>
          <w:color w:val="auto"/>
          <w:kern w:val="0"/>
          <w:sz w:val="32"/>
          <w:szCs w:val="32"/>
          <w:lang w:eastAsia="zh-CN"/>
        </w:rPr>
        <w:t>给</w:t>
      </w:r>
      <w:r>
        <w:rPr>
          <w:rFonts w:hint="eastAsia" w:ascii="仿宋_GB2312" w:hAnsi="仿宋_GB2312" w:eastAsia="仿宋_GB2312" w:cs="仿宋_GB2312"/>
          <w:b w:val="0"/>
          <w:bCs w:val="0"/>
          <w:snapToGrid w:val="0"/>
          <w:color w:val="auto"/>
          <w:kern w:val="0"/>
          <w:sz w:val="32"/>
          <w:szCs w:val="32"/>
        </w:rPr>
        <w:t>市级出生缺陷干预中心</w:t>
      </w:r>
      <w:r>
        <w:rPr>
          <w:rFonts w:hint="eastAsia" w:ascii="仿宋_GB2312" w:hAnsi="仿宋_GB2312" w:eastAsia="仿宋_GB2312" w:cs="仿宋_GB2312"/>
          <w:b w:val="0"/>
          <w:bCs w:val="0"/>
          <w:snapToGrid w:val="0"/>
          <w:color w:val="auto"/>
          <w:kern w:val="0"/>
          <w:sz w:val="32"/>
          <w:szCs w:val="32"/>
          <w:lang w:eastAsia="zh-CN"/>
        </w:rPr>
        <w:t>使用，安排</w:t>
      </w:r>
      <w:r>
        <w:rPr>
          <w:rFonts w:hint="eastAsia" w:ascii="仿宋_GB2312" w:hAnsi="仿宋_GB2312" w:eastAsia="仿宋_GB2312" w:cs="仿宋_GB2312"/>
          <w:snapToGrid w:val="0"/>
          <w:color w:val="auto"/>
          <w:kern w:val="0"/>
          <w:sz w:val="32"/>
          <w:szCs w:val="32"/>
          <w:lang w:val="en-US" w:eastAsia="zh-CN"/>
        </w:rPr>
        <w:t>1-3</w:t>
      </w:r>
      <w:r>
        <w:rPr>
          <w:rFonts w:hint="eastAsia" w:ascii="仿宋_GB2312" w:hAnsi="仿宋_GB2312" w:eastAsia="仿宋_GB2312" w:cs="仿宋_GB2312"/>
          <w:b w:val="0"/>
          <w:bCs w:val="0"/>
          <w:snapToGrid w:val="0"/>
          <w:color w:val="auto"/>
          <w:kern w:val="0"/>
          <w:sz w:val="32"/>
          <w:szCs w:val="32"/>
          <w:lang w:val="en-US" w:eastAsia="zh-CN"/>
        </w:rPr>
        <w:t>万元/年给市中心医院、市五邑中医院、市人民医使用</w:t>
      </w:r>
      <w:r>
        <w:rPr>
          <w:rFonts w:hint="eastAsia" w:ascii="仿宋_GB2312" w:hAnsi="仿宋_GB2312" w:eastAsia="仿宋_GB2312" w:cs="仿宋_GB2312"/>
          <w:b w:val="0"/>
          <w:bCs w:val="0"/>
          <w:snapToGrid w:val="0"/>
          <w:color w:val="auto"/>
          <w:kern w:val="0"/>
          <w:sz w:val="32"/>
          <w:szCs w:val="32"/>
          <w:lang w:eastAsia="zh-CN"/>
        </w:rPr>
        <w:t>；各县（市、区）结合实际安排供方经费。各级出生缺陷综合干预中心结合项目管理要求、工作重点，拟定年度工作计划，依规列支相关费用。</w:t>
      </w:r>
    </w:p>
    <w:p w14:paraId="7A958D74">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b w:val="0"/>
          <w:bCs w:val="0"/>
          <w:snapToGrid w:val="0"/>
          <w:color w:val="auto"/>
          <w:kern w:val="0"/>
          <w:sz w:val="32"/>
          <w:szCs w:val="32"/>
          <w:lang w:eastAsia="zh-CN"/>
        </w:rPr>
      </w:pPr>
      <w:r>
        <w:rPr>
          <w:rFonts w:hint="eastAsia" w:ascii="仿宋_GB2312" w:hAnsi="仿宋_GB2312" w:eastAsia="仿宋_GB2312" w:cs="仿宋_GB2312"/>
          <w:b/>
          <w:bCs/>
          <w:snapToGrid w:val="0"/>
          <w:color w:val="auto"/>
          <w:kern w:val="0"/>
          <w:sz w:val="32"/>
          <w:szCs w:val="32"/>
          <w:lang w:eastAsia="zh-CN"/>
        </w:rPr>
        <w:t>2.即时减免。</w:t>
      </w:r>
      <w:r>
        <w:rPr>
          <w:rFonts w:hint="eastAsia" w:ascii="仿宋_GB2312" w:hAnsi="仿宋_GB2312" w:eastAsia="仿宋_GB2312" w:cs="仿宋_GB2312"/>
          <w:b w:val="0"/>
          <w:bCs w:val="0"/>
          <w:snapToGrid w:val="0"/>
          <w:color w:val="auto"/>
          <w:kern w:val="0"/>
          <w:sz w:val="32"/>
          <w:szCs w:val="32"/>
          <w:lang w:eastAsia="zh-CN"/>
        </w:rPr>
        <w:t>对于符合目标人群相应环节阶段的筛查和诊断服务，各定点服务机构均可直接自符合阶段起纳入实施，获得该阶段的费用减免，各定点服务机构按例、据实、即时定额减免。已通过医保报销的项目，不再纳入财政补助范围。</w:t>
      </w:r>
    </w:p>
    <w:p w14:paraId="72B53A30">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Times New Roman" w:hAnsi="Times New Roman" w:eastAsia="仿宋_GB2312"/>
          <w:snapToGrid w:val="0"/>
          <w:color w:val="auto"/>
          <w:kern w:val="0"/>
          <w:sz w:val="32"/>
          <w:szCs w:val="32"/>
          <w:lang w:eastAsia="zh-CN"/>
        </w:rPr>
      </w:pPr>
      <w:r>
        <w:rPr>
          <w:rFonts w:hint="eastAsia" w:ascii="仿宋_GB2312" w:hAnsi="仿宋_GB2312" w:eastAsia="仿宋_GB2312" w:cs="仿宋_GB2312"/>
          <w:b/>
          <w:bCs/>
          <w:snapToGrid w:val="0"/>
          <w:color w:val="auto"/>
          <w:kern w:val="0"/>
          <w:sz w:val="32"/>
          <w:szCs w:val="32"/>
          <w:lang w:val="en-US" w:eastAsia="zh-CN"/>
        </w:rPr>
        <w:t>3</w:t>
      </w:r>
      <w:r>
        <w:rPr>
          <w:rFonts w:hint="eastAsia" w:ascii="仿宋_GB2312" w:hAnsi="仿宋_GB2312" w:eastAsia="仿宋_GB2312" w:cs="仿宋_GB2312"/>
          <w:b/>
          <w:bCs/>
          <w:snapToGrid w:val="0"/>
          <w:color w:val="auto"/>
          <w:kern w:val="0"/>
          <w:sz w:val="32"/>
          <w:szCs w:val="32"/>
        </w:rPr>
        <w:t>.据实结算</w:t>
      </w:r>
      <w:r>
        <w:rPr>
          <w:rFonts w:hint="eastAsia" w:ascii="仿宋_GB2312" w:hAnsi="仿宋_GB2312" w:eastAsia="仿宋_GB2312" w:cs="仿宋_GB2312"/>
          <w:b/>
          <w:bCs/>
          <w:snapToGrid w:val="0"/>
          <w:color w:val="auto"/>
          <w:kern w:val="0"/>
          <w:sz w:val="32"/>
          <w:szCs w:val="32"/>
          <w:lang w:eastAsia="zh-CN"/>
        </w:rPr>
        <w:t>。</w:t>
      </w:r>
      <w:r>
        <w:rPr>
          <w:rFonts w:hint="eastAsia" w:ascii="Times New Roman" w:hAnsi="Times New Roman" w:eastAsia="仿宋_GB2312"/>
          <w:b w:val="0"/>
          <w:bCs w:val="0"/>
          <w:snapToGrid w:val="0"/>
          <w:color w:val="auto"/>
          <w:kern w:val="0"/>
          <w:sz w:val="32"/>
          <w:szCs w:val="32"/>
          <w:lang w:eastAsia="zh-CN"/>
        </w:rPr>
        <w:t>各</w:t>
      </w:r>
      <w:r>
        <w:rPr>
          <w:rFonts w:hint="eastAsia" w:ascii="Times New Roman" w:hAnsi="Times New Roman" w:eastAsia="仿宋_GB2312"/>
          <w:snapToGrid w:val="0"/>
          <w:color w:val="auto"/>
          <w:kern w:val="0"/>
          <w:sz w:val="32"/>
          <w:szCs w:val="32"/>
        </w:rPr>
        <w:t>定点服务机构应在江门市妇幼卫生信息平台为服务对象建立健全电子家庭档案。电子档案内容包括：实名身份信息、财政补助信息、检查项目结果等。县级出生缺陷综合干预中心每月审核定点服务机构数据后，按照</w:t>
      </w:r>
      <w:r>
        <w:rPr>
          <w:rFonts w:hint="eastAsia" w:ascii="Times New Roman" w:hAnsi="Times New Roman" w:eastAsia="仿宋_GB2312"/>
          <w:snapToGrid w:val="0"/>
          <w:color w:val="auto"/>
          <w:kern w:val="0"/>
          <w:sz w:val="32"/>
          <w:szCs w:val="32"/>
          <w:lang w:eastAsia="zh-CN"/>
        </w:rPr>
        <w:t>实际完成例数</w:t>
      </w:r>
      <w:r>
        <w:rPr>
          <w:rFonts w:hint="eastAsia" w:ascii="Times New Roman" w:hAnsi="Times New Roman" w:eastAsia="仿宋_GB2312"/>
          <w:snapToGrid w:val="0"/>
          <w:color w:val="auto"/>
          <w:kern w:val="0"/>
          <w:sz w:val="32"/>
          <w:szCs w:val="32"/>
        </w:rPr>
        <w:t>和结算标准定期与市级新生儿遗传代谢性疾病筛查中心、各定点服务机构进行结算</w:t>
      </w:r>
      <w:r>
        <w:rPr>
          <w:rFonts w:hint="eastAsia" w:ascii="Times New Roman" w:hAnsi="Times New Roman" w:eastAsia="仿宋_GB2312"/>
          <w:snapToGrid w:val="0"/>
          <w:color w:val="auto"/>
          <w:kern w:val="0"/>
          <w:sz w:val="32"/>
          <w:szCs w:val="32"/>
          <w:lang w:eastAsia="zh-CN"/>
        </w:rPr>
        <w:t>，不足或结余的在下一年度经费中补足或抵扣。</w:t>
      </w:r>
    </w:p>
    <w:p w14:paraId="719B4DDA">
      <w:pPr>
        <w:keepNext w:val="0"/>
        <w:keepLines w:val="0"/>
        <w:pageBreakBefore w:val="0"/>
        <w:kinsoku/>
        <w:wordWrap/>
        <w:overflowPunct/>
        <w:topLinePunct w:val="0"/>
        <w:autoSpaceDE/>
        <w:autoSpaceDN/>
        <w:bidi w:val="0"/>
        <w:spacing w:line="560" w:lineRule="exact"/>
        <w:ind w:firstLine="606" w:firstLineChars="200"/>
        <w:textAlignment w:val="auto"/>
        <w:rPr>
          <w:rFonts w:ascii="Times New Roman" w:hAnsi="Times New Roman" w:eastAsia="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lang w:val="en-US" w:eastAsia="zh-CN"/>
        </w:rPr>
        <w:t>4</w:t>
      </w:r>
      <w:r>
        <w:rPr>
          <w:rFonts w:hint="eastAsia" w:ascii="仿宋_GB2312" w:hAnsi="仿宋_GB2312" w:eastAsia="仿宋_GB2312" w:cs="仿宋_GB2312"/>
          <w:b/>
          <w:bCs/>
          <w:snapToGrid w:val="0"/>
          <w:color w:val="auto"/>
          <w:kern w:val="0"/>
          <w:sz w:val="32"/>
          <w:szCs w:val="32"/>
        </w:rPr>
        <w:t>.结算流程</w:t>
      </w:r>
      <w:r>
        <w:rPr>
          <w:rFonts w:hint="eastAsia" w:ascii="仿宋_GB2312" w:hAnsi="仿宋_GB2312" w:eastAsia="仿宋_GB2312" w:cs="仿宋_GB2312"/>
          <w:b/>
          <w:bCs/>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各定点服务机构通过市江门市妇幼卫生信息平台录入上一月实际发生的补助清单，经逐级综合干预中心审核后，由各县级出生缺陷综合干预中心将上一月定点服务机构补助情况报表汇总至各县（市、区）卫生健康局，经各县（市、区）卫生健康局审核确认后</w:t>
      </w:r>
      <w:r>
        <w:rPr>
          <w:rFonts w:hint="eastAsia" w:ascii="仿宋_GB2312" w:hAnsi="仿宋_GB2312" w:eastAsia="仿宋_GB2312" w:cs="仿宋_GB2312"/>
          <w:snapToGrid w:val="0"/>
          <w:color w:val="auto"/>
          <w:kern w:val="0"/>
          <w:sz w:val="32"/>
          <w:szCs w:val="32"/>
          <w:lang w:eastAsia="zh-CN"/>
        </w:rPr>
        <w:t>由县级出生缺陷综合干预中心</w:t>
      </w:r>
      <w:r>
        <w:rPr>
          <w:rFonts w:hint="eastAsia" w:ascii="仿宋_GB2312" w:hAnsi="仿宋_GB2312" w:eastAsia="仿宋_GB2312" w:cs="仿宋_GB2312"/>
          <w:snapToGrid w:val="0"/>
          <w:color w:val="auto"/>
          <w:kern w:val="0"/>
          <w:sz w:val="32"/>
          <w:szCs w:val="32"/>
        </w:rPr>
        <w:t>统筹根据上一月补助情况与各定点服务机构进行经费结算（具体</w:t>
      </w:r>
      <w:r>
        <w:rPr>
          <w:rFonts w:hint="eastAsia" w:ascii="仿宋_GB2312" w:hAnsi="仿宋_GB2312" w:eastAsia="仿宋_GB2312" w:cs="仿宋_GB2312"/>
          <w:snapToGrid w:val="0"/>
          <w:color w:val="auto"/>
          <w:kern w:val="0"/>
          <w:sz w:val="32"/>
          <w:szCs w:val="32"/>
          <w:lang w:eastAsia="zh-CN"/>
        </w:rPr>
        <w:t>预拨和结算要求</w:t>
      </w:r>
      <w:r>
        <w:rPr>
          <w:rFonts w:hint="eastAsia" w:ascii="仿宋_GB2312" w:hAnsi="仿宋_GB2312" w:eastAsia="仿宋_GB2312" w:cs="仿宋_GB2312"/>
          <w:snapToGrid w:val="0"/>
          <w:color w:val="auto"/>
          <w:kern w:val="0"/>
          <w:sz w:val="32"/>
          <w:szCs w:val="32"/>
        </w:rPr>
        <w:t>见附件</w:t>
      </w:r>
      <w:r>
        <w:rPr>
          <w:rFonts w:hint="eastAsia" w:ascii="仿宋_GB2312" w:hAnsi="仿宋_GB2312" w:eastAsia="仿宋_GB2312" w:cs="仿宋_GB2312"/>
          <w:snapToGrid w:val="0"/>
          <w:color w:val="auto"/>
          <w:kern w:val="0"/>
          <w:sz w:val="32"/>
          <w:szCs w:val="32"/>
          <w:lang w:val="en-US" w:eastAsia="zh-CN"/>
        </w:rPr>
        <w:t>2</w:t>
      </w:r>
      <w:r>
        <w:rPr>
          <w:rFonts w:hint="eastAsia" w:ascii="仿宋_GB2312" w:hAnsi="仿宋_GB2312" w:eastAsia="仿宋_GB2312" w:cs="仿宋_GB2312"/>
          <w:snapToGrid w:val="0"/>
          <w:color w:val="auto"/>
          <w:kern w:val="0"/>
          <w:sz w:val="32"/>
          <w:szCs w:val="32"/>
        </w:rPr>
        <w:t>）。</w:t>
      </w:r>
    </w:p>
    <w:p w14:paraId="48C7FA60">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Times New Roman" w:hAnsi="Times New Roman" w:eastAsia="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lang w:val="en-US" w:eastAsia="zh-CN"/>
        </w:rPr>
        <w:t>5</w:t>
      </w:r>
      <w:r>
        <w:rPr>
          <w:rFonts w:hint="eastAsia" w:ascii="仿宋_GB2312" w:hAnsi="仿宋_GB2312" w:eastAsia="仿宋_GB2312" w:cs="仿宋_GB2312"/>
          <w:b/>
          <w:bCs/>
          <w:snapToGrid w:val="0"/>
          <w:color w:val="auto"/>
          <w:kern w:val="0"/>
          <w:sz w:val="32"/>
          <w:szCs w:val="32"/>
        </w:rPr>
        <w:t>.专款专用</w:t>
      </w:r>
      <w:r>
        <w:rPr>
          <w:rFonts w:hint="eastAsia" w:ascii="仿宋_GB2312" w:hAnsi="仿宋_GB2312" w:eastAsia="仿宋_GB2312" w:cs="仿宋_GB2312"/>
          <w:b/>
          <w:bCs/>
          <w:snapToGrid w:val="0"/>
          <w:color w:val="auto"/>
          <w:kern w:val="0"/>
          <w:sz w:val="32"/>
          <w:szCs w:val="32"/>
          <w:lang w:eastAsia="zh-CN"/>
        </w:rPr>
        <w:t>。</w:t>
      </w:r>
      <w:r>
        <w:rPr>
          <w:rFonts w:ascii="Times New Roman" w:hAnsi="Times New Roman" w:eastAsia="仿宋_GB2312"/>
          <w:snapToGrid w:val="0"/>
          <w:color w:val="auto"/>
          <w:kern w:val="0"/>
          <w:sz w:val="32"/>
          <w:szCs w:val="32"/>
        </w:rPr>
        <w:t>项目补助资金必须专款专用，专账核算，其中</w:t>
      </w:r>
      <w:r>
        <w:rPr>
          <w:rFonts w:hint="eastAsia" w:ascii="Times New Roman" w:hAnsi="Times New Roman" w:eastAsia="仿宋_GB2312"/>
          <w:snapToGrid w:val="0"/>
          <w:color w:val="auto"/>
          <w:kern w:val="0"/>
          <w:sz w:val="32"/>
          <w:szCs w:val="32"/>
          <w:lang w:eastAsia="zh-CN"/>
        </w:rPr>
        <w:t>，</w:t>
      </w:r>
      <w:r>
        <w:rPr>
          <w:rFonts w:ascii="Times New Roman" w:hAnsi="Times New Roman" w:eastAsia="仿宋_GB2312"/>
          <w:snapToGrid w:val="0"/>
          <w:color w:val="auto"/>
          <w:kern w:val="0"/>
          <w:sz w:val="32"/>
          <w:szCs w:val="32"/>
        </w:rPr>
        <w:t>需方补助作为医疗业务收入核算，供方补助作为财政补助收入核算。任何单位和个人不得截留、挤占和挪用专项补助资金。</w:t>
      </w:r>
      <w:r>
        <w:rPr>
          <w:rFonts w:hint="eastAsia" w:ascii="Times New Roman" w:hAnsi="Times New Roman" w:eastAsia="仿宋_GB2312"/>
          <w:snapToGrid w:val="0"/>
          <w:color w:val="auto"/>
          <w:kern w:val="0"/>
          <w:sz w:val="32"/>
          <w:szCs w:val="32"/>
        </w:rPr>
        <w:t>属《中华人民共和国政府采购法》和省政府采购管理有关规定范围的，必须严格按政府采购制度执行。</w:t>
      </w:r>
    </w:p>
    <w:p w14:paraId="1F2FA5D3">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Times New Roman" w:hAnsi="Times New Roman" w:eastAsia="仿宋_GB2312"/>
          <w:snapToGrid w:val="0"/>
          <w:color w:val="auto"/>
          <w:kern w:val="0"/>
          <w:sz w:val="32"/>
          <w:szCs w:val="32"/>
        </w:rPr>
      </w:pPr>
      <w:r>
        <w:rPr>
          <w:rFonts w:hint="eastAsia" w:ascii="Times New Roman" w:hAnsi="Times New Roman" w:eastAsia="仿宋_GB2312"/>
          <w:snapToGrid w:val="0"/>
          <w:color w:val="auto"/>
          <w:kern w:val="0"/>
          <w:sz w:val="32"/>
          <w:szCs w:val="32"/>
        </w:rPr>
        <w:t>各项目单位要按照本方案要求，加快项目实施进度，确保项目完成质量。要严格执行现行各类财务规章制度，各项支出必须控制在规定用途和范围内，严格执行专账核算制度，确保资金专款专用。</w:t>
      </w:r>
    </w:p>
    <w:p w14:paraId="0FF09237">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Times New Roman" w:hAnsi="Times New Roman" w:eastAsia="楷体_GB2312"/>
          <w:snapToGrid w:val="0"/>
          <w:color w:val="auto"/>
          <w:kern w:val="0"/>
          <w:sz w:val="32"/>
          <w:szCs w:val="32"/>
        </w:rPr>
      </w:pPr>
      <w:r>
        <w:rPr>
          <w:rFonts w:hint="eastAsia" w:ascii="楷体" w:hAnsi="楷体" w:eastAsia="楷体" w:cs="楷体"/>
          <w:snapToGrid w:val="0"/>
          <w:color w:val="auto"/>
          <w:kern w:val="0"/>
          <w:sz w:val="32"/>
          <w:szCs w:val="32"/>
        </w:rPr>
        <w:t>（四）信息管理要求</w:t>
      </w:r>
    </w:p>
    <w:p w14:paraId="79D1145F">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按照《广东省卫生健康委办公室关于印发广东省妇幼健康信息平台全面上线工作方案的通知》（粤卫办妇幼函〔2020〕3号）要求，定点</w:t>
      </w:r>
      <w:r>
        <w:rPr>
          <w:rFonts w:hint="eastAsia" w:ascii="仿宋_GB2312" w:hAnsi="仿宋_GB2312" w:eastAsia="仿宋_GB2312" w:cs="仿宋_GB2312"/>
          <w:snapToGrid w:val="0"/>
          <w:color w:val="auto"/>
          <w:kern w:val="0"/>
          <w:sz w:val="32"/>
          <w:szCs w:val="32"/>
          <w:lang w:eastAsia="zh-CN"/>
        </w:rPr>
        <w:t>服务</w:t>
      </w:r>
      <w:r>
        <w:rPr>
          <w:rFonts w:hint="eastAsia" w:ascii="仿宋_GB2312" w:hAnsi="仿宋_GB2312" w:eastAsia="仿宋_GB2312" w:cs="仿宋_GB2312"/>
          <w:snapToGrid w:val="0"/>
          <w:color w:val="auto"/>
          <w:kern w:val="0"/>
          <w:sz w:val="32"/>
          <w:szCs w:val="32"/>
        </w:rPr>
        <w:t>机构要在市江门市妇幼卫生信息平台及时为群众建立婚前医学检查、孕前优生健康检查、孕期档案、出生缺陷防治信息电子档案，完善出生缺陷防治全程服务信息，推动数据互联互通。</w:t>
      </w:r>
    </w:p>
    <w:p w14:paraId="39EED018">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Times New Roman" w:hAnsi="Times New Roman" w:eastAsia="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1.市系统建档。</w:t>
      </w:r>
      <w:r>
        <w:rPr>
          <w:rFonts w:hint="eastAsia" w:ascii="仿宋_GB2312" w:hAnsi="仿宋_GB2312" w:eastAsia="仿宋_GB2312" w:cs="仿宋_GB2312"/>
          <w:snapToGrid w:val="0"/>
          <w:color w:val="auto"/>
          <w:kern w:val="0"/>
          <w:sz w:val="32"/>
          <w:szCs w:val="32"/>
        </w:rPr>
        <w:t>各定点服务机构应安排专人负责，登录市系统，在对象参加婚前检查、孕前优生检查、孕期检查、新生儿疾病筛查时，为对象建档并指导对象扫描使用“广东母子健康e手册”微信小程序。</w:t>
      </w:r>
    </w:p>
    <w:p w14:paraId="01D1B1B5">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2.项目电子券。</w:t>
      </w:r>
      <w:r>
        <w:rPr>
          <w:rFonts w:hint="eastAsia" w:ascii="仿宋_GB2312" w:hAnsi="仿宋_GB2312" w:eastAsia="仿宋_GB2312" w:cs="仿宋_GB2312"/>
          <w:snapToGrid w:val="0"/>
          <w:color w:val="auto"/>
          <w:kern w:val="0"/>
          <w:sz w:val="32"/>
          <w:szCs w:val="32"/>
        </w:rPr>
        <w:t>项目目标人群在市系统建孕产</w:t>
      </w:r>
      <w:r>
        <w:rPr>
          <w:rFonts w:hint="eastAsia" w:ascii="仿宋_GB2312" w:hAnsi="仿宋_GB2312" w:eastAsia="仿宋_GB2312" w:cs="仿宋_GB2312"/>
          <w:snapToGrid w:val="0"/>
          <w:color w:val="auto"/>
          <w:kern w:val="0"/>
          <w:sz w:val="32"/>
          <w:szCs w:val="32"/>
          <w:lang w:eastAsia="zh-CN"/>
        </w:rPr>
        <w:t>妇</w:t>
      </w:r>
      <w:r>
        <w:rPr>
          <w:rFonts w:hint="eastAsia" w:ascii="仿宋_GB2312" w:hAnsi="仿宋_GB2312" w:eastAsia="仿宋_GB2312" w:cs="仿宋_GB2312"/>
          <w:snapToGrid w:val="0"/>
          <w:color w:val="auto"/>
          <w:kern w:val="0"/>
          <w:sz w:val="32"/>
          <w:szCs w:val="32"/>
        </w:rPr>
        <w:t>档案后，市系统将生成出生缺陷项目电子券，发送到孕妇手机上的“广东母子健康e手册”微信小程序。孕妇凭电子券在定点服务机构接受产前筛查、产前诊断和新生儿疾病筛查免费或定额减免服务。</w:t>
      </w:r>
    </w:p>
    <w:p w14:paraId="11EDD430">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3.信息录入。</w:t>
      </w:r>
      <w:r>
        <w:rPr>
          <w:rFonts w:hint="eastAsia" w:ascii="仿宋_GB2312" w:hAnsi="仿宋_GB2312" w:eastAsia="仿宋_GB2312" w:cs="仿宋_GB2312"/>
          <w:snapToGrid w:val="0"/>
          <w:color w:val="auto"/>
          <w:kern w:val="0"/>
          <w:sz w:val="32"/>
          <w:szCs w:val="32"/>
        </w:rPr>
        <w:t>定点服务机构根据“广东母子健康e手册” 电子券进行服务对象身份确认，就地现场减免费用。并按照“谁服务、谁上报、谁负责”原则，将本机构承担</w:t>
      </w:r>
      <w:r>
        <w:rPr>
          <w:rFonts w:hint="eastAsia" w:ascii="仿宋_GB2312" w:hAnsi="仿宋_GB2312" w:eastAsia="仿宋_GB2312" w:cs="仿宋_GB2312"/>
          <w:snapToGrid w:val="0"/>
          <w:color w:val="auto"/>
          <w:kern w:val="0"/>
          <w:sz w:val="32"/>
          <w:szCs w:val="32"/>
          <w:lang w:eastAsia="zh-CN"/>
        </w:rPr>
        <w:t>的</w:t>
      </w:r>
      <w:r>
        <w:rPr>
          <w:rFonts w:hint="eastAsia" w:ascii="仿宋_GB2312" w:hAnsi="仿宋_GB2312" w:eastAsia="仿宋_GB2312" w:cs="仿宋_GB2312"/>
          <w:snapToGrid w:val="0"/>
          <w:color w:val="auto"/>
          <w:kern w:val="0"/>
          <w:sz w:val="32"/>
          <w:szCs w:val="32"/>
        </w:rPr>
        <w:t>所有产前筛查、产前诊断、新生儿遗传代谢病筛查、听力筛查、早产儿视网膜筛查个案结果（含省财政补助、医保支付或对象自费项目</w:t>
      </w:r>
      <w:bookmarkStart w:id="0" w:name="_GoBack"/>
      <w:bookmarkEnd w:id="0"/>
      <w:r>
        <w:rPr>
          <w:rFonts w:hint="eastAsia" w:ascii="仿宋_GB2312" w:hAnsi="仿宋_GB2312" w:eastAsia="仿宋_GB2312" w:cs="仿宋_GB2312"/>
          <w:snapToGrid w:val="0"/>
          <w:color w:val="auto"/>
          <w:kern w:val="0"/>
          <w:sz w:val="32"/>
          <w:szCs w:val="32"/>
        </w:rPr>
        <w:t>）3天内上报（录入）市系统，群众可以通过</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val="en-US" w:eastAsia="zh-CN"/>
        </w:rPr>
        <w:t>广东</w:t>
      </w:r>
      <w:r>
        <w:rPr>
          <w:rFonts w:hint="eastAsia" w:ascii="仿宋_GB2312" w:hAnsi="仿宋_GB2312" w:eastAsia="仿宋_GB2312" w:cs="仿宋_GB2312"/>
          <w:snapToGrid w:val="0"/>
          <w:color w:val="auto"/>
          <w:kern w:val="0"/>
          <w:sz w:val="32"/>
          <w:szCs w:val="32"/>
        </w:rPr>
        <w:t>母子健康e手册”，查看检查结果信息。</w:t>
      </w:r>
    </w:p>
    <w:p w14:paraId="6586A9D1">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snapToGrid w:val="0"/>
          <w:color w:val="auto"/>
          <w:kern w:val="0"/>
          <w:sz w:val="32"/>
          <w:szCs w:val="32"/>
        </w:rPr>
        <w:t>所有可提供新生儿先天性心脏病筛查、诊断、治疗服务的机构，需将新生儿先天性心脏病筛查、诊断、随访、治疗结果录入至在新生儿先天性心脏病筛查工作信息管理系统(http://www.nchd.org.cn/Admin/System/Admins/login)</w:t>
      </w:r>
      <w:r>
        <w:rPr>
          <w:rFonts w:hint="eastAsia" w:ascii="仿宋_GB2312" w:hAnsi="仿宋_GB2312" w:eastAsia="仿宋_GB2312" w:cs="仿宋_GB2312"/>
          <w:snapToGrid w:val="0"/>
          <w:color w:val="auto"/>
          <w:kern w:val="0"/>
          <w:sz w:val="32"/>
          <w:szCs w:val="32"/>
          <w:lang w:eastAsia="zh-CN"/>
        </w:rPr>
        <w:t>，未有账号的机构请及时向江门市妇幼保健院申请。</w:t>
      </w:r>
    </w:p>
    <w:p w14:paraId="37DC68DC">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lang w:val="en-US" w:eastAsia="zh-CN"/>
        </w:rPr>
        <w:t>4.</w:t>
      </w:r>
      <w:r>
        <w:rPr>
          <w:rFonts w:hint="eastAsia" w:ascii="仿宋_GB2312" w:hAnsi="仿宋_GB2312" w:eastAsia="仿宋_GB2312" w:cs="仿宋_GB2312"/>
          <w:b/>
          <w:bCs/>
          <w:snapToGrid w:val="0"/>
          <w:color w:val="auto"/>
          <w:kern w:val="0"/>
          <w:sz w:val="32"/>
          <w:szCs w:val="32"/>
        </w:rPr>
        <w:t>报表报送。</w:t>
      </w:r>
      <w:r>
        <w:rPr>
          <w:rFonts w:hint="eastAsia" w:ascii="仿宋_GB2312" w:hAnsi="仿宋_GB2312" w:eastAsia="仿宋_GB2312" w:cs="仿宋_GB2312"/>
          <w:snapToGrid w:val="0"/>
          <w:color w:val="auto"/>
          <w:kern w:val="0"/>
          <w:sz w:val="32"/>
          <w:szCs w:val="32"/>
        </w:rPr>
        <w:t>①各县（市、区）卫生健康局于每月2日前在广东省妇幼卫生信息平台报送民生实事报表</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已通过生育险报销方式补助的</w:t>
      </w:r>
      <w:r>
        <w:rPr>
          <w:rFonts w:hint="eastAsia" w:ascii="仿宋_GB2312" w:hAnsi="仿宋_GB2312" w:eastAsia="仿宋_GB2312" w:cs="仿宋_GB2312"/>
          <w:snapToGrid w:val="0"/>
          <w:color w:val="auto"/>
          <w:kern w:val="0"/>
          <w:sz w:val="32"/>
          <w:szCs w:val="32"/>
          <w:lang w:eastAsia="zh-CN"/>
        </w:rPr>
        <w:t>出生缺陷</w:t>
      </w:r>
      <w:r>
        <w:rPr>
          <w:rFonts w:hint="eastAsia" w:ascii="仿宋_GB2312" w:hAnsi="仿宋_GB2312" w:eastAsia="仿宋_GB2312" w:cs="仿宋_GB2312"/>
          <w:snapToGrid w:val="0"/>
          <w:color w:val="auto"/>
          <w:kern w:val="0"/>
          <w:sz w:val="32"/>
          <w:szCs w:val="32"/>
        </w:rPr>
        <w:t>筛查项目，可纳入统计</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②各定点服务机构于每月10日前在江门市妇幼卫生信息平台填报经费月报表（见附件</w:t>
      </w:r>
      <w:r>
        <w:rPr>
          <w:rFonts w:hint="eastAsia" w:ascii="仿宋_GB2312" w:hAnsi="仿宋_GB2312" w:eastAsia="仿宋_GB2312" w:cs="仿宋_GB2312"/>
          <w:snapToGrid w:val="0"/>
          <w:color w:val="auto"/>
          <w:kern w:val="0"/>
          <w:sz w:val="32"/>
          <w:szCs w:val="32"/>
          <w:lang w:val="en-US" w:eastAsia="zh-CN"/>
        </w:rPr>
        <w:t>3</w:t>
      </w:r>
      <w:r>
        <w:rPr>
          <w:rFonts w:hint="eastAsia" w:ascii="仿宋_GB2312" w:hAnsi="仿宋_GB2312" w:eastAsia="仿宋_GB2312" w:cs="仿宋_GB2312"/>
          <w:snapToGrid w:val="0"/>
          <w:color w:val="auto"/>
          <w:kern w:val="0"/>
          <w:sz w:val="32"/>
          <w:szCs w:val="32"/>
        </w:rPr>
        <w:t>）、地贫月报表（见附件</w:t>
      </w:r>
      <w:r>
        <w:rPr>
          <w:rFonts w:hint="eastAsia" w:ascii="仿宋_GB2312" w:hAnsi="仿宋_GB2312" w:eastAsia="仿宋_GB2312" w:cs="仿宋_GB2312"/>
          <w:snapToGrid w:val="0"/>
          <w:color w:val="auto"/>
          <w:kern w:val="0"/>
          <w:sz w:val="32"/>
          <w:szCs w:val="32"/>
          <w:lang w:val="en-US" w:eastAsia="zh-CN"/>
        </w:rPr>
        <w:t>4</w:t>
      </w:r>
      <w:r>
        <w:rPr>
          <w:rFonts w:hint="eastAsia" w:ascii="仿宋_GB2312" w:hAnsi="仿宋_GB2312" w:eastAsia="仿宋_GB2312" w:cs="仿宋_GB2312"/>
          <w:snapToGrid w:val="0"/>
          <w:color w:val="auto"/>
          <w:kern w:val="0"/>
          <w:sz w:val="32"/>
          <w:szCs w:val="32"/>
        </w:rPr>
        <w:t>），所有提供新生儿先天</w:t>
      </w:r>
      <w:r>
        <w:rPr>
          <w:rFonts w:hint="eastAsia" w:ascii="仿宋_GB2312" w:hAnsi="仿宋_GB2312" w:eastAsia="仿宋_GB2312" w:cs="仿宋_GB2312"/>
          <w:snapToGrid w:val="0"/>
          <w:color w:val="auto"/>
          <w:kern w:val="0"/>
          <w:sz w:val="32"/>
          <w:szCs w:val="32"/>
          <w:lang w:eastAsia="zh-CN"/>
        </w:rPr>
        <w:t>性心脏病</w:t>
      </w:r>
      <w:r>
        <w:rPr>
          <w:rFonts w:hint="eastAsia" w:ascii="仿宋_GB2312" w:hAnsi="仿宋_GB2312" w:eastAsia="仿宋_GB2312" w:cs="仿宋_GB2312"/>
          <w:snapToGrid w:val="0"/>
          <w:color w:val="auto"/>
          <w:kern w:val="0"/>
          <w:sz w:val="32"/>
          <w:szCs w:val="32"/>
        </w:rPr>
        <w:t>筛查服务</w:t>
      </w:r>
      <w:r>
        <w:rPr>
          <w:rFonts w:hint="eastAsia" w:ascii="仿宋_GB2312" w:hAnsi="仿宋_GB2312" w:eastAsia="仿宋_GB2312" w:cs="仿宋_GB2312"/>
          <w:snapToGrid w:val="0"/>
          <w:color w:val="auto"/>
          <w:kern w:val="0"/>
          <w:sz w:val="32"/>
          <w:szCs w:val="32"/>
          <w:lang w:eastAsia="zh-CN"/>
        </w:rPr>
        <w:t>的</w:t>
      </w:r>
      <w:r>
        <w:rPr>
          <w:rFonts w:hint="eastAsia" w:ascii="仿宋_GB2312" w:hAnsi="仿宋_GB2312" w:eastAsia="仿宋_GB2312" w:cs="仿宋_GB2312"/>
          <w:snapToGrid w:val="0"/>
          <w:color w:val="auto"/>
          <w:kern w:val="0"/>
          <w:sz w:val="32"/>
          <w:szCs w:val="32"/>
        </w:rPr>
        <w:t>机构</w:t>
      </w:r>
      <w:r>
        <w:rPr>
          <w:rFonts w:hint="eastAsia" w:ascii="仿宋_GB2312" w:hAnsi="仿宋_GB2312" w:eastAsia="仿宋_GB2312" w:cs="仿宋_GB2312"/>
          <w:snapToGrid w:val="0"/>
          <w:color w:val="auto"/>
          <w:kern w:val="0"/>
          <w:sz w:val="32"/>
          <w:szCs w:val="32"/>
          <w:lang w:eastAsia="zh-CN"/>
        </w:rPr>
        <w:t>在</w:t>
      </w:r>
      <w:r>
        <w:rPr>
          <w:rFonts w:hint="eastAsia" w:ascii="仿宋_GB2312" w:hAnsi="仿宋_GB2312" w:eastAsia="仿宋_GB2312" w:cs="仿宋_GB2312"/>
          <w:snapToGrid w:val="0"/>
          <w:color w:val="auto"/>
          <w:kern w:val="0"/>
          <w:sz w:val="32"/>
          <w:szCs w:val="32"/>
        </w:rPr>
        <w:t>新生儿先天性心脏病筛查工作信息管理系统填报报表（见附件</w:t>
      </w:r>
      <w:r>
        <w:rPr>
          <w:rFonts w:hint="eastAsia" w:ascii="仿宋_GB2312" w:hAnsi="仿宋_GB2312" w:eastAsia="仿宋_GB2312" w:cs="仿宋_GB2312"/>
          <w:snapToGrid w:val="0"/>
          <w:color w:val="auto"/>
          <w:kern w:val="0"/>
          <w:sz w:val="32"/>
          <w:szCs w:val="32"/>
          <w:lang w:val="en-US" w:eastAsia="zh-CN"/>
        </w:rPr>
        <w:t>5</w:t>
      </w: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③各定点服务机构于每季度10日前在江门市妇幼卫生信息平台填报出生缺陷防控项目产前筛查与诊断季报表、新生儿疾病筛查季报表（见附件</w:t>
      </w:r>
      <w:r>
        <w:rPr>
          <w:rFonts w:hint="eastAsia" w:ascii="仿宋_GB2312" w:hAnsi="仿宋_GB2312" w:eastAsia="仿宋_GB2312" w:cs="仿宋_GB2312"/>
          <w:snapToGrid w:val="0"/>
          <w:color w:val="auto"/>
          <w:kern w:val="0"/>
          <w:sz w:val="32"/>
          <w:szCs w:val="32"/>
          <w:lang w:val="en-US" w:eastAsia="zh-CN"/>
        </w:rPr>
        <w:t>6</w:t>
      </w:r>
      <w:r>
        <w:rPr>
          <w:rFonts w:hint="eastAsia" w:ascii="仿宋_GB2312" w:hAnsi="仿宋_GB2312" w:eastAsia="仿宋_GB2312" w:cs="仿宋_GB2312"/>
          <w:snapToGrid w:val="0"/>
          <w:color w:val="auto"/>
          <w:kern w:val="0"/>
          <w:sz w:val="32"/>
          <w:szCs w:val="32"/>
        </w:rPr>
        <w:t>）。</w:t>
      </w:r>
    </w:p>
    <w:p w14:paraId="3542EA0A">
      <w:pPr>
        <w:keepNext w:val="0"/>
        <w:keepLines w:val="0"/>
        <w:pageBreakBefore w:val="0"/>
        <w:numPr>
          <w:ilvl w:val="0"/>
          <w:numId w:val="0"/>
        </w:numPr>
        <w:kinsoku/>
        <w:wordWrap/>
        <w:overflowPunct/>
        <w:topLinePunct w:val="0"/>
        <w:autoSpaceDE/>
        <w:autoSpaceDN/>
        <w:bidi w:val="0"/>
        <w:spacing w:line="560" w:lineRule="exact"/>
        <w:ind w:firstLine="606" w:firstLineChars="200"/>
        <w:textAlignment w:val="auto"/>
        <w:rPr>
          <w:rFonts w:hint="eastAsia" w:ascii="Times New Roman" w:hAnsi="Times New Roman" w:eastAsia="黑体"/>
          <w:snapToGrid w:val="0"/>
          <w:color w:val="auto"/>
          <w:kern w:val="0"/>
          <w:sz w:val="32"/>
          <w:szCs w:val="32"/>
          <w:lang w:eastAsia="zh-CN"/>
        </w:rPr>
      </w:pPr>
      <w:r>
        <w:rPr>
          <w:rFonts w:hint="eastAsia" w:ascii="Times New Roman" w:hAnsi="Times New Roman" w:eastAsia="黑体"/>
          <w:snapToGrid w:val="0"/>
          <w:color w:val="auto"/>
          <w:kern w:val="0"/>
          <w:sz w:val="32"/>
          <w:szCs w:val="32"/>
          <w:lang w:eastAsia="zh-CN"/>
        </w:rPr>
        <w:t>七</w:t>
      </w:r>
      <w:r>
        <w:rPr>
          <w:rFonts w:ascii="Times New Roman" w:hAnsi="Times New Roman" w:eastAsia="黑体"/>
          <w:snapToGrid w:val="0"/>
          <w:color w:val="auto"/>
          <w:kern w:val="0"/>
          <w:sz w:val="32"/>
          <w:szCs w:val="32"/>
        </w:rPr>
        <w:t>、</w:t>
      </w:r>
      <w:r>
        <w:rPr>
          <w:rFonts w:hint="eastAsia" w:ascii="Times New Roman" w:hAnsi="Times New Roman" w:eastAsia="黑体"/>
          <w:snapToGrid w:val="0"/>
          <w:color w:val="auto"/>
          <w:kern w:val="0"/>
          <w:sz w:val="32"/>
          <w:szCs w:val="32"/>
          <w:lang w:eastAsia="zh-CN"/>
        </w:rPr>
        <w:t>职责分工</w:t>
      </w:r>
    </w:p>
    <w:p w14:paraId="45302F99">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snapToGrid w:val="0"/>
          <w:color w:val="auto"/>
          <w:kern w:val="0"/>
          <w:sz w:val="32"/>
          <w:szCs w:val="32"/>
        </w:rPr>
      </w:pPr>
      <w:r>
        <w:rPr>
          <w:rFonts w:hint="eastAsia" w:ascii="楷体" w:hAnsi="楷体" w:eastAsia="楷体" w:cs="楷体"/>
          <w:snapToGrid w:val="0"/>
          <w:color w:val="auto"/>
          <w:kern w:val="0"/>
          <w:sz w:val="32"/>
          <w:szCs w:val="32"/>
        </w:rPr>
        <w:t>（一）卫生健康行政部门。</w:t>
      </w:r>
      <w:r>
        <w:rPr>
          <w:rFonts w:hint="eastAsia" w:ascii="仿宋_GB2312" w:hAnsi="仿宋_GB2312" w:eastAsia="仿宋_GB2312" w:cs="仿宋_GB2312"/>
          <w:snapToGrid w:val="0"/>
          <w:color w:val="auto"/>
          <w:kern w:val="0"/>
          <w:sz w:val="32"/>
          <w:szCs w:val="32"/>
        </w:rPr>
        <w:t>省级卫生健康行政部门牵头负责全省出生缺陷综合防控项目工作重大决策、组织协调、监督管理等工作。</w:t>
      </w:r>
    </w:p>
    <w:p w14:paraId="6C6E296B">
      <w:pPr>
        <w:keepNext w:val="0"/>
        <w:keepLines w:val="0"/>
        <w:pageBreakBefore w:val="0"/>
        <w:kinsoku/>
        <w:wordWrap/>
        <w:overflowPunct/>
        <w:topLinePunct w:val="0"/>
        <w:autoSpaceDE/>
        <w:autoSpaceDN/>
        <w:bidi w:val="0"/>
        <w:spacing w:line="560" w:lineRule="exact"/>
        <w:ind w:firstLine="606" w:firstLineChars="200"/>
        <w:textAlignment w:val="auto"/>
        <w:rPr>
          <w:rFonts w:ascii="Times New Roman" w:hAnsi="Times New Roman" w:eastAsia="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市、县级卫生健康部门承担本辖区出生缺陷综合防控项目工作的组织、协调、管理评估等工作，确定项目定点服务机构，组建专家技术指导组，制定适宜当地的实施方案、年度工作计划、年度工作考核方案等。</w:t>
      </w:r>
    </w:p>
    <w:p w14:paraId="6C8D5507">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snapToGrid w:val="0"/>
          <w:color w:val="auto"/>
          <w:kern w:val="0"/>
          <w:sz w:val="32"/>
          <w:szCs w:val="32"/>
        </w:rPr>
      </w:pPr>
      <w:r>
        <w:rPr>
          <w:rFonts w:hint="eastAsia" w:ascii="楷体" w:hAnsi="楷体" w:eastAsia="楷体" w:cs="楷体"/>
          <w:snapToGrid w:val="0"/>
          <w:color w:val="auto"/>
          <w:kern w:val="0"/>
          <w:sz w:val="32"/>
          <w:szCs w:val="32"/>
        </w:rPr>
        <w:t>（二）财政部门。</w:t>
      </w:r>
      <w:r>
        <w:rPr>
          <w:rFonts w:hint="eastAsia" w:ascii="仿宋_GB2312" w:hAnsi="仿宋_GB2312" w:eastAsia="仿宋_GB2312" w:cs="仿宋_GB2312"/>
          <w:b/>
          <w:bCs/>
          <w:snapToGrid w:val="0"/>
          <w:color w:val="auto"/>
          <w:kern w:val="0"/>
          <w:sz w:val="32"/>
          <w:szCs w:val="32"/>
        </w:rPr>
        <w:t>台山、开平、恩平地区</w:t>
      </w:r>
      <w:r>
        <w:rPr>
          <w:rFonts w:hint="eastAsia" w:ascii="仿宋_GB2312" w:hAnsi="仿宋_GB2312" w:eastAsia="仿宋_GB2312" w:cs="仿宋_GB2312"/>
          <w:b/>
          <w:bCs/>
          <w:snapToGrid w:val="0"/>
          <w:color w:val="auto"/>
          <w:kern w:val="0"/>
          <w:sz w:val="32"/>
          <w:szCs w:val="32"/>
          <w:lang w:val="en-US" w:eastAsia="zh-CN"/>
        </w:rPr>
        <w:t>：</w:t>
      </w:r>
      <w:r>
        <w:rPr>
          <w:rFonts w:hint="eastAsia" w:ascii="仿宋_GB2312" w:hAnsi="仿宋_GB2312" w:eastAsia="仿宋_GB2312" w:cs="仿宋_GB2312"/>
          <w:snapToGrid w:val="0"/>
          <w:color w:val="auto"/>
          <w:kern w:val="0"/>
          <w:sz w:val="32"/>
          <w:szCs w:val="32"/>
        </w:rPr>
        <w:t>省</w:t>
      </w:r>
      <w:r>
        <w:rPr>
          <w:rFonts w:hint="eastAsia" w:ascii="仿宋_GB2312" w:hAnsi="仿宋_GB2312" w:eastAsia="仿宋_GB2312" w:cs="仿宋_GB2312"/>
          <w:snapToGrid w:val="0"/>
          <w:color w:val="auto"/>
          <w:kern w:val="0"/>
          <w:sz w:val="32"/>
          <w:szCs w:val="32"/>
          <w:lang w:eastAsia="zh-CN"/>
        </w:rPr>
        <w:t>、市、县</w:t>
      </w:r>
      <w:r>
        <w:rPr>
          <w:rFonts w:hint="eastAsia" w:ascii="仿宋_GB2312" w:hAnsi="仿宋_GB2312" w:eastAsia="仿宋_GB2312" w:cs="仿宋_GB2312"/>
          <w:snapToGrid w:val="0"/>
          <w:color w:val="auto"/>
          <w:kern w:val="0"/>
          <w:sz w:val="32"/>
          <w:szCs w:val="32"/>
        </w:rPr>
        <w:t>级财政部门按照</w:t>
      </w:r>
      <w:r>
        <w:rPr>
          <w:rFonts w:hint="eastAsia" w:ascii="仿宋_GB2312" w:hAnsi="仿宋_GB2312" w:eastAsia="仿宋_GB2312" w:cs="仿宋_GB2312"/>
          <w:snapToGrid w:val="0"/>
          <w:color w:val="auto"/>
          <w:kern w:val="0"/>
          <w:sz w:val="32"/>
          <w:szCs w:val="32"/>
          <w:lang w:val="en-US" w:eastAsia="zh-CN"/>
        </w:rPr>
        <w:t>6：2：2</w:t>
      </w:r>
      <w:r>
        <w:rPr>
          <w:rFonts w:hint="eastAsia" w:ascii="仿宋_GB2312" w:hAnsi="仿宋_GB2312" w:eastAsia="仿宋_GB2312" w:cs="仿宋_GB2312"/>
          <w:snapToGrid w:val="0"/>
          <w:color w:val="auto"/>
          <w:kern w:val="0"/>
          <w:sz w:val="32"/>
          <w:szCs w:val="32"/>
        </w:rPr>
        <w:t>的比例，市级财政部门按照</w:t>
      </w:r>
      <w:r>
        <w:rPr>
          <w:rFonts w:hint="eastAsia" w:ascii="仿宋_GB2312" w:hAnsi="仿宋_GB2312" w:eastAsia="仿宋_GB2312" w:cs="仿宋_GB2312"/>
          <w:snapToGrid w:val="0"/>
          <w:color w:val="auto"/>
          <w:kern w:val="0"/>
          <w:sz w:val="32"/>
          <w:szCs w:val="32"/>
          <w:lang w:val="en-US" w:eastAsia="zh-CN"/>
        </w:rPr>
        <w:t>105元/</w:t>
      </w:r>
      <w:r>
        <w:rPr>
          <w:rFonts w:hint="eastAsia" w:ascii="仿宋_GB2312" w:hAnsi="仿宋_GB2312" w:eastAsia="仿宋_GB2312" w:cs="仿宋_GB2312"/>
          <w:snapToGrid w:val="0"/>
          <w:color w:val="auto"/>
          <w:kern w:val="0"/>
          <w:sz w:val="32"/>
          <w:szCs w:val="32"/>
        </w:rPr>
        <w:t>例新生儿先天性心脏病筛查</w:t>
      </w:r>
      <w:r>
        <w:rPr>
          <w:rFonts w:hint="eastAsia" w:ascii="仿宋_GB2312" w:hAnsi="仿宋_GB2312" w:eastAsia="仿宋_GB2312" w:cs="仿宋_GB2312"/>
          <w:snapToGrid w:val="0"/>
          <w:color w:val="auto"/>
          <w:kern w:val="0"/>
          <w:sz w:val="32"/>
          <w:szCs w:val="32"/>
          <w:lang w:eastAsia="zh-CN"/>
        </w:rPr>
        <w:t>标准，</w:t>
      </w:r>
      <w:r>
        <w:rPr>
          <w:rFonts w:hint="eastAsia" w:ascii="仿宋_GB2312" w:hAnsi="仿宋_GB2312" w:eastAsia="仿宋_GB2312" w:cs="仿宋_GB2312"/>
          <w:snapToGrid w:val="0"/>
          <w:color w:val="auto"/>
          <w:kern w:val="0"/>
          <w:sz w:val="32"/>
          <w:szCs w:val="32"/>
        </w:rPr>
        <w:t>及时足额拨付各年度出生缺陷综合防控项目专项经费</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b/>
          <w:bCs/>
          <w:snapToGrid w:val="0"/>
          <w:color w:val="auto"/>
          <w:kern w:val="0"/>
          <w:sz w:val="32"/>
          <w:szCs w:val="32"/>
          <w:lang w:eastAsia="zh-CN"/>
        </w:rPr>
        <w:t>蓬江、江海、新会、鹤山地区</w:t>
      </w:r>
      <w:r>
        <w:rPr>
          <w:rFonts w:hint="eastAsia" w:ascii="仿宋_GB2312" w:hAnsi="仿宋_GB2312" w:eastAsia="仿宋_GB2312" w:cs="仿宋_GB2312"/>
          <w:b/>
          <w:bCs/>
          <w:snapToGrid w:val="0"/>
          <w:color w:val="auto"/>
          <w:kern w:val="0"/>
          <w:sz w:val="32"/>
          <w:szCs w:val="32"/>
          <w:lang w:val="en-US" w:eastAsia="zh-CN"/>
        </w:rPr>
        <w:t>：</w:t>
      </w:r>
      <w:r>
        <w:rPr>
          <w:rFonts w:hint="eastAsia" w:ascii="仿宋_GB2312" w:hAnsi="仿宋_GB2312" w:eastAsia="仿宋_GB2312" w:cs="仿宋_GB2312"/>
          <w:snapToGrid w:val="0"/>
          <w:color w:val="auto"/>
          <w:kern w:val="0"/>
          <w:sz w:val="32"/>
          <w:szCs w:val="32"/>
        </w:rPr>
        <w:t>市级财政部门按照</w:t>
      </w:r>
      <w:r>
        <w:rPr>
          <w:rFonts w:hint="eastAsia" w:ascii="仿宋_GB2312" w:hAnsi="仿宋_GB2312" w:eastAsia="仿宋_GB2312" w:cs="仿宋_GB2312"/>
          <w:snapToGrid w:val="0"/>
          <w:color w:val="auto"/>
          <w:kern w:val="0"/>
          <w:sz w:val="32"/>
          <w:szCs w:val="32"/>
          <w:lang w:val="en-US" w:eastAsia="zh-CN"/>
        </w:rPr>
        <w:t>100%</w:t>
      </w:r>
      <w:r>
        <w:rPr>
          <w:rFonts w:hint="eastAsia" w:ascii="仿宋_GB2312" w:hAnsi="仿宋_GB2312" w:eastAsia="仿宋_GB2312" w:cs="仿宋_GB2312"/>
          <w:snapToGrid w:val="0"/>
          <w:color w:val="auto"/>
          <w:kern w:val="0"/>
          <w:sz w:val="32"/>
          <w:szCs w:val="32"/>
        </w:rPr>
        <w:t>比例</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及时足额</w:t>
      </w:r>
      <w:r>
        <w:rPr>
          <w:rFonts w:hint="eastAsia" w:ascii="仿宋_GB2312" w:hAnsi="仿宋_GB2312" w:eastAsia="仿宋_GB2312" w:cs="仿宋_GB2312"/>
          <w:snapToGrid w:val="0"/>
          <w:color w:val="auto"/>
          <w:kern w:val="0"/>
          <w:sz w:val="32"/>
          <w:szCs w:val="32"/>
          <w:lang w:eastAsia="zh-CN"/>
        </w:rPr>
        <w:t>拨付各年度符合</w:t>
      </w:r>
      <w:r>
        <w:rPr>
          <w:rFonts w:hint="eastAsia" w:ascii="仿宋_GB2312" w:hAnsi="仿宋_GB2312" w:eastAsia="仿宋_GB2312" w:cs="仿宋_GB2312"/>
          <w:snapToGrid w:val="0"/>
          <w:color w:val="auto"/>
          <w:kern w:val="0"/>
          <w:sz w:val="32"/>
          <w:szCs w:val="32"/>
        </w:rPr>
        <w:t>服务补助要求孕产妇的产前诊断、新生儿的遗传代谢病筛查</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任务数范围内的新生儿先天性心脏病筛查</w:t>
      </w:r>
      <w:r>
        <w:rPr>
          <w:rFonts w:hint="eastAsia" w:ascii="仿宋_GB2312" w:hAnsi="仿宋_GB2312" w:eastAsia="仿宋_GB2312" w:cs="仿宋_GB2312"/>
          <w:snapToGrid w:val="0"/>
          <w:color w:val="auto"/>
          <w:kern w:val="0"/>
          <w:sz w:val="32"/>
          <w:szCs w:val="32"/>
          <w:lang w:eastAsia="zh-CN"/>
        </w:rPr>
        <w:t>等</w:t>
      </w:r>
      <w:r>
        <w:rPr>
          <w:rFonts w:hint="eastAsia" w:ascii="仿宋_GB2312" w:hAnsi="仿宋_GB2312" w:eastAsia="仿宋_GB2312" w:cs="仿宋_GB2312"/>
          <w:snapToGrid w:val="0"/>
          <w:color w:val="auto"/>
          <w:kern w:val="0"/>
          <w:sz w:val="32"/>
          <w:szCs w:val="32"/>
        </w:rPr>
        <w:t>项目</w:t>
      </w:r>
      <w:r>
        <w:rPr>
          <w:rFonts w:hint="eastAsia" w:ascii="仿宋_GB2312" w:hAnsi="仿宋_GB2312" w:eastAsia="仿宋_GB2312" w:cs="仿宋_GB2312"/>
          <w:snapToGrid w:val="0"/>
          <w:color w:val="auto"/>
          <w:kern w:val="0"/>
          <w:sz w:val="32"/>
          <w:szCs w:val="32"/>
          <w:lang w:eastAsia="zh-CN"/>
        </w:rPr>
        <w:t>所需专项经费；县级财政部门根据</w:t>
      </w:r>
      <w:r>
        <w:rPr>
          <w:rFonts w:hint="eastAsia" w:ascii="仿宋_GB2312" w:hAnsi="仿宋_GB2312" w:eastAsia="仿宋_GB2312" w:cs="仿宋_GB2312"/>
          <w:snapToGrid w:val="0"/>
          <w:color w:val="auto"/>
          <w:kern w:val="0"/>
          <w:sz w:val="32"/>
          <w:szCs w:val="32"/>
        </w:rPr>
        <w:t>各县（市、区）方案</w:t>
      </w:r>
      <w:r>
        <w:rPr>
          <w:rFonts w:hint="eastAsia" w:ascii="仿宋_GB2312" w:hAnsi="仿宋_GB2312" w:eastAsia="仿宋_GB2312" w:cs="仿宋_GB2312"/>
          <w:snapToGrid w:val="0"/>
          <w:color w:val="auto"/>
          <w:kern w:val="0"/>
          <w:sz w:val="32"/>
          <w:szCs w:val="32"/>
          <w:lang w:eastAsia="zh-CN"/>
        </w:rPr>
        <w:t>，按照</w:t>
      </w:r>
      <w:r>
        <w:rPr>
          <w:rFonts w:hint="eastAsia" w:ascii="仿宋_GB2312" w:hAnsi="仿宋_GB2312" w:eastAsia="仿宋_GB2312" w:cs="仿宋_GB2312"/>
          <w:snapToGrid w:val="0"/>
          <w:color w:val="auto"/>
          <w:kern w:val="0"/>
          <w:sz w:val="32"/>
          <w:szCs w:val="32"/>
          <w:lang w:val="en-US" w:eastAsia="zh-CN"/>
        </w:rPr>
        <w:t>100%比例</w:t>
      </w:r>
      <w:r>
        <w:rPr>
          <w:rFonts w:hint="eastAsia" w:ascii="仿宋_GB2312" w:hAnsi="仿宋_GB2312" w:eastAsia="仿宋_GB2312" w:cs="仿宋_GB2312"/>
          <w:snapToGrid w:val="0"/>
          <w:color w:val="auto"/>
          <w:kern w:val="0"/>
          <w:sz w:val="32"/>
          <w:szCs w:val="32"/>
        </w:rPr>
        <w:t>及时足额拨付各年度</w:t>
      </w:r>
      <w:r>
        <w:rPr>
          <w:rFonts w:hint="eastAsia" w:ascii="仿宋_GB2312" w:hAnsi="仿宋_GB2312" w:eastAsia="仿宋_GB2312" w:cs="仿宋_GB2312"/>
          <w:snapToGrid w:val="0"/>
          <w:color w:val="auto"/>
          <w:kern w:val="0"/>
          <w:sz w:val="32"/>
          <w:szCs w:val="32"/>
          <w:lang w:eastAsia="zh-CN"/>
        </w:rPr>
        <w:t>产前筛查、新生儿听力筛查、早产儿视网膜筛查等项目所需</w:t>
      </w:r>
      <w:r>
        <w:rPr>
          <w:rFonts w:hint="eastAsia" w:ascii="仿宋_GB2312" w:hAnsi="仿宋_GB2312" w:eastAsia="仿宋_GB2312" w:cs="仿宋_GB2312"/>
          <w:snapToGrid w:val="0"/>
          <w:color w:val="auto"/>
          <w:kern w:val="0"/>
          <w:sz w:val="32"/>
          <w:szCs w:val="32"/>
        </w:rPr>
        <w:t>专项经费。</w:t>
      </w:r>
      <w:r>
        <w:rPr>
          <w:rFonts w:hint="eastAsia" w:ascii="仿宋_GB2312" w:hAnsi="仿宋_GB2312" w:eastAsia="仿宋_GB2312" w:cs="仿宋_GB2312"/>
          <w:snapToGrid w:val="0"/>
          <w:color w:val="auto"/>
          <w:kern w:val="0"/>
          <w:sz w:val="32"/>
          <w:szCs w:val="32"/>
          <w:lang w:eastAsia="zh-CN"/>
        </w:rPr>
        <w:t>所有专</w:t>
      </w:r>
      <w:r>
        <w:rPr>
          <w:rFonts w:hint="eastAsia" w:ascii="仿宋_GB2312" w:hAnsi="仿宋_GB2312" w:eastAsia="仿宋_GB2312" w:cs="仿宋_GB2312"/>
          <w:snapToGrid w:val="0"/>
          <w:color w:val="auto"/>
          <w:kern w:val="0"/>
          <w:sz w:val="32"/>
          <w:szCs w:val="32"/>
        </w:rPr>
        <w:t>项经费，不得截留、挪用、套用。</w:t>
      </w:r>
    </w:p>
    <w:p w14:paraId="59F6A490">
      <w:pPr>
        <w:keepNext w:val="0"/>
        <w:keepLines w:val="0"/>
        <w:pageBreakBefore w:val="0"/>
        <w:kinsoku/>
        <w:wordWrap/>
        <w:overflowPunct/>
        <w:topLinePunct w:val="0"/>
        <w:autoSpaceDE/>
        <w:autoSpaceDN/>
        <w:bidi w:val="0"/>
        <w:spacing w:line="560" w:lineRule="exact"/>
        <w:ind w:firstLine="606" w:firstLineChars="200"/>
        <w:textAlignment w:val="auto"/>
        <w:rPr>
          <w:rFonts w:ascii="Times New Roman" w:hAnsi="Times New Roman" w:eastAsia="仿宋_GB2312"/>
          <w:b/>
          <w:bCs/>
          <w:snapToGrid w:val="0"/>
          <w:color w:val="auto"/>
          <w:kern w:val="0"/>
          <w:sz w:val="32"/>
          <w:szCs w:val="32"/>
        </w:rPr>
      </w:pPr>
      <w:r>
        <w:rPr>
          <w:rFonts w:hint="eastAsia" w:ascii="楷体" w:hAnsi="楷体" w:eastAsia="楷体" w:cs="楷体"/>
          <w:snapToGrid w:val="0"/>
          <w:color w:val="auto"/>
          <w:kern w:val="0"/>
          <w:sz w:val="32"/>
          <w:szCs w:val="32"/>
        </w:rPr>
        <w:t>（</w:t>
      </w:r>
      <w:r>
        <w:rPr>
          <w:rFonts w:hint="eastAsia" w:ascii="楷体" w:hAnsi="楷体" w:eastAsia="楷体" w:cs="楷体"/>
          <w:snapToGrid w:val="0"/>
          <w:color w:val="auto"/>
          <w:kern w:val="0"/>
          <w:sz w:val="32"/>
          <w:szCs w:val="32"/>
          <w:lang w:eastAsia="zh-CN"/>
        </w:rPr>
        <w:t>三</w:t>
      </w:r>
      <w:r>
        <w:rPr>
          <w:rFonts w:hint="eastAsia" w:ascii="楷体" w:hAnsi="楷体" w:eastAsia="楷体" w:cs="楷体"/>
          <w:snapToGrid w:val="0"/>
          <w:color w:val="auto"/>
          <w:kern w:val="0"/>
          <w:sz w:val="32"/>
          <w:szCs w:val="32"/>
        </w:rPr>
        <w:t>）出生缺陷综合干预中心。</w:t>
      </w:r>
      <w:r>
        <w:rPr>
          <w:rFonts w:hint="eastAsia" w:ascii="Times New Roman" w:hAnsi="Times New Roman" w:eastAsia="仿宋_GB2312"/>
          <w:b w:val="0"/>
          <w:bCs w:val="0"/>
          <w:snapToGrid w:val="0"/>
          <w:color w:val="auto"/>
          <w:kern w:val="0"/>
          <w:sz w:val="32"/>
          <w:szCs w:val="32"/>
        </w:rPr>
        <w:t>市级出生缺陷综合干预中心负责组织实施辖区出生缺陷防控管理工作，协助地市级卫生健康行政部门开展科普宣传、人员培训、业务指导、质量控制等工作。县（市、区）级出生缺陷综合干预中心负责推进辖区出生缺陷防控项目实施，协助县（市、区）级卫生健康行政部门开展科普宣传、人员培训、质量控制、阳性随访、诊治救助、信息报送等工作。</w:t>
      </w:r>
    </w:p>
    <w:p w14:paraId="0E85D194">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snapToGrid w:val="0"/>
          <w:color w:val="auto"/>
          <w:kern w:val="0"/>
          <w:sz w:val="32"/>
          <w:szCs w:val="32"/>
          <w:lang w:eastAsia="zh-CN"/>
        </w:rPr>
      </w:pPr>
      <w:r>
        <w:rPr>
          <w:rFonts w:hint="eastAsia" w:ascii="楷体" w:hAnsi="楷体" w:eastAsia="楷体" w:cs="楷体"/>
          <w:snapToGrid w:val="0"/>
          <w:color w:val="auto"/>
          <w:kern w:val="0"/>
          <w:sz w:val="32"/>
          <w:szCs w:val="32"/>
        </w:rPr>
        <w:t>（</w:t>
      </w:r>
      <w:r>
        <w:rPr>
          <w:rFonts w:hint="eastAsia" w:ascii="楷体" w:hAnsi="楷体" w:eastAsia="楷体" w:cs="楷体"/>
          <w:snapToGrid w:val="0"/>
          <w:color w:val="auto"/>
          <w:kern w:val="0"/>
          <w:sz w:val="32"/>
          <w:szCs w:val="32"/>
          <w:lang w:eastAsia="zh-CN"/>
        </w:rPr>
        <w:t>四</w:t>
      </w:r>
      <w:r>
        <w:rPr>
          <w:rFonts w:hint="eastAsia" w:ascii="楷体" w:hAnsi="楷体" w:eastAsia="楷体" w:cs="楷体"/>
          <w:snapToGrid w:val="0"/>
          <w:color w:val="auto"/>
          <w:kern w:val="0"/>
          <w:sz w:val="32"/>
          <w:szCs w:val="32"/>
        </w:rPr>
        <w:t>）</w:t>
      </w:r>
      <w:r>
        <w:rPr>
          <w:rFonts w:hint="eastAsia" w:ascii="楷体" w:hAnsi="楷体" w:eastAsia="楷体" w:cs="楷体"/>
          <w:snapToGrid w:val="0"/>
          <w:color w:val="auto"/>
          <w:kern w:val="0"/>
          <w:sz w:val="32"/>
          <w:szCs w:val="32"/>
          <w:lang w:eastAsia="zh-CN"/>
        </w:rPr>
        <w:t>定点</w:t>
      </w:r>
      <w:r>
        <w:rPr>
          <w:rFonts w:hint="eastAsia" w:ascii="楷体" w:hAnsi="楷体" w:eastAsia="楷体" w:cs="楷体"/>
          <w:snapToGrid w:val="0"/>
          <w:color w:val="auto"/>
          <w:kern w:val="0"/>
          <w:sz w:val="32"/>
          <w:szCs w:val="32"/>
        </w:rPr>
        <w:t>服务机构。</w:t>
      </w:r>
      <w:r>
        <w:rPr>
          <w:rFonts w:hint="eastAsia" w:ascii="仿宋_GB2312" w:hAnsi="仿宋_GB2312" w:eastAsia="仿宋_GB2312" w:cs="仿宋_GB2312"/>
          <w:snapToGrid w:val="0"/>
          <w:color w:val="auto"/>
          <w:kern w:val="0"/>
          <w:sz w:val="32"/>
          <w:szCs w:val="32"/>
        </w:rPr>
        <w:t>各助产机构、婚前孕前健康检查机构、产前筛查机构、产前诊断机构、新生儿遗传代谢病筛查中心、新生儿先天性心脏病筛查机构、新生儿听力筛查中心、新生儿听力障碍诊治机构等要遵照定点服务、便民服务、首诊负责等要求，按照服务流程（附件</w:t>
      </w:r>
      <w:r>
        <w:rPr>
          <w:rFonts w:hint="eastAsia" w:ascii="仿宋_GB2312" w:hAnsi="仿宋_GB2312" w:eastAsia="仿宋_GB2312" w:cs="仿宋_GB2312"/>
          <w:snapToGrid w:val="0"/>
          <w:color w:val="auto"/>
          <w:kern w:val="0"/>
          <w:sz w:val="32"/>
          <w:szCs w:val="32"/>
          <w:lang w:val="en-US" w:eastAsia="zh-CN"/>
        </w:rPr>
        <w:t>7</w:t>
      </w:r>
      <w:r>
        <w:rPr>
          <w:rFonts w:hint="eastAsia" w:ascii="仿宋_GB2312" w:hAnsi="仿宋_GB2312" w:eastAsia="仿宋_GB2312" w:cs="仿宋_GB2312"/>
          <w:snapToGrid w:val="0"/>
          <w:color w:val="auto"/>
          <w:kern w:val="0"/>
          <w:sz w:val="32"/>
          <w:szCs w:val="32"/>
        </w:rPr>
        <w:t>），为群众提供出生缺陷健康教育、咨询、筛查、诊断、治疗、干预等服务，按相关要求完善电子档案、信息报送等工作，并积极参与项目工作培训、配合开展项目评估等</w:t>
      </w:r>
      <w:r>
        <w:rPr>
          <w:rFonts w:hint="eastAsia" w:ascii="仿宋_GB2312" w:hAnsi="仿宋_GB2312" w:eastAsia="仿宋_GB2312" w:cs="仿宋_GB2312"/>
          <w:snapToGrid w:val="0"/>
          <w:color w:val="auto"/>
          <w:kern w:val="0"/>
          <w:sz w:val="32"/>
          <w:szCs w:val="32"/>
          <w:lang w:eastAsia="zh-CN"/>
        </w:rPr>
        <w:t>。</w:t>
      </w:r>
    </w:p>
    <w:p w14:paraId="3D74B3B6">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Times New Roman" w:hAnsi="Times New Roman" w:eastAsia="黑体"/>
          <w:snapToGrid w:val="0"/>
          <w:color w:val="auto"/>
          <w:kern w:val="0"/>
          <w:sz w:val="32"/>
          <w:szCs w:val="32"/>
          <w:lang w:eastAsia="zh-CN"/>
        </w:rPr>
      </w:pPr>
      <w:r>
        <w:rPr>
          <w:rFonts w:hint="eastAsia" w:ascii="Times New Roman" w:hAnsi="Times New Roman" w:eastAsia="黑体"/>
          <w:snapToGrid w:val="0"/>
          <w:color w:val="auto"/>
          <w:kern w:val="0"/>
          <w:sz w:val="32"/>
          <w:szCs w:val="32"/>
          <w:lang w:eastAsia="zh-CN"/>
        </w:rPr>
        <w:t>八</w:t>
      </w:r>
      <w:r>
        <w:rPr>
          <w:rFonts w:ascii="Times New Roman" w:hAnsi="Times New Roman" w:eastAsia="黑体"/>
          <w:snapToGrid w:val="0"/>
          <w:color w:val="auto"/>
          <w:kern w:val="0"/>
          <w:sz w:val="32"/>
          <w:szCs w:val="32"/>
        </w:rPr>
        <w:t>、</w:t>
      </w:r>
      <w:r>
        <w:rPr>
          <w:rFonts w:hint="eastAsia" w:ascii="Times New Roman" w:hAnsi="Times New Roman" w:eastAsia="黑体"/>
          <w:snapToGrid w:val="0"/>
          <w:color w:val="auto"/>
          <w:kern w:val="0"/>
          <w:sz w:val="32"/>
          <w:szCs w:val="32"/>
          <w:lang w:eastAsia="zh-CN"/>
        </w:rPr>
        <w:t>保障措施</w:t>
      </w:r>
    </w:p>
    <w:p w14:paraId="18D8D999">
      <w:pPr>
        <w:keepNext w:val="0"/>
        <w:keepLines w:val="0"/>
        <w:pageBreakBefore w:val="0"/>
        <w:widowControl/>
        <w:kinsoku/>
        <w:wordWrap/>
        <w:overflowPunct/>
        <w:topLinePunct w:val="0"/>
        <w:autoSpaceDE/>
        <w:autoSpaceDN/>
        <w:bidi w:val="0"/>
        <w:snapToGrid w:val="0"/>
        <w:spacing w:line="560" w:lineRule="exact"/>
        <w:ind w:firstLine="606" w:firstLineChars="200"/>
        <w:jc w:val="left"/>
        <w:textAlignment w:val="auto"/>
        <w:rPr>
          <w:rFonts w:ascii="Times New Roman" w:hAnsi="Times New Roman" w:eastAsia="仿宋_GB2312"/>
          <w:snapToGrid w:val="0"/>
          <w:color w:val="auto"/>
          <w:kern w:val="0"/>
          <w:sz w:val="32"/>
          <w:szCs w:val="32"/>
        </w:rPr>
      </w:pPr>
      <w:r>
        <w:rPr>
          <w:rFonts w:hint="eastAsia" w:ascii="楷体" w:hAnsi="楷体" w:eastAsia="楷体" w:cs="楷体"/>
          <w:snapToGrid w:val="0"/>
          <w:color w:val="auto"/>
          <w:kern w:val="0"/>
          <w:sz w:val="32"/>
          <w:szCs w:val="32"/>
        </w:rPr>
        <w:t>（一）加强组织领导。</w:t>
      </w:r>
      <w:r>
        <w:rPr>
          <w:rFonts w:hint="eastAsia" w:ascii="Times New Roman" w:hAnsi="Times New Roman" w:eastAsia="仿宋_GB2312"/>
          <w:snapToGrid w:val="0"/>
          <w:color w:val="auto"/>
          <w:kern w:val="0"/>
          <w:sz w:val="32"/>
          <w:szCs w:val="32"/>
        </w:rPr>
        <w:t>各地要强化领导责任、保障责任、管理责任、监督责任，结合本地实际，制定实施方案，保障出生缺陷综合防控各项措施落实到位。</w:t>
      </w:r>
    </w:p>
    <w:p w14:paraId="6A031089">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Times New Roman" w:hAnsi="Times New Roman" w:eastAsia="仿宋_GB2312"/>
          <w:snapToGrid w:val="0"/>
          <w:color w:val="auto"/>
          <w:kern w:val="0"/>
          <w:sz w:val="32"/>
          <w:szCs w:val="32"/>
        </w:rPr>
      </w:pPr>
      <w:r>
        <w:rPr>
          <w:rFonts w:hint="eastAsia" w:ascii="楷体" w:hAnsi="楷体" w:eastAsia="楷体" w:cs="楷体"/>
          <w:snapToGrid w:val="0"/>
          <w:color w:val="auto"/>
          <w:kern w:val="0"/>
          <w:sz w:val="32"/>
          <w:szCs w:val="32"/>
        </w:rPr>
        <w:t>（二）</w:t>
      </w:r>
      <w:r>
        <w:rPr>
          <w:rFonts w:hint="eastAsia" w:ascii="楷体" w:hAnsi="楷体" w:eastAsia="楷体" w:cs="楷体"/>
          <w:snapToGrid w:val="0"/>
          <w:color w:val="auto"/>
          <w:kern w:val="0"/>
          <w:sz w:val="32"/>
          <w:szCs w:val="32"/>
          <w:lang w:eastAsia="zh-CN"/>
        </w:rPr>
        <w:t>加强人才队伍培训</w:t>
      </w:r>
      <w:r>
        <w:rPr>
          <w:rFonts w:hint="eastAsia" w:ascii="楷体" w:hAnsi="楷体" w:eastAsia="楷体" w:cs="楷体"/>
          <w:snapToGrid w:val="0"/>
          <w:color w:val="auto"/>
          <w:kern w:val="0"/>
          <w:sz w:val="32"/>
          <w:szCs w:val="32"/>
        </w:rPr>
        <w:t>。</w:t>
      </w:r>
      <w:r>
        <w:rPr>
          <w:rFonts w:hint="eastAsia" w:ascii="仿宋_GB2312" w:hAnsi="仿宋_GB2312" w:eastAsia="仿宋_GB2312" w:cs="仿宋_GB2312"/>
          <w:snapToGrid w:val="0"/>
          <w:color w:val="auto"/>
          <w:kern w:val="0"/>
          <w:sz w:val="32"/>
          <w:szCs w:val="32"/>
        </w:rPr>
        <w:t>规范开展专业人员岗位培训和继续教育，逐步壮大出生缺陷防控人才队伍，不断提高业务水平。在毕业后医学教育中，加强生殖健康、医学遗传学、严重多发出生缺陷诊断治疗等相关知识与内容培训。继续推进我市出生缺陷综合防控项目提升行动（2023-2025）方案，依托市级出生缺陷综合干预中心和协同单位，开展市级出生缺陷综合防控项目相关进修培训项目，建立规范有序的出生缺陷防控培训模式，针对防控薄弱环节，重点开展优生遗传咨询、产前筛查和产前诊断、鉴别诊断和治疗等培训工作。</w:t>
      </w:r>
    </w:p>
    <w:p w14:paraId="344FC222">
      <w:pPr>
        <w:keepNext w:val="0"/>
        <w:keepLines w:val="0"/>
        <w:pageBreakBefore w:val="0"/>
        <w:kinsoku/>
        <w:wordWrap/>
        <w:overflowPunct/>
        <w:topLinePunct w:val="0"/>
        <w:autoSpaceDE/>
        <w:autoSpaceDN/>
        <w:bidi w:val="0"/>
        <w:spacing w:line="560" w:lineRule="exact"/>
        <w:ind w:firstLine="606" w:firstLineChars="200"/>
        <w:textAlignment w:val="auto"/>
        <w:rPr>
          <w:rFonts w:ascii="Times New Roman" w:hAnsi="Times New Roman" w:eastAsia="仿宋_GB2312"/>
          <w:snapToGrid w:val="0"/>
          <w:color w:val="auto"/>
          <w:kern w:val="0"/>
          <w:sz w:val="32"/>
          <w:szCs w:val="32"/>
        </w:rPr>
      </w:pPr>
      <w:r>
        <w:rPr>
          <w:rFonts w:hint="eastAsia" w:ascii="楷体" w:hAnsi="楷体" w:eastAsia="楷体" w:cs="楷体"/>
          <w:snapToGrid w:val="0"/>
          <w:color w:val="auto"/>
          <w:kern w:val="0"/>
          <w:sz w:val="32"/>
          <w:szCs w:val="32"/>
        </w:rPr>
        <w:t>（三）</w:t>
      </w:r>
      <w:r>
        <w:rPr>
          <w:rFonts w:hint="eastAsia" w:ascii="楷体" w:hAnsi="楷体" w:eastAsia="楷体" w:cs="楷体"/>
          <w:snapToGrid w:val="0"/>
          <w:color w:val="auto"/>
          <w:kern w:val="0"/>
          <w:sz w:val="32"/>
          <w:szCs w:val="32"/>
          <w:lang w:eastAsia="zh-CN"/>
        </w:rPr>
        <w:t>加强科技及信息化支撑</w:t>
      </w:r>
      <w:r>
        <w:rPr>
          <w:rFonts w:hint="eastAsia" w:ascii="楷体" w:hAnsi="楷体" w:eastAsia="楷体" w:cs="楷体"/>
          <w:snapToGrid w:val="0"/>
          <w:color w:val="auto"/>
          <w:kern w:val="0"/>
          <w:sz w:val="32"/>
          <w:szCs w:val="32"/>
        </w:rPr>
        <w:t>。</w:t>
      </w:r>
      <w:r>
        <w:rPr>
          <w:rFonts w:hint="eastAsia" w:ascii="仿宋_GB2312" w:hAnsi="仿宋_GB2312" w:eastAsia="仿宋_GB2312" w:cs="仿宋_GB2312"/>
          <w:snapToGrid w:val="0"/>
          <w:color w:val="auto"/>
          <w:kern w:val="0"/>
          <w:sz w:val="32"/>
          <w:szCs w:val="32"/>
        </w:rPr>
        <w:t>健全各级出生缺陷监测网络，优化监测方案，加强信息收集、统计和分析，动态掌握出生缺陷发生现况和发展变化趋势。依托江门市妇幼卫生信息平台，完善出生缺陷防控全程服务信息。加强妇幼健康信息平台相关数据的分析利用，对全市出生缺陷发生状况、影响因素和变化趋势进行深入研究，特别是各类单病种出生缺陷的病因学和孕期、产后干预研究，综合开发孕前、孕产期和婴幼儿期的危险因素识别、风险评估、监测预警，以及早期筛查、诊断、治疗、康复等关键防控技术。借力“互联网+医疗健康”，为群众提供出生缺陷防控相关的咨询指导、检查提醒、预约就诊、检查检验结果查询等便民利民服务。加强数据和样本管理，保护公民隐私，保障国家信息安全和人类遗传资源安全。</w:t>
      </w:r>
      <w:r>
        <w:rPr>
          <w:rFonts w:ascii="Times New Roman" w:hAnsi="Times New Roman" w:eastAsia="仿宋_GB2312"/>
          <w:snapToGrid w:val="0"/>
          <w:color w:val="auto"/>
          <w:kern w:val="0"/>
          <w:sz w:val="32"/>
          <w:szCs w:val="32"/>
        </w:rPr>
        <w:t> </w:t>
      </w:r>
    </w:p>
    <w:p w14:paraId="304D8F4B">
      <w:pPr>
        <w:keepNext w:val="0"/>
        <w:keepLines w:val="0"/>
        <w:pageBreakBefore w:val="0"/>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snapToGrid w:val="0"/>
          <w:color w:val="auto"/>
          <w:kern w:val="0"/>
          <w:sz w:val="32"/>
          <w:szCs w:val="32"/>
        </w:rPr>
      </w:pPr>
      <w:r>
        <w:rPr>
          <w:rFonts w:hint="eastAsia" w:ascii="楷体" w:hAnsi="楷体" w:eastAsia="楷体" w:cs="楷体"/>
          <w:snapToGrid w:val="0"/>
          <w:color w:val="auto"/>
          <w:kern w:val="0"/>
          <w:sz w:val="32"/>
          <w:szCs w:val="32"/>
        </w:rPr>
        <w:t>（四）加强社会宣传。</w:t>
      </w:r>
      <w:r>
        <w:rPr>
          <w:rFonts w:hint="eastAsia" w:ascii="仿宋_GB2312" w:hAnsi="仿宋_GB2312" w:eastAsia="仿宋_GB2312" w:cs="仿宋_GB2312"/>
          <w:snapToGrid w:val="0"/>
          <w:color w:val="auto"/>
          <w:kern w:val="0"/>
          <w:sz w:val="32"/>
          <w:szCs w:val="32"/>
        </w:rPr>
        <w:t>各地要注重创新出生缺陷综合防控知识的健康教育形式，以育龄人群、婚前、孕前、孕期保健人群为重点人群，以日常临床诊疗服务和各类预防出生缺陷主题日为契机，在医疗保健机构、学校等公共场所，运用广播电视、海报、互联网、微信公众号健康讲座等宣传手段和平台，大力宣传出生缺陷综合防控的重要意义，普及相关知识；广泛宣传项目惠民政策和服务流程，提高宣教工作效率和可及性，提升群众自觉接受出生缺陷防控服务的意识，营造全社会关心和支持出生缺陷防控的良好氛围。</w:t>
      </w:r>
    </w:p>
    <w:p w14:paraId="3745197F">
      <w:pPr>
        <w:keepNext w:val="0"/>
        <w:keepLines w:val="0"/>
        <w:pageBreakBefore w:val="0"/>
        <w:kinsoku/>
        <w:wordWrap/>
        <w:overflowPunct/>
        <w:topLinePunct w:val="0"/>
        <w:autoSpaceDE/>
        <w:autoSpaceDN/>
        <w:bidi w:val="0"/>
        <w:spacing w:line="560" w:lineRule="exact"/>
        <w:ind w:firstLine="606" w:firstLineChars="200"/>
        <w:textAlignment w:val="auto"/>
        <w:rPr>
          <w:rFonts w:ascii="Times New Roman" w:hAnsi="Times New Roman" w:eastAsia="仿宋_GB2312"/>
          <w:snapToGrid w:val="0"/>
          <w:color w:val="auto"/>
          <w:kern w:val="0"/>
          <w:sz w:val="32"/>
          <w:szCs w:val="32"/>
        </w:rPr>
      </w:pPr>
      <w:r>
        <w:rPr>
          <w:rFonts w:hint="eastAsia" w:ascii="楷体" w:hAnsi="楷体" w:eastAsia="楷体" w:cs="楷体"/>
          <w:snapToGrid w:val="0"/>
          <w:color w:val="auto"/>
          <w:kern w:val="0"/>
          <w:sz w:val="32"/>
          <w:szCs w:val="32"/>
        </w:rPr>
        <w:t>（五）</w:t>
      </w:r>
      <w:r>
        <w:rPr>
          <w:rFonts w:hint="eastAsia" w:ascii="楷体" w:hAnsi="楷体" w:eastAsia="楷体" w:cs="楷体"/>
          <w:snapToGrid w:val="0"/>
          <w:color w:val="auto"/>
          <w:kern w:val="0"/>
          <w:sz w:val="32"/>
          <w:szCs w:val="32"/>
          <w:lang w:eastAsia="zh-CN"/>
        </w:rPr>
        <w:t>加强考核</w:t>
      </w:r>
      <w:r>
        <w:rPr>
          <w:rFonts w:hint="eastAsia" w:ascii="楷体" w:hAnsi="楷体" w:eastAsia="楷体" w:cs="楷体"/>
          <w:snapToGrid w:val="0"/>
          <w:color w:val="auto"/>
          <w:kern w:val="0"/>
          <w:sz w:val="32"/>
          <w:szCs w:val="32"/>
        </w:rPr>
        <w:t>评估。</w:t>
      </w:r>
      <w:r>
        <w:rPr>
          <w:rFonts w:hint="eastAsia" w:ascii="Times New Roman" w:hAnsi="Times New Roman" w:eastAsia="仿宋_GB2312"/>
          <w:snapToGrid w:val="0"/>
          <w:color w:val="auto"/>
          <w:kern w:val="0"/>
          <w:sz w:val="32"/>
          <w:szCs w:val="32"/>
        </w:rPr>
        <w:t>各地可通过政府重点工作绩效考核、民生实事项目、目标管理责任制等多种方式，督促落实出生缺陷防控工作。加强政策落实、项目实施、资金管理、工作成效等方面的考核评估，及时总结、推广出生缺陷防控有效做法和经验。</w:t>
      </w:r>
    </w:p>
    <w:p w14:paraId="13186ABC">
      <w:pPr>
        <w:keepNext w:val="0"/>
        <w:keepLines w:val="0"/>
        <w:pageBreakBefore w:val="0"/>
        <w:kinsoku/>
        <w:wordWrap/>
        <w:overflowPunct/>
        <w:topLinePunct w:val="0"/>
        <w:autoSpaceDE/>
        <w:autoSpaceDN/>
        <w:bidi w:val="0"/>
        <w:spacing w:line="560" w:lineRule="exact"/>
        <w:ind w:firstLine="606" w:firstLineChars="200"/>
        <w:textAlignment w:val="auto"/>
        <w:rPr>
          <w:rFonts w:ascii="Times New Roman" w:hAnsi="Times New Roman" w:eastAsia="仿宋_GB2312"/>
          <w:snapToGrid w:val="0"/>
          <w:color w:val="auto"/>
          <w:kern w:val="0"/>
          <w:sz w:val="32"/>
          <w:szCs w:val="32"/>
        </w:rPr>
      </w:pPr>
      <w:r>
        <w:rPr>
          <w:rFonts w:ascii="Times New Roman" w:hAnsi="Times New Roman" w:eastAsia="仿宋_GB2312"/>
          <w:snapToGrid w:val="0"/>
          <w:color w:val="auto"/>
          <w:kern w:val="0"/>
          <w:sz w:val="32"/>
          <w:szCs w:val="32"/>
        </w:rPr>
        <w:t>本方案自</w:t>
      </w:r>
      <w:r>
        <w:rPr>
          <w:rFonts w:hint="eastAsia" w:ascii="Times New Roman" w:hAnsi="Times New Roman" w:eastAsia="仿宋_GB2312"/>
          <w:snapToGrid w:val="0"/>
          <w:color w:val="auto"/>
          <w:kern w:val="0"/>
          <w:sz w:val="32"/>
          <w:szCs w:val="32"/>
          <w:lang w:eastAsia="zh-CN"/>
        </w:rPr>
        <w:t>印发之</w:t>
      </w:r>
      <w:r>
        <w:rPr>
          <w:rFonts w:ascii="Times New Roman" w:hAnsi="Times New Roman" w:eastAsia="仿宋_GB2312"/>
          <w:snapToGrid w:val="0"/>
          <w:color w:val="auto"/>
          <w:kern w:val="0"/>
          <w:sz w:val="32"/>
          <w:szCs w:val="32"/>
        </w:rPr>
        <w:t>日起执行。</w:t>
      </w:r>
    </w:p>
    <w:p w14:paraId="3B17D9A1">
      <w:pPr>
        <w:keepNext w:val="0"/>
        <w:keepLines w:val="0"/>
        <w:pageBreakBefore w:val="0"/>
        <w:kinsoku/>
        <w:wordWrap/>
        <w:overflowPunct/>
        <w:topLinePunct w:val="0"/>
        <w:autoSpaceDE/>
        <w:autoSpaceDN/>
        <w:bidi w:val="0"/>
        <w:spacing w:line="560" w:lineRule="exact"/>
        <w:ind w:firstLine="606" w:firstLineChars="200"/>
        <w:textAlignment w:val="auto"/>
        <w:rPr>
          <w:rFonts w:ascii="Times New Roman" w:hAnsi="Times New Roman" w:eastAsia="仿宋_GB2312"/>
          <w:snapToGrid w:val="0"/>
          <w:color w:val="auto"/>
          <w:kern w:val="0"/>
          <w:sz w:val="32"/>
          <w:szCs w:val="32"/>
        </w:rPr>
      </w:pPr>
    </w:p>
    <w:p w14:paraId="4199F65A">
      <w:pPr>
        <w:keepNext w:val="0"/>
        <w:keepLines w:val="0"/>
        <w:pageBreakBefore w:val="0"/>
        <w:kinsoku/>
        <w:wordWrap/>
        <w:overflowPunct/>
        <w:topLinePunct w:val="0"/>
        <w:autoSpaceDE/>
        <w:autoSpaceDN/>
        <w:bidi w:val="0"/>
        <w:spacing w:line="560" w:lineRule="exact"/>
        <w:ind w:left="1798" w:leftChars="304" w:hanging="1212" w:hangingChars="400"/>
        <w:textAlignment w:val="auto"/>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snapToGrid w:val="0"/>
          <w:color w:val="auto"/>
          <w:kern w:val="0"/>
          <w:sz w:val="32"/>
          <w:szCs w:val="32"/>
        </w:rPr>
        <w:t>附件：1.</w:t>
      </w:r>
      <w:r>
        <w:rPr>
          <w:rFonts w:hint="eastAsia" w:ascii="仿宋_GB2312" w:hAnsi="仿宋_GB2312" w:eastAsia="仿宋_GB2312" w:cs="仿宋_GB2312"/>
          <w:snapToGrid w:val="0"/>
          <w:color w:val="auto"/>
          <w:spacing w:val="-6"/>
          <w:kern w:val="0"/>
          <w:sz w:val="32"/>
          <w:szCs w:val="32"/>
        </w:rPr>
        <w:t>广东省出生缺陷综合防控项目需方补助项目及标</w:t>
      </w:r>
      <w:r>
        <w:rPr>
          <w:rFonts w:hint="eastAsia" w:ascii="仿宋_GB2312" w:hAnsi="仿宋_GB2312" w:eastAsia="仿宋_GB2312" w:cs="仿宋_GB2312"/>
          <w:snapToGrid w:val="0"/>
          <w:color w:val="auto"/>
          <w:spacing w:val="-6"/>
          <w:kern w:val="0"/>
          <w:sz w:val="32"/>
          <w:szCs w:val="32"/>
          <w:lang w:eastAsia="zh-CN"/>
        </w:rPr>
        <w:t>准</w:t>
      </w:r>
    </w:p>
    <w:p w14:paraId="31E6400F">
      <w:pPr>
        <w:keepNext w:val="0"/>
        <w:keepLines w:val="0"/>
        <w:pageBreakBefore w:val="0"/>
        <w:numPr>
          <w:ilvl w:val="0"/>
          <w:numId w:val="0"/>
        </w:numPr>
        <w:kinsoku/>
        <w:wordWrap/>
        <w:overflowPunct/>
        <w:topLinePunct w:val="0"/>
        <w:autoSpaceDE/>
        <w:autoSpaceDN/>
        <w:bidi w:val="0"/>
        <w:spacing w:line="560" w:lineRule="exact"/>
        <w:ind w:firstLine="1515" w:firstLineChars="5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lang w:val="en-US" w:eastAsia="zh-CN"/>
        </w:rPr>
        <w:t>2.</w:t>
      </w:r>
      <w:r>
        <w:rPr>
          <w:rFonts w:hint="eastAsia" w:ascii="仿宋_GB2312" w:hAnsi="仿宋_GB2312" w:eastAsia="仿宋_GB2312" w:cs="仿宋_GB2312"/>
          <w:snapToGrid w:val="0"/>
          <w:color w:val="auto"/>
          <w:kern w:val="0"/>
          <w:sz w:val="32"/>
          <w:szCs w:val="32"/>
        </w:rPr>
        <w:t>江门市出生缺陷综合防控项目</w:t>
      </w:r>
      <w:r>
        <w:rPr>
          <w:rFonts w:hint="eastAsia" w:ascii="仿宋_GB2312" w:hAnsi="仿宋_GB2312" w:eastAsia="仿宋_GB2312" w:cs="仿宋_GB2312"/>
          <w:snapToGrid w:val="0"/>
          <w:color w:val="auto"/>
          <w:kern w:val="0"/>
          <w:sz w:val="32"/>
          <w:szCs w:val="32"/>
          <w:lang w:eastAsia="zh-CN"/>
        </w:rPr>
        <w:t>需方</w:t>
      </w:r>
      <w:r>
        <w:rPr>
          <w:rFonts w:hint="eastAsia" w:ascii="仿宋_GB2312" w:hAnsi="仿宋_GB2312" w:eastAsia="仿宋_GB2312" w:cs="仿宋_GB2312"/>
          <w:snapToGrid w:val="0"/>
          <w:color w:val="auto"/>
          <w:kern w:val="0"/>
          <w:sz w:val="32"/>
          <w:szCs w:val="32"/>
        </w:rPr>
        <w:t>经费结算流程</w:t>
      </w:r>
    </w:p>
    <w:p w14:paraId="4ACD98D6">
      <w:pPr>
        <w:keepNext w:val="0"/>
        <w:keepLines w:val="0"/>
        <w:pageBreakBefore w:val="0"/>
        <w:numPr>
          <w:ilvl w:val="0"/>
          <w:numId w:val="0"/>
        </w:numPr>
        <w:kinsoku/>
        <w:wordWrap/>
        <w:overflowPunct/>
        <w:topLinePunct w:val="0"/>
        <w:autoSpaceDE/>
        <w:autoSpaceDN/>
        <w:bidi w:val="0"/>
        <w:spacing w:line="560" w:lineRule="exact"/>
        <w:ind w:left="1769" w:leftChars="760" w:hanging="303" w:hangingChars="1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3.</w:t>
      </w:r>
      <w:r>
        <w:rPr>
          <w:rFonts w:hint="eastAsia" w:ascii="仿宋_GB2312" w:hAnsi="仿宋_GB2312" w:eastAsia="仿宋_GB2312" w:cs="仿宋_GB2312"/>
          <w:snapToGrid w:val="0"/>
          <w:color w:val="auto"/>
          <w:kern w:val="0"/>
          <w:sz w:val="32"/>
          <w:szCs w:val="32"/>
        </w:rPr>
        <w:t>江门市出生缺陷综合防控项目</w:t>
      </w:r>
      <w:r>
        <w:rPr>
          <w:rFonts w:hint="eastAsia" w:ascii="仿宋_GB2312" w:hAnsi="仿宋_GB2312" w:eastAsia="仿宋_GB2312" w:cs="仿宋_GB2312"/>
          <w:snapToGrid w:val="0"/>
          <w:color w:val="auto"/>
          <w:kern w:val="0"/>
          <w:sz w:val="32"/>
          <w:szCs w:val="32"/>
          <w:lang w:eastAsia="zh-CN"/>
        </w:rPr>
        <w:t>需方经费各级财政承担比例</w:t>
      </w:r>
    </w:p>
    <w:p w14:paraId="72857D7C">
      <w:pPr>
        <w:keepNext w:val="0"/>
        <w:keepLines w:val="0"/>
        <w:pageBreakBefore w:val="0"/>
        <w:numPr>
          <w:ilvl w:val="0"/>
          <w:numId w:val="0"/>
        </w:numPr>
        <w:kinsoku/>
        <w:wordWrap/>
        <w:overflowPunct/>
        <w:topLinePunct w:val="0"/>
        <w:autoSpaceDE/>
        <w:autoSpaceDN/>
        <w:bidi w:val="0"/>
        <w:spacing w:line="560" w:lineRule="exact"/>
        <w:ind w:firstLine="1515" w:firstLineChars="5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lang w:val="en-US" w:eastAsia="zh-CN"/>
        </w:rPr>
        <w:t>4</w:t>
      </w:r>
      <w:r>
        <w:rPr>
          <w:rFonts w:hint="eastAsia" w:ascii="仿宋_GB2312" w:hAnsi="仿宋_GB2312" w:eastAsia="仿宋_GB2312" w:cs="仿宋_GB2312"/>
          <w:snapToGrid w:val="0"/>
          <w:color w:val="auto"/>
          <w:kern w:val="0"/>
          <w:sz w:val="32"/>
          <w:szCs w:val="32"/>
        </w:rPr>
        <w:t>.江门市出生缺陷综合防控项目月度经费结算表</w:t>
      </w:r>
    </w:p>
    <w:p w14:paraId="5392CE88">
      <w:pPr>
        <w:keepNext w:val="0"/>
        <w:keepLines w:val="0"/>
        <w:pageBreakBefore w:val="0"/>
        <w:numPr>
          <w:ilvl w:val="0"/>
          <w:numId w:val="0"/>
        </w:numPr>
        <w:kinsoku/>
        <w:wordWrap/>
        <w:overflowPunct/>
        <w:topLinePunct w:val="0"/>
        <w:autoSpaceDE/>
        <w:autoSpaceDN/>
        <w:bidi w:val="0"/>
        <w:spacing w:line="560" w:lineRule="exact"/>
        <w:ind w:firstLine="1818" w:firstLineChars="6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（共3项）</w:t>
      </w:r>
    </w:p>
    <w:p w14:paraId="1D630AFA">
      <w:pPr>
        <w:keepNext w:val="0"/>
        <w:keepLines w:val="0"/>
        <w:pageBreakBefore w:val="0"/>
        <w:kinsoku/>
        <w:wordWrap/>
        <w:overflowPunct/>
        <w:topLinePunct w:val="0"/>
        <w:autoSpaceDE/>
        <w:autoSpaceDN/>
        <w:bidi w:val="0"/>
        <w:spacing w:line="560" w:lineRule="exact"/>
        <w:ind w:firstLine="1515" w:firstLineChars="5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lang w:val="en-US" w:eastAsia="zh-CN"/>
        </w:rPr>
        <w:t>5</w:t>
      </w:r>
      <w:r>
        <w:rPr>
          <w:rFonts w:hint="eastAsia" w:ascii="仿宋_GB2312" w:hAnsi="仿宋_GB2312" w:eastAsia="仿宋_GB2312" w:cs="仿宋_GB2312"/>
          <w:snapToGrid w:val="0"/>
          <w:color w:val="auto"/>
          <w:kern w:val="0"/>
          <w:sz w:val="32"/>
          <w:szCs w:val="32"/>
        </w:rPr>
        <w:t>.江门市出生缺陷综合防控项目--地贫月报表</w:t>
      </w:r>
    </w:p>
    <w:p w14:paraId="30BA0585">
      <w:pPr>
        <w:keepNext w:val="0"/>
        <w:keepLines w:val="0"/>
        <w:pageBreakBefore w:val="0"/>
        <w:kinsoku/>
        <w:wordWrap/>
        <w:overflowPunct/>
        <w:topLinePunct w:val="0"/>
        <w:autoSpaceDE/>
        <w:autoSpaceDN/>
        <w:bidi w:val="0"/>
        <w:spacing w:line="560" w:lineRule="exact"/>
        <w:ind w:firstLine="1818" w:firstLineChars="6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（共2项）</w:t>
      </w:r>
    </w:p>
    <w:p w14:paraId="7FF7FB9D">
      <w:pPr>
        <w:keepNext w:val="0"/>
        <w:keepLines w:val="0"/>
        <w:pageBreakBefore w:val="0"/>
        <w:kinsoku/>
        <w:wordWrap/>
        <w:overflowPunct/>
        <w:topLinePunct w:val="0"/>
        <w:autoSpaceDE/>
        <w:autoSpaceDN/>
        <w:bidi w:val="0"/>
        <w:spacing w:line="560" w:lineRule="exact"/>
        <w:ind w:left="2109" w:leftChars="779" w:hanging="606" w:hanging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lang w:val="en-US" w:eastAsia="zh-CN"/>
        </w:rPr>
        <w:t>6</w:t>
      </w:r>
      <w:r>
        <w:rPr>
          <w:rFonts w:hint="eastAsia" w:ascii="仿宋_GB2312" w:hAnsi="仿宋_GB2312" w:eastAsia="仿宋_GB2312" w:cs="仿宋_GB2312"/>
          <w:snapToGrid w:val="0"/>
          <w:color w:val="auto"/>
          <w:kern w:val="0"/>
          <w:sz w:val="32"/>
          <w:szCs w:val="32"/>
        </w:rPr>
        <w:t>.江门市出生缺陷综合防控项目--先天性心脏病筛</w:t>
      </w:r>
    </w:p>
    <w:p w14:paraId="63CF3097">
      <w:pPr>
        <w:keepNext w:val="0"/>
        <w:keepLines w:val="0"/>
        <w:pageBreakBefore w:val="0"/>
        <w:kinsoku/>
        <w:wordWrap/>
        <w:overflowPunct/>
        <w:topLinePunct w:val="0"/>
        <w:autoSpaceDE/>
        <w:autoSpaceDN/>
        <w:bidi w:val="0"/>
        <w:spacing w:line="560" w:lineRule="exact"/>
        <w:ind w:left="2099" w:leftChars="931" w:hanging="303" w:hangingChars="1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查报表</w:t>
      </w:r>
    </w:p>
    <w:p w14:paraId="6959A694">
      <w:pPr>
        <w:keepNext w:val="0"/>
        <w:keepLines w:val="0"/>
        <w:pageBreakBefore w:val="0"/>
        <w:tabs>
          <w:tab w:val="left" w:pos="1720"/>
        </w:tabs>
        <w:kinsoku/>
        <w:wordWrap/>
        <w:overflowPunct/>
        <w:topLinePunct w:val="0"/>
        <w:autoSpaceDE/>
        <w:autoSpaceDN/>
        <w:bidi w:val="0"/>
        <w:spacing w:line="560" w:lineRule="exact"/>
        <w:ind w:left="1757" w:leftChars="783" w:hanging="246" w:hangingChars="81"/>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lang w:val="en-US" w:eastAsia="zh-CN"/>
        </w:rPr>
        <w:t>7</w:t>
      </w:r>
      <w:r>
        <w:rPr>
          <w:rFonts w:hint="eastAsia" w:ascii="仿宋_GB2312" w:hAnsi="仿宋_GB2312" w:eastAsia="仿宋_GB2312" w:cs="仿宋_GB2312"/>
          <w:snapToGrid w:val="0"/>
          <w:color w:val="auto"/>
          <w:kern w:val="0"/>
          <w:sz w:val="32"/>
          <w:szCs w:val="32"/>
        </w:rPr>
        <w:t>.江门市出生缺陷综合防控项目季报表（产前筛查与诊断、新生儿疾病筛查，共2项）</w:t>
      </w:r>
    </w:p>
    <w:p w14:paraId="7AD1E8FB">
      <w:pPr>
        <w:keepNext w:val="0"/>
        <w:keepLines w:val="0"/>
        <w:pageBreakBefore w:val="0"/>
        <w:kinsoku/>
        <w:wordWrap/>
        <w:overflowPunct/>
        <w:topLinePunct w:val="0"/>
        <w:autoSpaceDE/>
        <w:autoSpaceDN/>
        <w:bidi w:val="0"/>
        <w:spacing w:line="560" w:lineRule="exact"/>
        <w:ind w:left="2109" w:leftChars="779" w:hanging="606" w:hanging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lang w:val="en-US" w:eastAsia="zh-CN"/>
        </w:rPr>
        <w:t>8</w:t>
      </w:r>
      <w:r>
        <w:rPr>
          <w:rFonts w:hint="eastAsia" w:ascii="仿宋_GB2312" w:hAnsi="仿宋_GB2312" w:eastAsia="仿宋_GB2312" w:cs="仿宋_GB2312"/>
          <w:snapToGrid w:val="0"/>
          <w:color w:val="auto"/>
          <w:kern w:val="0"/>
          <w:sz w:val="32"/>
          <w:szCs w:val="32"/>
        </w:rPr>
        <w:t>.出生缺陷综合防控项目工作流程图（共8项）</w:t>
      </w:r>
    </w:p>
    <w:p w14:paraId="2C53D664">
      <w:pPr>
        <w:keepNext w:val="0"/>
        <w:keepLines w:val="0"/>
        <w:pageBreakBefore w:val="0"/>
        <w:kinsoku/>
        <w:wordWrap/>
        <w:overflowPunct/>
        <w:topLinePunct w:val="0"/>
        <w:autoSpaceDE/>
        <w:autoSpaceDN/>
        <w:bidi w:val="0"/>
        <w:spacing w:line="600" w:lineRule="exact"/>
        <w:ind w:left="2109" w:leftChars="779" w:hanging="606" w:hangingChars="200"/>
        <w:textAlignment w:val="auto"/>
        <w:rPr>
          <w:rFonts w:ascii="Times New Roman" w:hAnsi="Times New Roman" w:eastAsia="仿宋_GB2312"/>
          <w:snapToGrid w:val="0"/>
          <w:color w:val="auto"/>
          <w:kern w:val="0"/>
          <w:sz w:val="32"/>
          <w:szCs w:val="32"/>
        </w:rPr>
      </w:pPr>
    </w:p>
    <w:p w14:paraId="72A658C7">
      <w:pPr>
        <w:keepNext w:val="0"/>
        <w:keepLines w:val="0"/>
        <w:pageBreakBefore w:val="0"/>
        <w:kinsoku/>
        <w:wordWrap/>
        <w:overflowPunct/>
        <w:topLinePunct w:val="0"/>
        <w:autoSpaceDE/>
        <w:autoSpaceDN/>
        <w:bidi w:val="0"/>
        <w:spacing w:line="600" w:lineRule="exact"/>
        <w:ind w:left="1769" w:leftChars="760" w:hanging="303" w:hangingChars="100"/>
        <w:textAlignment w:val="auto"/>
        <w:rPr>
          <w:rFonts w:ascii="Times New Roman" w:hAnsi="Times New Roman" w:eastAsia="仿宋_GB2312"/>
          <w:snapToGrid w:val="0"/>
          <w:color w:val="auto"/>
          <w:kern w:val="0"/>
          <w:sz w:val="32"/>
          <w:szCs w:val="32"/>
        </w:rPr>
      </w:pPr>
    </w:p>
    <w:p w14:paraId="6A1E07E1">
      <w:pPr>
        <w:keepNext w:val="0"/>
        <w:keepLines w:val="0"/>
        <w:pageBreakBefore w:val="0"/>
        <w:kinsoku/>
        <w:wordWrap/>
        <w:overflowPunct/>
        <w:topLinePunct w:val="0"/>
        <w:autoSpaceDE/>
        <w:autoSpaceDN/>
        <w:bidi w:val="0"/>
        <w:spacing w:line="600" w:lineRule="exact"/>
        <w:textAlignment w:val="auto"/>
        <w:rPr>
          <w:rFonts w:ascii="Times New Roman" w:hAnsi="Times New Roman" w:eastAsia="仿宋_GB2312"/>
          <w:snapToGrid w:val="0"/>
          <w:color w:val="auto"/>
          <w:kern w:val="0"/>
          <w:sz w:val="32"/>
          <w:szCs w:val="32"/>
        </w:rPr>
      </w:pPr>
    </w:p>
    <w:p w14:paraId="1D28314F">
      <w:pPr>
        <w:keepNext w:val="0"/>
        <w:keepLines w:val="0"/>
        <w:pageBreakBefore w:val="0"/>
        <w:kinsoku/>
        <w:wordWrap/>
        <w:overflowPunct/>
        <w:topLinePunct w:val="0"/>
        <w:autoSpaceDE/>
        <w:autoSpaceDN/>
        <w:bidi w:val="0"/>
        <w:spacing w:line="600" w:lineRule="exact"/>
        <w:ind w:left="1769" w:leftChars="760" w:hanging="303" w:hangingChars="100"/>
        <w:textAlignment w:val="auto"/>
        <w:rPr>
          <w:rFonts w:hint="default" w:ascii="Times New Roman" w:hAnsi="Times New Roman" w:eastAsia="仿宋_GB2312"/>
          <w:snapToGrid w:val="0"/>
          <w:color w:val="auto"/>
          <w:kern w:val="0"/>
          <w:sz w:val="32"/>
          <w:szCs w:val="32"/>
          <w:lang w:val="en-US" w:eastAsia="zh-CN"/>
        </w:rPr>
      </w:pPr>
      <w:r>
        <w:rPr>
          <w:rFonts w:hint="eastAsia" w:ascii="Times New Roman" w:hAnsi="Times New Roman" w:eastAsia="仿宋_GB2312"/>
          <w:snapToGrid w:val="0"/>
          <w:color w:val="auto"/>
          <w:kern w:val="0"/>
          <w:sz w:val="32"/>
          <w:szCs w:val="32"/>
          <w:lang w:val="en-US" w:eastAsia="zh-CN"/>
        </w:rPr>
        <w:t xml:space="preserve">                       </w:t>
      </w:r>
    </w:p>
    <w:p w14:paraId="7952397D">
      <w:pPr>
        <w:snapToGrid w:val="0"/>
        <w:spacing w:line="560" w:lineRule="exact"/>
        <w:jc w:val="left"/>
        <w:rPr>
          <w:rFonts w:ascii="Times New Roman" w:hAnsi="Times New Roman" w:eastAsia="黑体"/>
          <w:snapToGrid w:val="0"/>
          <w:kern w:val="0"/>
          <w:sz w:val="32"/>
          <w:szCs w:val="32"/>
        </w:rPr>
        <w:sectPr>
          <w:footerReference r:id="rId5" w:type="first"/>
          <w:headerReference r:id="rId3" w:type="default"/>
          <w:footerReference r:id="rId4" w:type="default"/>
          <w:pgSz w:w="11906" w:h="16838"/>
          <w:pgMar w:top="1587" w:right="1587" w:bottom="1587" w:left="1587" w:header="851" w:footer="1134" w:gutter="0"/>
          <w:pgNumType w:fmt="decimal"/>
          <w:cols w:space="0" w:num="1"/>
          <w:titlePg/>
          <w:rtlGutter w:val="0"/>
          <w:docGrid w:type="linesAndChars" w:linePitch="579" w:charSpace="-3633"/>
        </w:sectPr>
      </w:pPr>
    </w:p>
    <w:p w14:paraId="4EE28FFD">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附件1</w:t>
      </w:r>
    </w:p>
    <w:p w14:paraId="2B14E5E5">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164"/>
        <w:jc w:val="center"/>
        <w:textAlignment w:val="auto"/>
        <w:rPr>
          <w:kern w:val="0"/>
          <w:sz w:val="24"/>
        </w:rPr>
      </w:pPr>
      <w:r>
        <w:rPr>
          <w:rFonts w:hint="eastAsia" w:ascii="方正小标宋简体" w:hAnsi="方正小标宋简体" w:eastAsia="方正小标宋简体" w:cs="方正小标宋简体"/>
          <w:kern w:val="0"/>
          <w:sz w:val="36"/>
          <w:szCs w:val="36"/>
          <w:lang w:bidi="ar"/>
        </w:rPr>
        <w:t>广东省出生缺陷综合防控项目需方补助项目及标准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51"/>
        <w:gridCol w:w="992"/>
        <w:gridCol w:w="1417"/>
        <w:gridCol w:w="2925"/>
        <w:gridCol w:w="945"/>
        <w:gridCol w:w="887"/>
        <w:gridCol w:w="1245"/>
        <w:gridCol w:w="840"/>
        <w:gridCol w:w="870"/>
        <w:gridCol w:w="1170"/>
        <w:gridCol w:w="1575"/>
        <w:gridCol w:w="2058"/>
      </w:tblGrid>
      <w:tr w14:paraId="759CC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808C7BA">
            <w:pPr>
              <w:widowControl/>
              <w:snapToGrid w:val="0"/>
              <w:spacing w:line="240" w:lineRule="atLeast"/>
              <w:ind w:left="165"/>
              <w:jc w:val="center"/>
              <w:textAlignment w:val="center"/>
              <w:rPr>
                <w:rFonts w:ascii="黑体" w:hAnsi="宋体" w:eastAsia="黑体" w:cs="黑体"/>
                <w:szCs w:val="21"/>
              </w:rPr>
            </w:pPr>
            <w:r>
              <w:rPr>
                <w:rFonts w:ascii="黑体" w:hAnsi="宋体" w:eastAsia="黑体" w:cs="黑体"/>
                <w:kern w:val="0"/>
                <w:szCs w:val="21"/>
                <w:lang w:bidi="ar"/>
              </w:rPr>
              <w:t>目标疾病</w:t>
            </w:r>
          </w:p>
        </w:tc>
        <w:tc>
          <w:tcPr>
            <w:tcW w:w="2409" w:type="dxa"/>
            <w:gridSpan w:val="2"/>
            <w:vMerge w:val="restart"/>
            <w:tcBorders>
              <w:top w:val="single" w:color="000000" w:sz="4" w:space="0"/>
              <w:left w:val="nil"/>
              <w:bottom w:val="single" w:color="000000" w:sz="4" w:space="0"/>
              <w:right w:val="single" w:color="000000" w:sz="4" w:space="0"/>
            </w:tcBorders>
            <w:tcMar>
              <w:top w:w="10" w:type="dxa"/>
              <w:left w:w="10" w:type="dxa"/>
              <w:right w:w="10" w:type="dxa"/>
            </w:tcMar>
            <w:vAlign w:val="center"/>
          </w:tcPr>
          <w:p w14:paraId="6E9801D1">
            <w:pPr>
              <w:widowControl/>
              <w:snapToGrid w:val="0"/>
              <w:spacing w:line="240" w:lineRule="atLeast"/>
              <w:ind w:left="165"/>
              <w:jc w:val="center"/>
              <w:textAlignment w:val="center"/>
              <w:rPr>
                <w:rFonts w:ascii="黑体" w:hAnsi="宋体" w:eastAsia="黑体" w:cs="黑体"/>
                <w:szCs w:val="21"/>
              </w:rPr>
            </w:pPr>
            <w:r>
              <w:rPr>
                <w:rFonts w:ascii="黑体" w:hAnsi="宋体" w:eastAsia="黑体" w:cs="黑体"/>
                <w:kern w:val="0"/>
                <w:szCs w:val="21"/>
                <w:lang w:bidi="ar"/>
              </w:rPr>
              <w:t>检查项目</w:t>
            </w:r>
          </w:p>
        </w:tc>
        <w:tc>
          <w:tcPr>
            <w:tcW w:w="2925" w:type="dxa"/>
            <w:vMerge w:val="restart"/>
            <w:tcBorders>
              <w:top w:val="single" w:color="000000" w:sz="4" w:space="0"/>
              <w:left w:val="nil"/>
              <w:bottom w:val="single" w:color="000000" w:sz="4" w:space="0"/>
              <w:right w:val="single" w:color="000000" w:sz="4" w:space="0"/>
            </w:tcBorders>
            <w:tcMar>
              <w:top w:w="10" w:type="dxa"/>
              <w:left w:w="10" w:type="dxa"/>
              <w:right w:w="10" w:type="dxa"/>
            </w:tcMar>
            <w:vAlign w:val="center"/>
          </w:tcPr>
          <w:p w14:paraId="7F885571">
            <w:pPr>
              <w:widowControl/>
              <w:snapToGrid w:val="0"/>
              <w:spacing w:line="240" w:lineRule="atLeast"/>
              <w:ind w:left="165"/>
              <w:jc w:val="center"/>
              <w:textAlignment w:val="center"/>
              <w:rPr>
                <w:rFonts w:ascii="黑体" w:hAnsi="宋体" w:eastAsia="黑体" w:cs="黑体"/>
                <w:szCs w:val="21"/>
              </w:rPr>
            </w:pPr>
            <w:r>
              <w:rPr>
                <w:rFonts w:ascii="黑体" w:hAnsi="宋体" w:eastAsia="黑体" w:cs="黑体"/>
                <w:kern w:val="0"/>
                <w:szCs w:val="21"/>
                <w:lang w:bidi="ar"/>
              </w:rPr>
              <w:t>补助对象</w:t>
            </w:r>
          </w:p>
        </w:tc>
        <w:tc>
          <w:tcPr>
            <w:tcW w:w="945" w:type="dxa"/>
            <w:vMerge w:val="restart"/>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129FBA7">
            <w:pPr>
              <w:widowControl/>
              <w:snapToGrid w:val="0"/>
              <w:spacing w:line="240" w:lineRule="atLeast"/>
              <w:ind w:left="165"/>
              <w:jc w:val="center"/>
              <w:textAlignment w:val="center"/>
              <w:rPr>
                <w:rFonts w:ascii="黑体" w:hAnsi="宋体" w:eastAsia="黑体" w:cs="黑体"/>
                <w:szCs w:val="21"/>
              </w:rPr>
            </w:pPr>
            <w:r>
              <w:rPr>
                <w:rFonts w:ascii="黑体" w:hAnsi="宋体" w:eastAsia="黑体" w:cs="黑体"/>
                <w:kern w:val="0"/>
                <w:szCs w:val="21"/>
                <w:lang w:bidi="ar"/>
              </w:rPr>
              <w:t>服务机构</w:t>
            </w:r>
          </w:p>
        </w:tc>
        <w:tc>
          <w:tcPr>
            <w:tcW w:w="887" w:type="dxa"/>
            <w:vMerge w:val="restart"/>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B74AFC3">
            <w:pPr>
              <w:widowControl/>
              <w:snapToGrid w:val="0"/>
              <w:spacing w:line="240" w:lineRule="atLeast"/>
              <w:ind w:left="165"/>
              <w:jc w:val="center"/>
              <w:textAlignment w:val="center"/>
              <w:rPr>
                <w:rFonts w:ascii="黑体" w:hAnsi="宋体" w:eastAsia="黑体" w:cs="黑体"/>
                <w:szCs w:val="21"/>
              </w:rPr>
            </w:pPr>
            <w:r>
              <w:rPr>
                <w:rFonts w:ascii="黑体" w:hAnsi="宋体" w:eastAsia="黑体" w:cs="黑体"/>
                <w:kern w:val="0"/>
                <w:szCs w:val="21"/>
                <w:lang w:bidi="ar"/>
              </w:rPr>
              <w:t>医疗机构收费标准（元/例）</w:t>
            </w:r>
          </w:p>
        </w:tc>
        <w:tc>
          <w:tcPr>
            <w:tcW w:w="1245" w:type="dxa"/>
            <w:vMerge w:val="restart"/>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BC4026C">
            <w:pPr>
              <w:widowControl/>
              <w:snapToGrid w:val="0"/>
              <w:spacing w:line="240" w:lineRule="atLeast"/>
              <w:ind w:left="165"/>
              <w:jc w:val="center"/>
              <w:textAlignment w:val="center"/>
              <w:rPr>
                <w:rFonts w:ascii="黑体" w:hAnsi="宋体" w:eastAsia="黑体" w:cs="黑体"/>
                <w:szCs w:val="21"/>
              </w:rPr>
            </w:pPr>
            <w:r>
              <w:rPr>
                <w:rFonts w:ascii="黑体" w:hAnsi="宋体" w:eastAsia="黑体" w:cs="黑体"/>
                <w:kern w:val="0"/>
                <w:szCs w:val="21"/>
                <w:lang w:bidi="ar"/>
              </w:rPr>
              <w:t>财政结算标准（元/例）</w:t>
            </w:r>
          </w:p>
        </w:tc>
        <w:tc>
          <w:tcPr>
            <w:tcW w:w="840" w:type="dxa"/>
            <w:vMerge w:val="restart"/>
            <w:tcBorders>
              <w:top w:val="single" w:color="000000" w:sz="4" w:space="0"/>
              <w:left w:val="nil"/>
              <w:bottom w:val="single" w:color="000000" w:sz="4" w:space="0"/>
              <w:right w:val="single" w:color="000000" w:sz="4" w:space="0"/>
            </w:tcBorders>
            <w:tcMar>
              <w:top w:w="10" w:type="dxa"/>
              <w:left w:w="10" w:type="dxa"/>
              <w:right w:w="10" w:type="dxa"/>
            </w:tcMar>
            <w:vAlign w:val="center"/>
          </w:tcPr>
          <w:p w14:paraId="57875890">
            <w:pPr>
              <w:widowControl/>
              <w:snapToGrid w:val="0"/>
              <w:spacing w:line="240" w:lineRule="atLeast"/>
              <w:ind w:left="165"/>
              <w:jc w:val="center"/>
              <w:textAlignment w:val="center"/>
              <w:rPr>
                <w:rFonts w:ascii="黑体" w:hAnsi="宋体" w:eastAsia="黑体" w:cs="黑体"/>
                <w:szCs w:val="21"/>
              </w:rPr>
            </w:pPr>
            <w:r>
              <w:rPr>
                <w:rFonts w:ascii="黑体" w:hAnsi="宋体" w:eastAsia="黑体" w:cs="黑体"/>
                <w:kern w:val="0"/>
                <w:szCs w:val="21"/>
                <w:lang w:bidi="ar"/>
              </w:rPr>
              <w:t>需要筛查人数比例</w:t>
            </w:r>
          </w:p>
        </w:tc>
        <w:tc>
          <w:tcPr>
            <w:tcW w:w="870" w:type="dxa"/>
            <w:vMerge w:val="restart"/>
            <w:tcBorders>
              <w:top w:val="single" w:color="000000" w:sz="4" w:space="0"/>
              <w:left w:val="nil"/>
              <w:bottom w:val="single" w:color="000000" w:sz="4" w:space="0"/>
              <w:right w:val="single" w:color="000000" w:sz="4" w:space="0"/>
            </w:tcBorders>
            <w:tcMar>
              <w:top w:w="10" w:type="dxa"/>
              <w:left w:w="10" w:type="dxa"/>
              <w:right w:w="10" w:type="dxa"/>
            </w:tcMar>
            <w:vAlign w:val="center"/>
          </w:tcPr>
          <w:p w14:paraId="3D647BBC">
            <w:pPr>
              <w:widowControl/>
              <w:snapToGrid w:val="0"/>
              <w:spacing w:line="240" w:lineRule="atLeast"/>
              <w:ind w:left="165"/>
              <w:jc w:val="center"/>
              <w:textAlignment w:val="center"/>
              <w:rPr>
                <w:rFonts w:ascii="黑体" w:hAnsi="宋体" w:eastAsia="黑体" w:cs="黑体"/>
                <w:szCs w:val="21"/>
              </w:rPr>
            </w:pPr>
            <w:r>
              <w:rPr>
                <w:rFonts w:ascii="黑体" w:hAnsi="宋体" w:eastAsia="黑体" w:cs="黑体"/>
                <w:kern w:val="0"/>
                <w:szCs w:val="21"/>
                <w:lang w:bidi="ar"/>
              </w:rPr>
              <w:t>省财政预拨和结算比例</w:t>
            </w:r>
          </w:p>
        </w:tc>
        <w:tc>
          <w:tcPr>
            <w:tcW w:w="4803" w:type="dxa"/>
            <w:gridSpan w:val="3"/>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23CA010">
            <w:pPr>
              <w:widowControl/>
              <w:snapToGrid w:val="0"/>
              <w:spacing w:line="240" w:lineRule="atLeast"/>
              <w:ind w:left="165"/>
              <w:jc w:val="center"/>
              <w:textAlignment w:val="center"/>
              <w:rPr>
                <w:rFonts w:ascii="黑体" w:hAnsi="宋体" w:eastAsia="黑体" w:cs="黑体"/>
                <w:szCs w:val="21"/>
              </w:rPr>
            </w:pPr>
            <w:r>
              <w:rPr>
                <w:rFonts w:ascii="黑体" w:hAnsi="宋体" w:eastAsia="黑体" w:cs="黑体"/>
                <w:kern w:val="0"/>
                <w:szCs w:val="21"/>
                <w:lang w:bidi="ar"/>
              </w:rPr>
              <w:t>财政预拨标准（元/人）</w:t>
            </w:r>
          </w:p>
        </w:tc>
      </w:tr>
      <w:tr w14:paraId="2097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2F1DFE2">
            <w:pPr>
              <w:rPr>
                <w:sz w:val="20"/>
                <w:szCs w:val="20"/>
              </w:rPr>
            </w:pPr>
          </w:p>
        </w:tc>
        <w:tc>
          <w:tcPr>
            <w:tcW w:w="2409" w:type="dxa"/>
            <w:gridSpan w:val="2"/>
            <w:vMerge w:val="continue"/>
            <w:tcBorders>
              <w:top w:val="single" w:color="000000" w:sz="4" w:space="0"/>
              <w:left w:val="nil"/>
              <w:bottom w:val="single" w:color="000000" w:sz="4" w:space="0"/>
              <w:right w:val="single" w:color="000000" w:sz="4" w:space="0"/>
            </w:tcBorders>
            <w:tcMar>
              <w:top w:w="10" w:type="dxa"/>
              <w:left w:w="10" w:type="dxa"/>
              <w:right w:w="10" w:type="dxa"/>
            </w:tcMar>
            <w:vAlign w:val="center"/>
          </w:tcPr>
          <w:p w14:paraId="6AB34DB3">
            <w:pPr>
              <w:rPr>
                <w:sz w:val="20"/>
                <w:szCs w:val="20"/>
              </w:rPr>
            </w:pPr>
          </w:p>
        </w:tc>
        <w:tc>
          <w:tcPr>
            <w:tcW w:w="2925" w:type="dxa"/>
            <w:vMerge w:val="continue"/>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59F9911">
            <w:pPr>
              <w:rPr>
                <w:sz w:val="20"/>
                <w:szCs w:val="20"/>
              </w:rPr>
            </w:pPr>
          </w:p>
        </w:tc>
        <w:tc>
          <w:tcPr>
            <w:tcW w:w="945" w:type="dxa"/>
            <w:vMerge w:val="continue"/>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5515825">
            <w:pPr>
              <w:rPr>
                <w:sz w:val="20"/>
                <w:szCs w:val="20"/>
              </w:rPr>
            </w:pPr>
          </w:p>
        </w:tc>
        <w:tc>
          <w:tcPr>
            <w:tcW w:w="887" w:type="dxa"/>
            <w:vMerge w:val="continue"/>
            <w:tcBorders>
              <w:top w:val="single" w:color="000000" w:sz="4" w:space="0"/>
              <w:left w:val="nil"/>
              <w:bottom w:val="single" w:color="000000" w:sz="4" w:space="0"/>
              <w:right w:val="single" w:color="000000" w:sz="4" w:space="0"/>
            </w:tcBorders>
            <w:tcMar>
              <w:top w:w="10" w:type="dxa"/>
              <w:left w:w="10" w:type="dxa"/>
              <w:right w:w="10" w:type="dxa"/>
            </w:tcMar>
            <w:vAlign w:val="center"/>
          </w:tcPr>
          <w:p w14:paraId="733B9412">
            <w:pPr>
              <w:rPr>
                <w:sz w:val="20"/>
                <w:szCs w:val="20"/>
              </w:rPr>
            </w:pPr>
          </w:p>
        </w:tc>
        <w:tc>
          <w:tcPr>
            <w:tcW w:w="1245" w:type="dxa"/>
            <w:vMerge w:val="continue"/>
            <w:tcBorders>
              <w:top w:val="single" w:color="000000" w:sz="4" w:space="0"/>
              <w:left w:val="nil"/>
              <w:bottom w:val="single" w:color="000000" w:sz="4" w:space="0"/>
              <w:right w:val="single" w:color="000000" w:sz="4" w:space="0"/>
            </w:tcBorders>
            <w:tcMar>
              <w:top w:w="10" w:type="dxa"/>
              <w:left w:w="10" w:type="dxa"/>
              <w:right w:w="10" w:type="dxa"/>
            </w:tcMar>
            <w:vAlign w:val="center"/>
          </w:tcPr>
          <w:p w14:paraId="767CB493">
            <w:pPr>
              <w:rPr>
                <w:sz w:val="20"/>
                <w:szCs w:val="20"/>
              </w:rPr>
            </w:pPr>
          </w:p>
        </w:tc>
        <w:tc>
          <w:tcPr>
            <w:tcW w:w="840" w:type="dxa"/>
            <w:vMerge w:val="continue"/>
            <w:tcBorders>
              <w:top w:val="single" w:color="000000" w:sz="4" w:space="0"/>
              <w:left w:val="nil"/>
              <w:bottom w:val="single" w:color="000000" w:sz="4" w:space="0"/>
              <w:right w:val="single" w:color="000000" w:sz="4" w:space="0"/>
            </w:tcBorders>
            <w:tcMar>
              <w:top w:w="10" w:type="dxa"/>
              <w:left w:w="10" w:type="dxa"/>
              <w:right w:w="10" w:type="dxa"/>
            </w:tcMar>
            <w:vAlign w:val="center"/>
          </w:tcPr>
          <w:p w14:paraId="5D47F757">
            <w:pPr>
              <w:rPr>
                <w:sz w:val="20"/>
                <w:szCs w:val="20"/>
              </w:rPr>
            </w:pPr>
          </w:p>
        </w:tc>
        <w:tc>
          <w:tcPr>
            <w:tcW w:w="870" w:type="dxa"/>
            <w:vMerge w:val="continue"/>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56E12DB">
            <w:pPr>
              <w:rPr>
                <w:sz w:val="20"/>
                <w:szCs w:val="20"/>
              </w:rPr>
            </w:pPr>
          </w:p>
        </w:tc>
        <w:tc>
          <w:tcPr>
            <w:tcW w:w="11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9A38D74">
            <w:pPr>
              <w:widowControl/>
              <w:snapToGrid w:val="0"/>
              <w:spacing w:line="240" w:lineRule="atLeast"/>
              <w:ind w:left="165"/>
              <w:jc w:val="center"/>
              <w:textAlignment w:val="center"/>
              <w:rPr>
                <w:rFonts w:ascii="黑体" w:hAnsi="宋体" w:eastAsia="黑体" w:cs="黑体"/>
                <w:szCs w:val="21"/>
              </w:rPr>
            </w:pPr>
            <w:r>
              <w:rPr>
                <w:rFonts w:ascii="黑体" w:hAnsi="宋体" w:eastAsia="黑体" w:cs="黑体"/>
                <w:kern w:val="0"/>
                <w:szCs w:val="21"/>
                <w:lang w:bidi="ar"/>
              </w:rPr>
              <w:t>小计</w:t>
            </w:r>
          </w:p>
        </w:tc>
        <w:tc>
          <w:tcPr>
            <w:tcW w:w="157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48308A0">
            <w:pPr>
              <w:widowControl/>
              <w:snapToGrid w:val="0"/>
              <w:spacing w:line="240" w:lineRule="atLeast"/>
              <w:ind w:left="165"/>
              <w:jc w:val="center"/>
              <w:textAlignment w:val="center"/>
              <w:rPr>
                <w:rFonts w:ascii="黑体" w:hAnsi="宋体" w:eastAsia="黑体" w:cs="黑体"/>
                <w:szCs w:val="21"/>
              </w:rPr>
            </w:pPr>
            <w:r>
              <w:rPr>
                <w:rFonts w:ascii="黑体" w:hAnsi="宋体" w:eastAsia="黑体" w:cs="黑体"/>
                <w:kern w:val="0"/>
                <w:szCs w:val="21"/>
                <w:lang w:bidi="ar"/>
              </w:rPr>
              <w:t>省财政预拨标准</w:t>
            </w:r>
          </w:p>
        </w:tc>
        <w:tc>
          <w:tcPr>
            <w:tcW w:w="2058"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745E25D8">
            <w:pPr>
              <w:widowControl/>
              <w:snapToGrid w:val="0"/>
              <w:spacing w:line="240" w:lineRule="atLeast"/>
              <w:ind w:left="165"/>
              <w:jc w:val="center"/>
              <w:textAlignment w:val="center"/>
              <w:rPr>
                <w:rFonts w:ascii="黑体" w:hAnsi="宋体" w:eastAsia="黑体" w:cs="黑体"/>
                <w:szCs w:val="21"/>
              </w:rPr>
            </w:pPr>
            <w:r>
              <w:rPr>
                <w:rFonts w:ascii="黑体" w:hAnsi="宋体" w:eastAsia="黑体" w:cs="黑体"/>
                <w:kern w:val="0"/>
                <w:szCs w:val="21"/>
                <w:lang w:bidi="ar"/>
              </w:rPr>
              <w:t>市县财政预拨标准</w:t>
            </w:r>
          </w:p>
        </w:tc>
      </w:tr>
      <w:tr w14:paraId="2C0C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5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71AC837">
            <w:pPr>
              <w:rPr>
                <w:sz w:val="20"/>
                <w:szCs w:val="20"/>
              </w:rPr>
            </w:pPr>
          </w:p>
        </w:tc>
        <w:tc>
          <w:tcPr>
            <w:tcW w:w="2409" w:type="dxa"/>
            <w:gridSpan w:val="2"/>
            <w:vMerge w:val="continue"/>
            <w:tcBorders>
              <w:top w:val="single" w:color="000000" w:sz="4" w:space="0"/>
              <w:left w:val="nil"/>
              <w:bottom w:val="single" w:color="000000" w:sz="4" w:space="0"/>
              <w:right w:val="single" w:color="000000" w:sz="4" w:space="0"/>
            </w:tcBorders>
            <w:tcMar>
              <w:top w:w="10" w:type="dxa"/>
              <w:left w:w="10" w:type="dxa"/>
              <w:right w:w="10" w:type="dxa"/>
            </w:tcMar>
            <w:vAlign w:val="center"/>
          </w:tcPr>
          <w:p w14:paraId="792AE3C3">
            <w:pPr>
              <w:rPr>
                <w:sz w:val="20"/>
                <w:szCs w:val="20"/>
              </w:rPr>
            </w:pPr>
          </w:p>
        </w:tc>
        <w:tc>
          <w:tcPr>
            <w:tcW w:w="2925" w:type="dxa"/>
            <w:vMerge w:val="continue"/>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CC3CDDD">
            <w:pPr>
              <w:rPr>
                <w:sz w:val="20"/>
                <w:szCs w:val="20"/>
              </w:rPr>
            </w:pPr>
          </w:p>
        </w:tc>
        <w:tc>
          <w:tcPr>
            <w:tcW w:w="945" w:type="dxa"/>
            <w:vMerge w:val="continue"/>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19CB9F4">
            <w:pPr>
              <w:rPr>
                <w:sz w:val="20"/>
                <w:szCs w:val="20"/>
              </w:rPr>
            </w:pPr>
          </w:p>
        </w:tc>
        <w:tc>
          <w:tcPr>
            <w:tcW w:w="88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6162D9BD">
            <w:pPr>
              <w:widowControl/>
              <w:snapToGrid w:val="0"/>
              <w:spacing w:line="240" w:lineRule="atLeast"/>
              <w:ind w:left="165"/>
              <w:jc w:val="center"/>
              <w:textAlignment w:val="center"/>
              <w:rPr>
                <w:rFonts w:ascii="黑体" w:hAnsi="宋体" w:eastAsia="黑体" w:cs="黑体"/>
                <w:szCs w:val="21"/>
              </w:rPr>
            </w:pPr>
            <w:r>
              <w:rPr>
                <w:rFonts w:ascii="黑体" w:hAnsi="宋体" w:eastAsia="黑体" w:cs="黑体"/>
                <w:kern w:val="0"/>
                <w:szCs w:val="21"/>
                <w:lang w:bidi="ar"/>
              </w:rPr>
              <w:t>[1]</w:t>
            </w:r>
          </w:p>
        </w:tc>
        <w:tc>
          <w:tcPr>
            <w:tcW w:w="124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538D962D">
            <w:pPr>
              <w:widowControl/>
              <w:snapToGrid w:val="0"/>
              <w:spacing w:line="240" w:lineRule="atLeast"/>
              <w:ind w:left="165"/>
              <w:jc w:val="center"/>
              <w:textAlignment w:val="center"/>
              <w:rPr>
                <w:rFonts w:ascii="黑体" w:hAnsi="宋体" w:eastAsia="黑体" w:cs="黑体"/>
                <w:szCs w:val="21"/>
              </w:rPr>
            </w:pPr>
            <w:r>
              <w:rPr>
                <w:rFonts w:ascii="黑体" w:hAnsi="宋体" w:eastAsia="黑体" w:cs="黑体"/>
                <w:kern w:val="0"/>
                <w:szCs w:val="21"/>
                <w:lang w:bidi="ar"/>
              </w:rPr>
              <w:t>[2]=[1]*0.9</w:t>
            </w:r>
          </w:p>
        </w:tc>
        <w:tc>
          <w:tcPr>
            <w:tcW w:w="84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7B28A99A">
            <w:pPr>
              <w:widowControl/>
              <w:snapToGrid w:val="0"/>
              <w:spacing w:line="240" w:lineRule="atLeast"/>
              <w:ind w:left="165"/>
              <w:jc w:val="center"/>
              <w:textAlignment w:val="center"/>
              <w:rPr>
                <w:rFonts w:ascii="黑体" w:hAnsi="宋体" w:eastAsia="黑体" w:cs="黑体"/>
                <w:szCs w:val="21"/>
              </w:rPr>
            </w:pPr>
            <w:r>
              <w:rPr>
                <w:rFonts w:ascii="黑体" w:hAnsi="宋体" w:eastAsia="黑体" w:cs="黑体"/>
                <w:kern w:val="0"/>
                <w:szCs w:val="21"/>
                <w:lang w:bidi="ar"/>
              </w:rPr>
              <w:t>[3]</w:t>
            </w:r>
          </w:p>
        </w:tc>
        <w:tc>
          <w:tcPr>
            <w:tcW w:w="8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5A90A6F">
            <w:pPr>
              <w:widowControl/>
              <w:snapToGrid w:val="0"/>
              <w:spacing w:line="240" w:lineRule="atLeast"/>
              <w:ind w:left="165"/>
              <w:jc w:val="center"/>
              <w:textAlignment w:val="center"/>
              <w:rPr>
                <w:rFonts w:ascii="黑体" w:hAnsi="宋体" w:eastAsia="黑体" w:cs="黑体"/>
                <w:szCs w:val="21"/>
              </w:rPr>
            </w:pPr>
            <w:r>
              <w:rPr>
                <w:rFonts w:ascii="黑体" w:hAnsi="宋体" w:eastAsia="黑体" w:cs="黑体"/>
                <w:kern w:val="0"/>
                <w:szCs w:val="21"/>
                <w:lang w:bidi="ar"/>
              </w:rPr>
              <w:t>[4]</w:t>
            </w:r>
          </w:p>
        </w:tc>
        <w:tc>
          <w:tcPr>
            <w:tcW w:w="11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55AE80C3">
            <w:pPr>
              <w:widowControl/>
              <w:snapToGrid w:val="0"/>
              <w:spacing w:line="240" w:lineRule="atLeast"/>
              <w:ind w:left="165"/>
              <w:jc w:val="center"/>
              <w:textAlignment w:val="center"/>
              <w:rPr>
                <w:rFonts w:ascii="黑体" w:hAnsi="宋体" w:eastAsia="黑体" w:cs="黑体"/>
                <w:szCs w:val="21"/>
              </w:rPr>
            </w:pPr>
            <w:r>
              <w:rPr>
                <w:rFonts w:ascii="黑体" w:hAnsi="宋体" w:eastAsia="黑体" w:cs="黑体"/>
                <w:kern w:val="0"/>
                <w:szCs w:val="21"/>
                <w:lang w:bidi="ar"/>
              </w:rPr>
              <w:t>[5]=[6]+[7]</w:t>
            </w:r>
          </w:p>
        </w:tc>
        <w:tc>
          <w:tcPr>
            <w:tcW w:w="157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71971278">
            <w:pPr>
              <w:widowControl/>
              <w:snapToGrid w:val="0"/>
              <w:spacing w:line="240" w:lineRule="atLeast"/>
              <w:ind w:left="165"/>
              <w:jc w:val="center"/>
              <w:textAlignment w:val="center"/>
              <w:rPr>
                <w:rFonts w:ascii="黑体" w:hAnsi="宋体" w:eastAsia="黑体" w:cs="黑体"/>
                <w:szCs w:val="21"/>
              </w:rPr>
            </w:pPr>
            <w:r>
              <w:rPr>
                <w:rFonts w:ascii="黑体" w:hAnsi="宋体" w:eastAsia="黑体" w:cs="黑体"/>
                <w:kern w:val="0"/>
                <w:szCs w:val="21"/>
                <w:lang w:bidi="ar"/>
              </w:rPr>
              <w:t>[</w:t>
            </w:r>
            <w:r>
              <w:rPr>
                <w:rFonts w:ascii="黑体" w:hAnsi="宋体" w:eastAsia="黑体" w:cs="黑体"/>
                <w:b/>
                <w:szCs w:val="21"/>
                <w:lang w:bidi="ar"/>
              </w:rPr>
              <w:t>6]=[2]*[3]*[4]</w:t>
            </w:r>
          </w:p>
        </w:tc>
        <w:tc>
          <w:tcPr>
            <w:tcW w:w="2058"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5298BA25">
            <w:pPr>
              <w:widowControl/>
              <w:snapToGrid w:val="0"/>
              <w:spacing w:line="240" w:lineRule="atLeast"/>
              <w:ind w:left="165"/>
              <w:jc w:val="center"/>
              <w:textAlignment w:val="center"/>
              <w:rPr>
                <w:rFonts w:ascii="黑体" w:hAnsi="宋体" w:eastAsia="黑体" w:cs="黑体"/>
                <w:szCs w:val="21"/>
              </w:rPr>
            </w:pPr>
            <w:r>
              <w:rPr>
                <w:rFonts w:ascii="黑体" w:hAnsi="宋体" w:eastAsia="黑体" w:cs="黑体"/>
                <w:kern w:val="0"/>
                <w:szCs w:val="21"/>
                <w:lang w:bidi="ar"/>
              </w:rPr>
              <w:t>[</w:t>
            </w:r>
            <w:r>
              <w:rPr>
                <w:rFonts w:ascii="黑体" w:hAnsi="宋体" w:eastAsia="黑体" w:cs="黑体"/>
                <w:b/>
                <w:szCs w:val="21"/>
                <w:lang w:bidi="ar"/>
              </w:rPr>
              <w:t>7]=[2]*[3]*（1-[4]）</w:t>
            </w:r>
          </w:p>
        </w:tc>
      </w:tr>
      <w:tr w14:paraId="129E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430" w:type="dxa"/>
            <w:gridSpan w:val="5"/>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88EA1F4">
            <w:pPr>
              <w:widowControl/>
              <w:snapToGrid w:val="0"/>
              <w:spacing w:line="240" w:lineRule="atLeast"/>
              <w:ind w:left="165"/>
              <w:jc w:val="center"/>
              <w:textAlignment w:val="center"/>
              <w:rPr>
                <w:b/>
                <w:szCs w:val="21"/>
              </w:rPr>
            </w:pPr>
            <w:r>
              <w:rPr>
                <w:rFonts w:hint="eastAsia" w:ascii="宋体" w:hAnsi="宋体" w:cs="宋体"/>
                <w:b/>
                <w:kern w:val="0"/>
                <w:szCs w:val="21"/>
                <w:lang w:bidi="ar"/>
              </w:rPr>
              <w:t>合计</w:t>
            </w:r>
          </w:p>
        </w:tc>
        <w:tc>
          <w:tcPr>
            <w:tcW w:w="88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8A53C94">
            <w:pPr>
              <w:widowControl/>
              <w:snapToGrid w:val="0"/>
              <w:spacing w:line="240" w:lineRule="atLeast"/>
              <w:ind w:left="165"/>
              <w:rPr>
                <w:b/>
                <w:szCs w:val="21"/>
              </w:rPr>
            </w:pPr>
          </w:p>
        </w:tc>
        <w:tc>
          <w:tcPr>
            <w:tcW w:w="124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AFFB7FA">
            <w:pPr>
              <w:widowControl/>
              <w:snapToGrid w:val="0"/>
              <w:spacing w:line="240" w:lineRule="atLeast"/>
              <w:ind w:left="165"/>
              <w:rPr>
                <w:b/>
                <w:szCs w:val="21"/>
              </w:rPr>
            </w:pPr>
          </w:p>
        </w:tc>
        <w:tc>
          <w:tcPr>
            <w:tcW w:w="84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6DD0FBD">
            <w:pPr>
              <w:widowControl/>
              <w:snapToGrid w:val="0"/>
              <w:spacing w:line="240" w:lineRule="atLeast"/>
              <w:ind w:left="165"/>
              <w:jc w:val="center"/>
              <w:rPr>
                <w:szCs w:val="21"/>
              </w:rPr>
            </w:pPr>
          </w:p>
        </w:tc>
        <w:tc>
          <w:tcPr>
            <w:tcW w:w="8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57872EA1">
            <w:pPr>
              <w:widowControl/>
              <w:snapToGrid w:val="0"/>
              <w:spacing w:line="240" w:lineRule="atLeast"/>
              <w:ind w:left="165"/>
              <w:jc w:val="center"/>
              <w:textAlignment w:val="center"/>
              <w:rPr>
                <w:szCs w:val="21"/>
              </w:rPr>
            </w:pPr>
            <w:r>
              <w:rPr>
                <w:kern w:val="0"/>
                <w:szCs w:val="21"/>
                <w:lang w:bidi="ar"/>
              </w:rPr>
              <w:t>60%</w:t>
            </w:r>
          </w:p>
        </w:tc>
        <w:tc>
          <w:tcPr>
            <w:tcW w:w="11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35EE85FF">
            <w:pPr>
              <w:widowControl/>
              <w:snapToGrid w:val="0"/>
              <w:spacing w:line="240" w:lineRule="atLeast"/>
              <w:ind w:left="165"/>
              <w:jc w:val="center"/>
              <w:textAlignment w:val="center"/>
              <w:rPr>
                <w:szCs w:val="21"/>
              </w:rPr>
            </w:pPr>
            <w:r>
              <w:rPr>
                <w:kern w:val="0"/>
                <w:szCs w:val="21"/>
                <w:lang w:bidi="ar"/>
              </w:rPr>
              <w:t>834</w:t>
            </w:r>
          </w:p>
        </w:tc>
        <w:tc>
          <w:tcPr>
            <w:tcW w:w="157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6992CE88">
            <w:pPr>
              <w:widowControl/>
              <w:snapToGrid w:val="0"/>
              <w:spacing w:line="240" w:lineRule="atLeast"/>
              <w:ind w:left="165"/>
              <w:jc w:val="center"/>
              <w:textAlignment w:val="center"/>
              <w:rPr>
                <w:szCs w:val="21"/>
              </w:rPr>
            </w:pPr>
            <w:r>
              <w:rPr>
                <w:kern w:val="0"/>
                <w:szCs w:val="21"/>
                <w:lang w:bidi="ar"/>
              </w:rPr>
              <w:t>500</w:t>
            </w:r>
          </w:p>
        </w:tc>
        <w:tc>
          <w:tcPr>
            <w:tcW w:w="2058"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5F47F90E">
            <w:pPr>
              <w:widowControl/>
              <w:snapToGrid w:val="0"/>
              <w:spacing w:line="240" w:lineRule="atLeast"/>
              <w:ind w:left="165"/>
              <w:jc w:val="center"/>
              <w:textAlignment w:val="center"/>
              <w:rPr>
                <w:szCs w:val="21"/>
              </w:rPr>
            </w:pPr>
            <w:r>
              <w:rPr>
                <w:kern w:val="0"/>
                <w:szCs w:val="21"/>
                <w:lang w:bidi="ar"/>
              </w:rPr>
              <w:t>334</w:t>
            </w:r>
          </w:p>
        </w:tc>
      </w:tr>
      <w:tr w14:paraId="56668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430" w:type="dxa"/>
            <w:gridSpan w:val="5"/>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9E4F492">
            <w:pPr>
              <w:widowControl/>
              <w:snapToGrid w:val="0"/>
              <w:spacing w:line="240" w:lineRule="atLeast"/>
              <w:ind w:left="165"/>
              <w:jc w:val="center"/>
              <w:textAlignment w:val="center"/>
              <w:rPr>
                <w:b/>
                <w:szCs w:val="21"/>
              </w:rPr>
            </w:pPr>
            <w:r>
              <w:rPr>
                <w:rFonts w:hint="eastAsia" w:ascii="宋体" w:hAnsi="宋体" w:cs="宋体"/>
                <w:b/>
                <w:kern w:val="0"/>
                <w:szCs w:val="21"/>
                <w:lang w:bidi="ar"/>
              </w:rPr>
              <w:t>一、产前筛查及诊断</w:t>
            </w:r>
          </w:p>
        </w:tc>
        <w:tc>
          <w:tcPr>
            <w:tcW w:w="88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E3FD39E">
            <w:pPr>
              <w:widowControl/>
              <w:snapToGrid w:val="0"/>
              <w:spacing w:line="240" w:lineRule="atLeast"/>
              <w:ind w:left="165"/>
              <w:rPr>
                <w:b/>
                <w:szCs w:val="21"/>
              </w:rPr>
            </w:pPr>
          </w:p>
        </w:tc>
        <w:tc>
          <w:tcPr>
            <w:tcW w:w="124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7523E0E">
            <w:pPr>
              <w:widowControl/>
              <w:snapToGrid w:val="0"/>
              <w:spacing w:line="240" w:lineRule="atLeast"/>
              <w:ind w:left="165"/>
              <w:rPr>
                <w:b/>
                <w:szCs w:val="21"/>
              </w:rPr>
            </w:pPr>
          </w:p>
        </w:tc>
        <w:tc>
          <w:tcPr>
            <w:tcW w:w="84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AC244A1">
            <w:pPr>
              <w:widowControl/>
              <w:snapToGrid w:val="0"/>
              <w:spacing w:line="240" w:lineRule="atLeast"/>
              <w:ind w:left="165"/>
              <w:jc w:val="center"/>
              <w:rPr>
                <w:szCs w:val="21"/>
              </w:rPr>
            </w:pPr>
          </w:p>
        </w:tc>
        <w:tc>
          <w:tcPr>
            <w:tcW w:w="8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61842CC">
            <w:pPr>
              <w:widowControl/>
              <w:snapToGrid w:val="0"/>
              <w:spacing w:line="240" w:lineRule="atLeast"/>
              <w:ind w:left="165"/>
              <w:jc w:val="center"/>
              <w:rPr>
                <w:szCs w:val="21"/>
              </w:rPr>
            </w:pPr>
          </w:p>
        </w:tc>
        <w:tc>
          <w:tcPr>
            <w:tcW w:w="11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7EEC57F">
            <w:pPr>
              <w:widowControl/>
              <w:snapToGrid w:val="0"/>
              <w:spacing w:line="240" w:lineRule="atLeast"/>
              <w:ind w:left="165"/>
              <w:jc w:val="center"/>
              <w:textAlignment w:val="center"/>
              <w:rPr>
                <w:kern w:val="0"/>
                <w:szCs w:val="21"/>
              </w:rPr>
            </w:pPr>
            <w:r>
              <w:rPr>
                <w:kern w:val="0"/>
                <w:szCs w:val="21"/>
                <w:lang w:bidi="ar"/>
              </w:rPr>
              <w:t>620</w:t>
            </w:r>
          </w:p>
        </w:tc>
        <w:tc>
          <w:tcPr>
            <w:tcW w:w="157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6FFC35AC">
            <w:pPr>
              <w:widowControl/>
              <w:snapToGrid w:val="0"/>
              <w:spacing w:line="240" w:lineRule="atLeast"/>
              <w:ind w:left="165"/>
              <w:jc w:val="center"/>
              <w:textAlignment w:val="center"/>
              <w:rPr>
                <w:kern w:val="0"/>
                <w:szCs w:val="21"/>
              </w:rPr>
            </w:pPr>
            <w:r>
              <w:rPr>
                <w:kern w:val="0"/>
                <w:szCs w:val="21"/>
                <w:lang w:bidi="ar"/>
              </w:rPr>
              <w:t>370</w:t>
            </w:r>
          </w:p>
        </w:tc>
        <w:tc>
          <w:tcPr>
            <w:tcW w:w="2058"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77871BE">
            <w:pPr>
              <w:widowControl/>
              <w:snapToGrid w:val="0"/>
              <w:spacing w:line="240" w:lineRule="atLeast"/>
              <w:ind w:left="165"/>
              <w:jc w:val="center"/>
              <w:textAlignment w:val="center"/>
              <w:rPr>
                <w:kern w:val="0"/>
                <w:szCs w:val="21"/>
              </w:rPr>
            </w:pPr>
            <w:r>
              <w:rPr>
                <w:kern w:val="0"/>
                <w:szCs w:val="21"/>
                <w:lang w:bidi="ar"/>
              </w:rPr>
              <w:t>250</w:t>
            </w:r>
          </w:p>
        </w:tc>
      </w:tr>
      <w:tr w14:paraId="3AB8C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430" w:type="dxa"/>
            <w:gridSpan w:val="5"/>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2B14929">
            <w:pPr>
              <w:widowControl/>
              <w:snapToGrid w:val="0"/>
              <w:spacing w:line="240" w:lineRule="atLeast"/>
              <w:ind w:left="165"/>
              <w:jc w:val="center"/>
              <w:textAlignment w:val="center"/>
              <w:rPr>
                <w:szCs w:val="21"/>
              </w:rPr>
            </w:pPr>
            <w:r>
              <w:rPr>
                <w:rFonts w:hint="eastAsia" w:ascii="宋体" w:hAnsi="宋体" w:cs="宋体"/>
                <w:b/>
                <w:kern w:val="0"/>
                <w:szCs w:val="21"/>
                <w:lang w:bidi="ar"/>
              </w:rPr>
              <w:t>（一）产前筛查</w:t>
            </w:r>
          </w:p>
        </w:tc>
        <w:tc>
          <w:tcPr>
            <w:tcW w:w="88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B5A3E6F">
            <w:pPr>
              <w:widowControl/>
              <w:snapToGrid w:val="0"/>
              <w:spacing w:line="240" w:lineRule="atLeast"/>
              <w:ind w:left="165"/>
              <w:rPr>
                <w:szCs w:val="21"/>
              </w:rPr>
            </w:pPr>
          </w:p>
        </w:tc>
        <w:tc>
          <w:tcPr>
            <w:tcW w:w="124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5EB7A36">
            <w:pPr>
              <w:widowControl/>
              <w:snapToGrid w:val="0"/>
              <w:spacing w:line="240" w:lineRule="atLeast"/>
              <w:ind w:left="165"/>
              <w:rPr>
                <w:szCs w:val="21"/>
              </w:rPr>
            </w:pPr>
          </w:p>
        </w:tc>
        <w:tc>
          <w:tcPr>
            <w:tcW w:w="84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342622B6">
            <w:pPr>
              <w:widowControl/>
              <w:snapToGrid w:val="0"/>
              <w:spacing w:line="240" w:lineRule="atLeast"/>
              <w:ind w:left="165"/>
              <w:jc w:val="center"/>
              <w:rPr>
                <w:szCs w:val="21"/>
              </w:rPr>
            </w:pPr>
          </w:p>
        </w:tc>
        <w:tc>
          <w:tcPr>
            <w:tcW w:w="8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7EE95B65">
            <w:pPr>
              <w:widowControl/>
              <w:snapToGrid w:val="0"/>
              <w:spacing w:line="240" w:lineRule="atLeast"/>
              <w:ind w:left="165"/>
              <w:jc w:val="center"/>
              <w:rPr>
                <w:szCs w:val="21"/>
              </w:rPr>
            </w:pPr>
          </w:p>
        </w:tc>
        <w:tc>
          <w:tcPr>
            <w:tcW w:w="11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7F9C5889">
            <w:pPr>
              <w:widowControl/>
              <w:snapToGrid w:val="0"/>
              <w:spacing w:line="240" w:lineRule="atLeast"/>
              <w:ind w:left="165"/>
              <w:jc w:val="center"/>
              <w:textAlignment w:val="center"/>
              <w:rPr>
                <w:kern w:val="0"/>
                <w:szCs w:val="21"/>
              </w:rPr>
            </w:pPr>
            <w:r>
              <w:rPr>
                <w:kern w:val="0"/>
                <w:szCs w:val="21"/>
                <w:lang w:bidi="ar"/>
              </w:rPr>
              <w:t>542</w:t>
            </w:r>
          </w:p>
        </w:tc>
        <w:tc>
          <w:tcPr>
            <w:tcW w:w="157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2FC5051">
            <w:pPr>
              <w:widowControl/>
              <w:snapToGrid w:val="0"/>
              <w:spacing w:line="240" w:lineRule="atLeast"/>
              <w:ind w:left="165"/>
              <w:jc w:val="center"/>
              <w:textAlignment w:val="center"/>
              <w:rPr>
                <w:kern w:val="0"/>
                <w:szCs w:val="21"/>
              </w:rPr>
            </w:pPr>
            <w:r>
              <w:rPr>
                <w:kern w:val="0"/>
                <w:szCs w:val="21"/>
                <w:lang w:bidi="ar"/>
              </w:rPr>
              <w:t>326</w:t>
            </w:r>
          </w:p>
        </w:tc>
        <w:tc>
          <w:tcPr>
            <w:tcW w:w="2058"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4751034">
            <w:pPr>
              <w:widowControl/>
              <w:snapToGrid w:val="0"/>
              <w:spacing w:line="240" w:lineRule="atLeast"/>
              <w:ind w:left="165"/>
              <w:jc w:val="center"/>
              <w:textAlignment w:val="center"/>
              <w:rPr>
                <w:kern w:val="0"/>
                <w:szCs w:val="21"/>
              </w:rPr>
            </w:pPr>
            <w:r>
              <w:rPr>
                <w:kern w:val="0"/>
                <w:szCs w:val="21"/>
                <w:lang w:bidi="ar"/>
              </w:rPr>
              <w:t>216</w:t>
            </w:r>
          </w:p>
        </w:tc>
      </w:tr>
      <w:tr w14:paraId="7CDB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restart"/>
            <w:tcBorders>
              <w:top w:val="nil"/>
              <w:left w:val="single" w:color="000000" w:sz="4" w:space="0"/>
              <w:bottom w:val="single" w:color="000000" w:sz="4" w:space="0"/>
              <w:right w:val="single" w:color="000000" w:sz="4" w:space="0"/>
            </w:tcBorders>
            <w:tcMar>
              <w:top w:w="10" w:type="dxa"/>
              <w:left w:w="10" w:type="dxa"/>
              <w:right w:w="10" w:type="dxa"/>
            </w:tcMar>
            <w:vAlign w:val="center"/>
          </w:tcPr>
          <w:p w14:paraId="3D95AE76">
            <w:pPr>
              <w:widowControl/>
              <w:snapToGrid w:val="0"/>
              <w:spacing w:line="240" w:lineRule="atLeast"/>
              <w:ind w:left="165"/>
              <w:textAlignment w:val="center"/>
              <w:rPr>
                <w:szCs w:val="21"/>
              </w:rPr>
            </w:pPr>
            <w:r>
              <w:rPr>
                <w:kern w:val="0"/>
                <w:szCs w:val="21"/>
                <w:lang w:bidi="ar"/>
              </w:rPr>
              <w:t>1</w:t>
            </w:r>
            <w:r>
              <w:rPr>
                <w:rFonts w:hint="eastAsia" w:ascii="宋体" w:hAnsi="宋体" w:cs="宋体"/>
                <w:kern w:val="0"/>
                <w:szCs w:val="21"/>
                <w:lang w:bidi="ar"/>
              </w:rPr>
              <w:t>、地中海贫血</w:t>
            </w:r>
          </w:p>
        </w:tc>
        <w:tc>
          <w:tcPr>
            <w:tcW w:w="992"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61D492A5">
            <w:pPr>
              <w:widowControl/>
              <w:snapToGrid w:val="0"/>
              <w:spacing w:line="240" w:lineRule="atLeast"/>
              <w:ind w:left="165"/>
              <w:jc w:val="center"/>
              <w:textAlignment w:val="center"/>
              <w:rPr>
                <w:szCs w:val="21"/>
              </w:rPr>
            </w:pPr>
            <w:r>
              <w:rPr>
                <w:rFonts w:hint="eastAsia" w:ascii="宋体" w:hAnsi="宋体" w:cs="宋体"/>
                <w:kern w:val="0"/>
                <w:szCs w:val="21"/>
                <w:lang w:bidi="ar"/>
              </w:rPr>
              <w:t>初筛</w:t>
            </w:r>
          </w:p>
        </w:tc>
        <w:tc>
          <w:tcPr>
            <w:tcW w:w="141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33FBACDA">
            <w:pPr>
              <w:widowControl/>
              <w:snapToGrid w:val="0"/>
              <w:spacing w:line="240" w:lineRule="atLeast"/>
              <w:ind w:left="165"/>
              <w:jc w:val="center"/>
              <w:textAlignment w:val="center"/>
              <w:rPr>
                <w:szCs w:val="21"/>
              </w:rPr>
            </w:pPr>
            <w:r>
              <w:rPr>
                <w:rFonts w:hint="eastAsia" w:ascii="宋体" w:hAnsi="宋体" w:cs="宋体"/>
                <w:kern w:val="0"/>
                <w:szCs w:val="21"/>
                <w:lang w:bidi="ar"/>
              </w:rPr>
              <w:t>血常规（</w:t>
            </w:r>
            <w:r>
              <w:rPr>
                <w:kern w:val="0"/>
                <w:szCs w:val="21"/>
                <w:lang w:bidi="ar"/>
              </w:rPr>
              <w:t>MCV</w:t>
            </w:r>
            <w:r>
              <w:rPr>
                <w:rFonts w:hint="eastAsia" w:ascii="宋体" w:hAnsi="宋体" w:cs="宋体"/>
                <w:kern w:val="0"/>
                <w:szCs w:val="21"/>
                <w:lang w:bidi="ar"/>
              </w:rPr>
              <w:t>、</w:t>
            </w:r>
            <w:r>
              <w:rPr>
                <w:kern w:val="0"/>
                <w:szCs w:val="21"/>
                <w:lang w:bidi="ar"/>
              </w:rPr>
              <w:t>MCH</w:t>
            </w:r>
            <w:r>
              <w:rPr>
                <w:rFonts w:hint="eastAsia" w:ascii="宋体" w:hAnsi="宋体" w:cs="宋体"/>
                <w:kern w:val="0"/>
                <w:szCs w:val="21"/>
                <w:lang w:bidi="ar"/>
              </w:rPr>
              <w:t>）</w:t>
            </w:r>
          </w:p>
        </w:tc>
        <w:tc>
          <w:tcPr>
            <w:tcW w:w="292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083ED3D">
            <w:pPr>
              <w:widowControl/>
              <w:snapToGrid w:val="0"/>
              <w:spacing w:line="240" w:lineRule="atLeast"/>
              <w:ind w:left="165"/>
              <w:jc w:val="center"/>
              <w:textAlignment w:val="center"/>
              <w:rPr>
                <w:szCs w:val="21"/>
              </w:rPr>
            </w:pPr>
            <w:r>
              <w:rPr>
                <w:rFonts w:hint="eastAsia" w:ascii="宋体" w:hAnsi="宋体" w:cs="宋体"/>
                <w:kern w:val="0"/>
                <w:szCs w:val="21"/>
                <w:lang w:bidi="ar"/>
              </w:rPr>
              <w:t>计划怀孕夫妇</w:t>
            </w:r>
          </w:p>
        </w:tc>
        <w:tc>
          <w:tcPr>
            <w:tcW w:w="94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9379863">
            <w:pPr>
              <w:widowControl/>
              <w:snapToGrid w:val="0"/>
              <w:spacing w:line="240" w:lineRule="atLeast"/>
              <w:ind w:left="165"/>
              <w:jc w:val="center"/>
              <w:textAlignment w:val="center"/>
              <w:rPr>
                <w:szCs w:val="21"/>
              </w:rPr>
            </w:pPr>
            <w:r>
              <w:rPr>
                <w:rFonts w:hint="eastAsia" w:ascii="宋体" w:hAnsi="宋体" w:cs="宋体"/>
                <w:kern w:val="0"/>
                <w:szCs w:val="21"/>
                <w:lang w:bidi="ar"/>
              </w:rPr>
              <w:t>孕前优生项目</w:t>
            </w:r>
          </w:p>
        </w:tc>
        <w:tc>
          <w:tcPr>
            <w:tcW w:w="88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57DEE4BB">
            <w:pPr>
              <w:widowControl/>
              <w:snapToGrid w:val="0"/>
              <w:spacing w:line="240" w:lineRule="atLeast"/>
              <w:ind w:left="165"/>
              <w:jc w:val="center"/>
              <w:textAlignment w:val="center"/>
              <w:rPr>
                <w:szCs w:val="21"/>
              </w:rPr>
            </w:pPr>
            <w:r>
              <w:rPr>
                <w:kern w:val="0"/>
                <w:szCs w:val="21"/>
                <w:lang w:bidi="ar"/>
              </w:rPr>
              <w:t>/</w:t>
            </w:r>
          </w:p>
        </w:tc>
        <w:tc>
          <w:tcPr>
            <w:tcW w:w="124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0DD64F2">
            <w:pPr>
              <w:widowControl/>
              <w:snapToGrid w:val="0"/>
              <w:spacing w:line="240" w:lineRule="atLeast"/>
              <w:ind w:left="165"/>
              <w:jc w:val="center"/>
              <w:textAlignment w:val="center"/>
              <w:rPr>
                <w:szCs w:val="21"/>
              </w:rPr>
            </w:pPr>
            <w:r>
              <w:rPr>
                <w:kern w:val="0"/>
                <w:szCs w:val="21"/>
                <w:lang w:bidi="ar"/>
              </w:rPr>
              <w:t>/</w:t>
            </w:r>
          </w:p>
        </w:tc>
        <w:tc>
          <w:tcPr>
            <w:tcW w:w="84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4716D45">
            <w:pPr>
              <w:widowControl/>
              <w:snapToGrid w:val="0"/>
              <w:spacing w:line="240" w:lineRule="atLeast"/>
              <w:ind w:left="165"/>
              <w:jc w:val="center"/>
              <w:textAlignment w:val="center"/>
              <w:rPr>
                <w:szCs w:val="21"/>
              </w:rPr>
            </w:pPr>
            <w:r>
              <w:rPr>
                <w:kern w:val="0"/>
                <w:szCs w:val="21"/>
                <w:lang w:bidi="ar"/>
              </w:rPr>
              <w:t>100%</w:t>
            </w:r>
          </w:p>
        </w:tc>
        <w:tc>
          <w:tcPr>
            <w:tcW w:w="8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3B996193">
            <w:pPr>
              <w:widowControl/>
              <w:snapToGrid w:val="0"/>
              <w:spacing w:line="240" w:lineRule="atLeast"/>
              <w:ind w:left="165"/>
              <w:jc w:val="center"/>
              <w:rPr>
                <w:szCs w:val="21"/>
              </w:rPr>
            </w:pPr>
          </w:p>
        </w:tc>
        <w:tc>
          <w:tcPr>
            <w:tcW w:w="11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6CE84CEB">
            <w:pPr>
              <w:widowControl/>
              <w:snapToGrid w:val="0"/>
              <w:spacing w:line="240" w:lineRule="atLeast"/>
              <w:ind w:left="165"/>
              <w:jc w:val="center"/>
              <w:textAlignment w:val="center"/>
              <w:rPr>
                <w:kern w:val="0"/>
                <w:szCs w:val="21"/>
              </w:rPr>
            </w:pPr>
            <w:r>
              <w:rPr>
                <w:kern w:val="0"/>
                <w:szCs w:val="21"/>
                <w:lang w:bidi="ar"/>
              </w:rPr>
              <w:t>/</w:t>
            </w:r>
          </w:p>
        </w:tc>
        <w:tc>
          <w:tcPr>
            <w:tcW w:w="157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73E2FA16">
            <w:pPr>
              <w:widowControl/>
              <w:snapToGrid w:val="0"/>
              <w:spacing w:line="240" w:lineRule="atLeast"/>
              <w:ind w:left="165"/>
              <w:jc w:val="center"/>
              <w:textAlignment w:val="center"/>
              <w:rPr>
                <w:kern w:val="0"/>
                <w:szCs w:val="21"/>
              </w:rPr>
            </w:pPr>
          </w:p>
        </w:tc>
        <w:tc>
          <w:tcPr>
            <w:tcW w:w="2058"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543CAAF4">
            <w:pPr>
              <w:widowControl/>
              <w:snapToGrid w:val="0"/>
              <w:spacing w:line="240" w:lineRule="atLeast"/>
              <w:ind w:left="165"/>
              <w:jc w:val="center"/>
              <w:textAlignment w:val="center"/>
              <w:rPr>
                <w:kern w:val="0"/>
                <w:szCs w:val="21"/>
              </w:rPr>
            </w:pPr>
          </w:p>
        </w:tc>
      </w:tr>
      <w:tr w14:paraId="3386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1" w:hRule="atLeast"/>
          <w:jc w:val="center"/>
        </w:trPr>
        <w:tc>
          <w:tcPr>
            <w:tcW w:w="1151" w:type="dxa"/>
            <w:vMerge w:val="continue"/>
            <w:tcBorders>
              <w:top w:val="nil"/>
              <w:left w:val="single" w:color="000000" w:sz="4" w:space="0"/>
              <w:bottom w:val="single" w:color="000000" w:sz="4" w:space="0"/>
              <w:right w:val="single" w:color="000000" w:sz="4" w:space="0"/>
            </w:tcBorders>
            <w:tcMar>
              <w:top w:w="10" w:type="dxa"/>
              <w:left w:w="10" w:type="dxa"/>
              <w:right w:w="10" w:type="dxa"/>
            </w:tcMar>
            <w:vAlign w:val="center"/>
          </w:tcPr>
          <w:p w14:paraId="282075A0">
            <w:pPr>
              <w:rPr>
                <w:sz w:val="20"/>
                <w:szCs w:val="20"/>
              </w:rPr>
            </w:pPr>
          </w:p>
        </w:tc>
        <w:tc>
          <w:tcPr>
            <w:tcW w:w="992" w:type="dxa"/>
            <w:vMerge w:val="restart"/>
            <w:tcBorders>
              <w:top w:val="nil"/>
              <w:left w:val="nil"/>
              <w:bottom w:val="single" w:color="auto" w:sz="4" w:space="0"/>
              <w:right w:val="single" w:color="000000" w:sz="4" w:space="0"/>
            </w:tcBorders>
            <w:tcMar>
              <w:top w:w="10" w:type="dxa"/>
              <w:left w:w="10" w:type="dxa"/>
              <w:right w:w="10" w:type="dxa"/>
            </w:tcMar>
            <w:vAlign w:val="center"/>
          </w:tcPr>
          <w:p w14:paraId="18844DF8">
            <w:pPr>
              <w:widowControl/>
              <w:snapToGrid w:val="0"/>
              <w:spacing w:line="240" w:lineRule="atLeast"/>
              <w:ind w:left="165"/>
              <w:jc w:val="center"/>
              <w:textAlignment w:val="center"/>
              <w:rPr>
                <w:szCs w:val="21"/>
              </w:rPr>
            </w:pPr>
            <w:r>
              <w:rPr>
                <w:rFonts w:hint="eastAsia" w:ascii="宋体" w:hAnsi="宋体" w:cs="宋体"/>
                <w:kern w:val="0"/>
                <w:szCs w:val="21"/>
                <w:lang w:bidi="ar"/>
              </w:rPr>
              <w:t>复筛</w:t>
            </w:r>
          </w:p>
        </w:tc>
        <w:tc>
          <w:tcPr>
            <w:tcW w:w="141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3495FB37">
            <w:pPr>
              <w:widowControl/>
              <w:snapToGrid w:val="0"/>
              <w:spacing w:line="240" w:lineRule="exact"/>
              <w:ind w:left="165"/>
              <w:jc w:val="center"/>
              <w:textAlignment w:val="center"/>
              <w:rPr>
                <w:kern w:val="0"/>
                <w:szCs w:val="21"/>
              </w:rPr>
            </w:pPr>
            <w:r>
              <w:rPr>
                <w:rFonts w:hint="eastAsia" w:ascii="宋体" w:hAnsi="宋体" w:cs="宋体"/>
                <w:kern w:val="0"/>
                <w:szCs w:val="21"/>
                <w:lang w:bidi="ar"/>
              </w:rPr>
              <w:t>地贫血红蛋白分析</w:t>
            </w:r>
          </w:p>
        </w:tc>
        <w:tc>
          <w:tcPr>
            <w:tcW w:w="292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8D8A806">
            <w:pPr>
              <w:widowControl/>
              <w:snapToGrid w:val="0"/>
              <w:spacing w:line="240" w:lineRule="exact"/>
              <w:ind w:left="165"/>
              <w:jc w:val="center"/>
              <w:textAlignment w:val="center"/>
              <w:rPr>
                <w:kern w:val="0"/>
                <w:szCs w:val="21"/>
              </w:rPr>
            </w:pPr>
            <w:r>
              <w:rPr>
                <w:rFonts w:hint="eastAsia" w:ascii="宋体" w:hAnsi="宋体" w:cs="宋体"/>
                <w:kern w:val="0"/>
                <w:szCs w:val="21"/>
                <w:lang w:bidi="ar"/>
              </w:rPr>
              <w:t>夫妇双方血常规检测至少一方为阳性（含自费病人），且双方进行血红蛋白分析检测（按初筛人群</w:t>
            </w:r>
            <w:r>
              <w:rPr>
                <w:kern w:val="0"/>
                <w:szCs w:val="21"/>
                <w:lang w:bidi="ar"/>
              </w:rPr>
              <w:t>25%</w:t>
            </w:r>
            <w:r>
              <w:rPr>
                <w:rFonts w:hint="eastAsia" w:ascii="宋体" w:hAnsi="宋体" w:cs="宋体"/>
                <w:kern w:val="0"/>
                <w:szCs w:val="21"/>
                <w:lang w:bidi="ar"/>
              </w:rPr>
              <w:t>计算）。</w:t>
            </w:r>
          </w:p>
        </w:tc>
        <w:tc>
          <w:tcPr>
            <w:tcW w:w="945" w:type="dxa"/>
            <w:vMerge w:val="restart"/>
            <w:tcBorders>
              <w:top w:val="nil"/>
              <w:left w:val="nil"/>
              <w:bottom w:val="single" w:color="000000" w:sz="4" w:space="0"/>
              <w:right w:val="single" w:color="000000" w:sz="4" w:space="0"/>
            </w:tcBorders>
            <w:tcMar>
              <w:top w:w="10" w:type="dxa"/>
              <w:left w:w="10" w:type="dxa"/>
              <w:right w:w="10" w:type="dxa"/>
            </w:tcMar>
            <w:vAlign w:val="center"/>
          </w:tcPr>
          <w:p w14:paraId="37A313DA">
            <w:pPr>
              <w:widowControl/>
              <w:snapToGrid w:val="0"/>
              <w:spacing w:line="240" w:lineRule="atLeast"/>
              <w:ind w:left="165"/>
              <w:jc w:val="center"/>
              <w:textAlignment w:val="center"/>
              <w:rPr>
                <w:szCs w:val="21"/>
              </w:rPr>
            </w:pPr>
            <w:r>
              <w:rPr>
                <w:rFonts w:hint="eastAsia" w:ascii="宋体" w:hAnsi="宋体" w:cs="宋体"/>
                <w:kern w:val="0"/>
                <w:szCs w:val="21"/>
                <w:lang w:bidi="ar"/>
              </w:rPr>
              <w:t>产前筛查机构</w:t>
            </w:r>
          </w:p>
        </w:tc>
        <w:tc>
          <w:tcPr>
            <w:tcW w:w="88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518B5E13">
            <w:pPr>
              <w:widowControl/>
              <w:snapToGrid w:val="0"/>
              <w:spacing w:line="240" w:lineRule="atLeast"/>
              <w:ind w:left="165"/>
              <w:jc w:val="center"/>
              <w:textAlignment w:val="center"/>
              <w:rPr>
                <w:szCs w:val="21"/>
              </w:rPr>
            </w:pPr>
            <w:r>
              <w:rPr>
                <w:kern w:val="0"/>
                <w:szCs w:val="21"/>
                <w:lang w:bidi="ar"/>
              </w:rPr>
              <w:t>42.3</w:t>
            </w:r>
          </w:p>
        </w:tc>
        <w:tc>
          <w:tcPr>
            <w:tcW w:w="124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E841EB3">
            <w:pPr>
              <w:widowControl/>
              <w:snapToGrid w:val="0"/>
              <w:spacing w:line="240" w:lineRule="atLeast"/>
              <w:ind w:left="165"/>
              <w:jc w:val="center"/>
              <w:textAlignment w:val="center"/>
              <w:rPr>
                <w:szCs w:val="21"/>
              </w:rPr>
            </w:pPr>
            <w:r>
              <w:rPr>
                <w:kern w:val="0"/>
                <w:szCs w:val="21"/>
                <w:lang w:bidi="ar"/>
              </w:rPr>
              <w:t xml:space="preserve">38.1 </w:t>
            </w:r>
          </w:p>
        </w:tc>
        <w:tc>
          <w:tcPr>
            <w:tcW w:w="84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0337AE3">
            <w:pPr>
              <w:widowControl/>
              <w:snapToGrid w:val="0"/>
              <w:spacing w:line="240" w:lineRule="atLeast"/>
              <w:ind w:left="165"/>
              <w:jc w:val="center"/>
              <w:textAlignment w:val="center"/>
              <w:rPr>
                <w:szCs w:val="21"/>
              </w:rPr>
            </w:pPr>
            <w:r>
              <w:rPr>
                <w:kern w:val="0"/>
                <w:szCs w:val="21"/>
                <w:lang w:bidi="ar"/>
              </w:rPr>
              <w:t>25%</w:t>
            </w:r>
          </w:p>
        </w:tc>
        <w:tc>
          <w:tcPr>
            <w:tcW w:w="8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5EA60137">
            <w:pPr>
              <w:widowControl/>
              <w:snapToGrid w:val="0"/>
              <w:spacing w:line="240" w:lineRule="atLeast"/>
              <w:ind w:left="165"/>
              <w:jc w:val="center"/>
              <w:textAlignment w:val="center"/>
              <w:rPr>
                <w:szCs w:val="21"/>
              </w:rPr>
            </w:pPr>
            <w:r>
              <w:rPr>
                <w:kern w:val="0"/>
                <w:szCs w:val="21"/>
                <w:lang w:bidi="ar"/>
              </w:rPr>
              <w:t>60%</w:t>
            </w:r>
          </w:p>
        </w:tc>
        <w:tc>
          <w:tcPr>
            <w:tcW w:w="11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4E1D25A">
            <w:pPr>
              <w:widowControl/>
              <w:snapToGrid w:val="0"/>
              <w:spacing w:line="240" w:lineRule="atLeast"/>
              <w:ind w:left="165"/>
              <w:jc w:val="center"/>
              <w:textAlignment w:val="center"/>
              <w:rPr>
                <w:szCs w:val="21"/>
              </w:rPr>
            </w:pPr>
            <w:r>
              <w:rPr>
                <w:kern w:val="0"/>
                <w:szCs w:val="21"/>
                <w:lang w:bidi="ar"/>
              </w:rPr>
              <w:t>10</w:t>
            </w:r>
          </w:p>
        </w:tc>
        <w:tc>
          <w:tcPr>
            <w:tcW w:w="157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7258B05F">
            <w:pPr>
              <w:widowControl/>
              <w:snapToGrid w:val="0"/>
              <w:spacing w:line="240" w:lineRule="atLeast"/>
              <w:ind w:left="165"/>
              <w:jc w:val="center"/>
              <w:textAlignment w:val="center"/>
              <w:rPr>
                <w:szCs w:val="21"/>
              </w:rPr>
            </w:pPr>
            <w:r>
              <w:rPr>
                <w:kern w:val="0"/>
                <w:szCs w:val="21"/>
                <w:lang w:bidi="ar"/>
              </w:rPr>
              <w:t>6</w:t>
            </w:r>
          </w:p>
        </w:tc>
        <w:tc>
          <w:tcPr>
            <w:tcW w:w="2058"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796ABBB7">
            <w:pPr>
              <w:widowControl/>
              <w:snapToGrid w:val="0"/>
              <w:spacing w:line="240" w:lineRule="atLeast"/>
              <w:ind w:left="165"/>
              <w:jc w:val="center"/>
              <w:textAlignment w:val="center"/>
              <w:rPr>
                <w:szCs w:val="21"/>
              </w:rPr>
            </w:pPr>
            <w:r>
              <w:rPr>
                <w:kern w:val="0"/>
                <w:szCs w:val="21"/>
                <w:lang w:bidi="ar"/>
              </w:rPr>
              <w:t>4</w:t>
            </w:r>
          </w:p>
        </w:tc>
      </w:tr>
      <w:tr w14:paraId="5202E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9" w:hRule="atLeast"/>
          <w:jc w:val="center"/>
        </w:trPr>
        <w:tc>
          <w:tcPr>
            <w:tcW w:w="1151" w:type="dxa"/>
            <w:vMerge w:val="continue"/>
            <w:tcBorders>
              <w:top w:val="nil"/>
              <w:left w:val="single" w:color="000000" w:sz="4" w:space="0"/>
              <w:bottom w:val="single" w:color="000000" w:sz="4" w:space="0"/>
              <w:right w:val="single" w:color="000000" w:sz="4" w:space="0"/>
            </w:tcBorders>
            <w:tcMar>
              <w:top w:w="10" w:type="dxa"/>
              <w:left w:w="10" w:type="dxa"/>
              <w:right w:w="10" w:type="dxa"/>
            </w:tcMar>
            <w:vAlign w:val="center"/>
          </w:tcPr>
          <w:p w14:paraId="7D52F3F9">
            <w:pPr>
              <w:rPr>
                <w:sz w:val="20"/>
                <w:szCs w:val="20"/>
              </w:rPr>
            </w:pPr>
          </w:p>
        </w:tc>
        <w:tc>
          <w:tcPr>
            <w:tcW w:w="992" w:type="dxa"/>
            <w:vMerge w:val="continue"/>
            <w:tcBorders>
              <w:top w:val="nil"/>
              <w:left w:val="nil"/>
              <w:bottom w:val="single" w:color="auto" w:sz="4" w:space="0"/>
              <w:right w:val="single" w:color="000000" w:sz="4" w:space="0"/>
            </w:tcBorders>
            <w:tcMar>
              <w:top w:w="10" w:type="dxa"/>
              <w:left w:w="10" w:type="dxa"/>
              <w:right w:w="10" w:type="dxa"/>
            </w:tcMar>
            <w:vAlign w:val="center"/>
          </w:tcPr>
          <w:p w14:paraId="7A3A7987">
            <w:pPr>
              <w:rPr>
                <w:sz w:val="20"/>
                <w:szCs w:val="20"/>
              </w:rPr>
            </w:pPr>
          </w:p>
        </w:tc>
        <w:tc>
          <w:tcPr>
            <w:tcW w:w="141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EEA723F">
            <w:pPr>
              <w:widowControl/>
              <w:snapToGrid w:val="0"/>
              <w:spacing w:line="240" w:lineRule="exact"/>
              <w:ind w:left="165"/>
              <w:jc w:val="center"/>
              <w:textAlignment w:val="center"/>
              <w:rPr>
                <w:kern w:val="0"/>
                <w:szCs w:val="21"/>
              </w:rPr>
            </w:pPr>
            <w:r>
              <w:rPr>
                <w:rFonts w:hint="eastAsia" w:ascii="宋体" w:hAnsi="宋体" w:cs="宋体"/>
                <w:kern w:val="0"/>
                <w:szCs w:val="21"/>
                <w:lang w:bidi="ar"/>
              </w:rPr>
              <w:t>地贫基因检测（致病突变缺失及罕见</w:t>
            </w:r>
            <w:r>
              <w:rPr>
                <w:kern w:val="0"/>
                <w:szCs w:val="21"/>
                <w:lang w:bidi="ar"/>
              </w:rPr>
              <w:t>α</w:t>
            </w:r>
            <w:r>
              <w:rPr>
                <w:rFonts w:hint="eastAsia" w:ascii="宋体" w:hAnsi="宋体" w:cs="宋体"/>
                <w:kern w:val="0"/>
                <w:szCs w:val="21"/>
                <w:lang w:bidi="ar"/>
              </w:rPr>
              <w:t>、</w:t>
            </w:r>
            <w:r>
              <w:rPr>
                <w:kern w:val="0"/>
                <w:szCs w:val="21"/>
                <w:lang w:bidi="ar"/>
              </w:rPr>
              <w:t>β</w:t>
            </w:r>
            <w:r>
              <w:rPr>
                <w:rFonts w:hint="eastAsia" w:ascii="宋体" w:hAnsi="宋体" w:cs="宋体"/>
                <w:kern w:val="0"/>
                <w:szCs w:val="21"/>
                <w:lang w:bidi="ar"/>
              </w:rPr>
              <w:t>测序）</w:t>
            </w:r>
          </w:p>
        </w:tc>
        <w:tc>
          <w:tcPr>
            <w:tcW w:w="292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3745442">
            <w:pPr>
              <w:widowControl/>
              <w:snapToGrid w:val="0"/>
              <w:spacing w:line="240" w:lineRule="exact"/>
              <w:ind w:left="165"/>
              <w:jc w:val="center"/>
              <w:textAlignment w:val="center"/>
              <w:rPr>
                <w:kern w:val="0"/>
                <w:szCs w:val="21"/>
              </w:rPr>
            </w:pPr>
            <w:r>
              <w:rPr>
                <w:rFonts w:hint="eastAsia" w:ascii="宋体" w:hAnsi="宋体" w:cs="宋体"/>
                <w:kern w:val="0"/>
                <w:szCs w:val="21"/>
                <w:lang w:bidi="ar"/>
              </w:rPr>
              <w:t>夫妇双方经血红蛋白分析为双方阳性（含自费病人），且双方进行地贫基因检测。未发现致病突变的做罕见</w:t>
            </w:r>
            <w:r>
              <w:rPr>
                <w:kern w:val="0"/>
                <w:szCs w:val="21"/>
                <w:lang w:bidi="ar"/>
              </w:rPr>
              <w:t>α</w:t>
            </w:r>
            <w:r>
              <w:rPr>
                <w:rFonts w:hint="eastAsia" w:ascii="宋体" w:hAnsi="宋体" w:cs="宋体"/>
                <w:kern w:val="0"/>
                <w:szCs w:val="21"/>
                <w:lang w:bidi="ar"/>
              </w:rPr>
              <w:t>、</w:t>
            </w:r>
            <w:r>
              <w:rPr>
                <w:kern w:val="0"/>
                <w:szCs w:val="21"/>
                <w:lang w:bidi="ar"/>
              </w:rPr>
              <w:t>β</w:t>
            </w:r>
            <w:r>
              <w:rPr>
                <w:rFonts w:hint="eastAsia" w:ascii="宋体" w:hAnsi="宋体" w:cs="宋体"/>
                <w:kern w:val="0"/>
                <w:szCs w:val="21"/>
                <w:lang w:bidi="ar"/>
              </w:rPr>
              <w:t>测序（按初筛人群</w:t>
            </w:r>
            <w:r>
              <w:rPr>
                <w:kern w:val="0"/>
                <w:szCs w:val="21"/>
                <w:lang w:bidi="ar"/>
              </w:rPr>
              <w:t>6.25%</w:t>
            </w:r>
            <w:r>
              <w:rPr>
                <w:rFonts w:hint="eastAsia" w:ascii="宋体" w:hAnsi="宋体" w:cs="宋体"/>
                <w:kern w:val="0"/>
                <w:szCs w:val="21"/>
                <w:lang w:bidi="ar"/>
              </w:rPr>
              <w:t>计算）</w:t>
            </w:r>
          </w:p>
        </w:tc>
        <w:tc>
          <w:tcPr>
            <w:tcW w:w="945" w:type="dxa"/>
            <w:vMerge w:val="continue"/>
            <w:tcBorders>
              <w:top w:val="nil"/>
              <w:left w:val="nil"/>
              <w:bottom w:val="single" w:color="000000" w:sz="4" w:space="0"/>
              <w:right w:val="single" w:color="000000" w:sz="4" w:space="0"/>
            </w:tcBorders>
            <w:tcMar>
              <w:top w:w="10" w:type="dxa"/>
              <w:left w:w="10" w:type="dxa"/>
              <w:right w:w="10" w:type="dxa"/>
            </w:tcMar>
            <w:vAlign w:val="center"/>
          </w:tcPr>
          <w:p w14:paraId="7B630690">
            <w:pPr>
              <w:rPr>
                <w:sz w:val="20"/>
                <w:szCs w:val="20"/>
              </w:rPr>
            </w:pPr>
          </w:p>
        </w:tc>
        <w:tc>
          <w:tcPr>
            <w:tcW w:w="88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B689051">
            <w:pPr>
              <w:widowControl/>
              <w:snapToGrid w:val="0"/>
              <w:spacing w:line="240" w:lineRule="atLeast"/>
              <w:ind w:left="165"/>
              <w:jc w:val="center"/>
              <w:textAlignment w:val="center"/>
              <w:rPr>
                <w:szCs w:val="21"/>
              </w:rPr>
            </w:pPr>
            <w:r>
              <w:rPr>
                <w:kern w:val="0"/>
                <w:szCs w:val="21"/>
                <w:lang w:bidi="ar"/>
              </w:rPr>
              <w:t xml:space="preserve">574.5 </w:t>
            </w:r>
          </w:p>
        </w:tc>
        <w:tc>
          <w:tcPr>
            <w:tcW w:w="124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57BE4E32">
            <w:pPr>
              <w:widowControl/>
              <w:snapToGrid w:val="0"/>
              <w:spacing w:line="240" w:lineRule="atLeast"/>
              <w:ind w:left="165"/>
              <w:jc w:val="center"/>
              <w:textAlignment w:val="center"/>
              <w:rPr>
                <w:szCs w:val="21"/>
              </w:rPr>
            </w:pPr>
            <w:r>
              <w:rPr>
                <w:kern w:val="0"/>
                <w:szCs w:val="21"/>
                <w:lang w:bidi="ar"/>
              </w:rPr>
              <w:t xml:space="preserve">517.0 </w:t>
            </w:r>
          </w:p>
        </w:tc>
        <w:tc>
          <w:tcPr>
            <w:tcW w:w="84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40F9FC0">
            <w:pPr>
              <w:widowControl/>
              <w:snapToGrid w:val="0"/>
              <w:spacing w:line="240" w:lineRule="atLeast"/>
              <w:ind w:left="165"/>
              <w:jc w:val="center"/>
              <w:textAlignment w:val="center"/>
              <w:rPr>
                <w:szCs w:val="21"/>
              </w:rPr>
            </w:pPr>
            <w:r>
              <w:rPr>
                <w:kern w:val="0"/>
                <w:szCs w:val="21"/>
                <w:lang w:bidi="ar"/>
              </w:rPr>
              <w:t>6.25%</w:t>
            </w:r>
          </w:p>
        </w:tc>
        <w:tc>
          <w:tcPr>
            <w:tcW w:w="8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C500ADC">
            <w:pPr>
              <w:widowControl/>
              <w:snapToGrid w:val="0"/>
              <w:spacing w:line="240" w:lineRule="atLeast"/>
              <w:ind w:left="165"/>
              <w:jc w:val="center"/>
              <w:textAlignment w:val="center"/>
              <w:rPr>
                <w:szCs w:val="21"/>
              </w:rPr>
            </w:pPr>
            <w:r>
              <w:rPr>
                <w:kern w:val="0"/>
                <w:szCs w:val="21"/>
                <w:lang w:bidi="ar"/>
              </w:rPr>
              <w:t>60%</w:t>
            </w:r>
          </w:p>
        </w:tc>
        <w:tc>
          <w:tcPr>
            <w:tcW w:w="11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C7B4117">
            <w:pPr>
              <w:widowControl/>
              <w:snapToGrid w:val="0"/>
              <w:spacing w:line="240" w:lineRule="atLeast"/>
              <w:ind w:left="165"/>
              <w:jc w:val="center"/>
              <w:textAlignment w:val="center"/>
              <w:rPr>
                <w:szCs w:val="21"/>
              </w:rPr>
            </w:pPr>
            <w:r>
              <w:rPr>
                <w:kern w:val="0"/>
                <w:szCs w:val="21"/>
                <w:lang w:bidi="ar"/>
              </w:rPr>
              <w:t>32</w:t>
            </w:r>
          </w:p>
        </w:tc>
        <w:tc>
          <w:tcPr>
            <w:tcW w:w="157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D387767">
            <w:pPr>
              <w:widowControl/>
              <w:snapToGrid w:val="0"/>
              <w:spacing w:line="240" w:lineRule="atLeast"/>
              <w:ind w:left="165"/>
              <w:jc w:val="center"/>
              <w:textAlignment w:val="center"/>
              <w:rPr>
                <w:szCs w:val="21"/>
              </w:rPr>
            </w:pPr>
            <w:r>
              <w:rPr>
                <w:kern w:val="0"/>
                <w:szCs w:val="21"/>
                <w:lang w:bidi="ar"/>
              </w:rPr>
              <w:t>19</w:t>
            </w:r>
          </w:p>
        </w:tc>
        <w:tc>
          <w:tcPr>
            <w:tcW w:w="2058"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79388B2">
            <w:pPr>
              <w:widowControl/>
              <w:snapToGrid w:val="0"/>
              <w:spacing w:line="240" w:lineRule="atLeast"/>
              <w:ind w:left="165"/>
              <w:jc w:val="center"/>
              <w:textAlignment w:val="center"/>
              <w:rPr>
                <w:szCs w:val="21"/>
              </w:rPr>
            </w:pPr>
            <w:r>
              <w:rPr>
                <w:kern w:val="0"/>
                <w:szCs w:val="21"/>
                <w:lang w:bidi="ar"/>
              </w:rPr>
              <w:t>13</w:t>
            </w:r>
          </w:p>
        </w:tc>
      </w:tr>
      <w:tr w14:paraId="3D44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restart"/>
            <w:tcBorders>
              <w:top w:val="nil"/>
              <w:left w:val="single" w:color="000000" w:sz="4" w:space="0"/>
              <w:bottom w:val="single" w:color="000000" w:sz="4" w:space="0"/>
              <w:right w:val="single" w:color="000000" w:sz="4" w:space="0"/>
            </w:tcBorders>
            <w:tcMar>
              <w:top w:w="10" w:type="dxa"/>
              <w:left w:w="10" w:type="dxa"/>
              <w:right w:w="10" w:type="dxa"/>
            </w:tcMar>
            <w:vAlign w:val="center"/>
          </w:tcPr>
          <w:p w14:paraId="2ACC2ED6">
            <w:pPr>
              <w:widowControl/>
              <w:snapToGrid w:val="0"/>
              <w:spacing w:line="260" w:lineRule="exact"/>
              <w:ind w:left="165"/>
              <w:textAlignment w:val="center"/>
              <w:rPr>
                <w:szCs w:val="21"/>
              </w:rPr>
            </w:pPr>
            <w:r>
              <w:rPr>
                <w:kern w:val="0"/>
                <w:szCs w:val="21"/>
                <w:lang w:bidi="ar"/>
              </w:rPr>
              <w:t>2</w:t>
            </w:r>
            <w:r>
              <w:rPr>
                <w:rFonts w:hint="eastAsia" w:ascii="宋体" w:hAnsi="宋体" w:cs="宋体"/>
                <w:kern w:val="0"/>
                <w:szCs w:val="21"/>
                <w:lang w:bidi="ar"/>
              </w:rPr>
              <w:t>、唐氏综合征及其他致死致残性染色体异常</w:t>
            </w:r>
          </w:p>
        </w:tc>
        <w:tc>
          <w:tcPr>
            <w:tcW w:w="992" w:type="dxa"/>
            <w:vMerge w:val="restart"/>
            <w:tcBorders>
              <w:top w:val="nil"/>
              <w:left w:val="nil"/>
              <w:bottom w:val="single" w:color="auto" w:sz="4" w:space="0"/>
              <w:right w:val="single" w:color="000000" w:sz="4" w:space="0"/>
            </w:tcBorders>
            <w:tcMar>
              <w:top w:w="10" w:type="dxa"/>
              <w:left w:w="10" w:type="dxa"/>
              <w:right w:w="10" w:type="dxa"/>
            </w:tcMar>
            <w:vAlign w:val="center"/>
          </w:tcPr>
          <w:p w14:paraId="2E73E720">
            <w:pPr>
              <w:widowControl/>
              <w:snapToGrid w:val="0"/>
              <w:spacing w:line="260" w:lineRule="exact"/>
              <w:ind w:left="165"/>
              <w:jc w:val="center"/>
              <w:textAlignment w:val="center"/>
              <w:rPr>
                <w:szCs w:val="21"/>
              </w:rPr>
            </w:pPr>
            <w:r>
              <w:rPr>
                <w:rFonts w:hint="eastAsia" w:ascii="宋体" w:hAnsi="宋体" w:cs="宋体"/>
                <w:kern w:val="0"/>
                <w:szCs w:val="21"/>
                <w:lang w:bidi="ar"/>
              </w:rPr>
              <w:t>初筛</w:t>
            </w:r>
          </w:p>
        </w:tc>
        <w:tc>
          <w:tcPr>
            <w:tcW w:w="141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6823EF06">
            <w:pPr>
              <w:widowControl/>
              <w:snapToGrid w:val="0"/>
              <w:spacing w:line="240" w:lineRule="exact"/>
              <w:ind w:left="165"/>
              <w:jc w:val="center"/>
              <w:textAlignment w:val="center"/>
              <w:rPr>
                <w:kern w:val="0"/>
                <w:szCs w:val="21"/>
              </w:rPr>
            </w:pPr>
            <w:r>
              <w:rPr>
                <w:rFonts w:hint="eastAsia" w:ascii="宋体" w:hAnsi="宋体" w:cs="宋体"/>
                <w:kern w:val="0"/>
                <w:szCs w:val="21"/>
                <w:lang w:bidi="ar"/>
              </w:rPr>
              <w:t>孕早期（</w:t>
            </w:r>
            <w:r>
              <w:rPr>
                <w:kern w:val="0"/>
                <w:szCs w:val="21"/>
                <w:lang w:bidi="ar"/>
              </w:rPr>
              <w:t>11-13+6</w:t>
            </w:r>
            <w:r>
              <w:rPr>
                <w:rFonts w:hint="eastAsia" w:ascii="宋体" w:hAnsi="宋体" w:cs="宋体"/>
                <w:kern w:val="0"/>
                <w:szCs w:val="21"/>
                <w:lang w:bidi="ar"/>
              </w:rPr>
              <w:t>周）血清学（</w:t>
            </w:r>
            <w:r>
              <w:rPr>
                <w:kern w:val="0"/>
                <w:szCs w:val="21"/>
                <w:lang w:bidi="ar"/>
              </w:rPr>
              <w:t>β-HCG+ PAPP</w:t>
            </w:r>
            <w:r>
              <w:rPr>
                <w:rFonts w:hint="eastAsia" w:ascii="宋体" w:hAnsi="宋体" w:cs="宋体"/>
                <w:kern w:val="0"/>
                <w:szCs w:val="21"/>
                <w:lang w:bidi="ar"/>
              </w:rPr>
              <w:t>）</w:t>
            </w:r>
          </w:p>
        </w:tc>
        <w:tc>
          <w:tcPr>
            <w:tcW w:w="292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72B45E8A">
            <w:pPr>
              <w:widowControl/>
              <w:snapToGrid w:val="0"/>
              <w:spacing w:line="240" w:lineRule="exact"/>
              <w:ind w:left="165"/>
              <w:jc w:val="center"/>
              <w:textAlignment w:val="center"/>
              <w:rPr>
                <w:kern w:val="0"/>
                <w:szCs w:val="21"/>
              </w:rPr>
            </w:pPr>
            <w:r>
              <w:rPr>
                <w:rFonts w:hint="eastAsia" w:ascii="宋体" w:hAnsi="宋体" w:cs="宋体"/>
                <w:kern w:val="0"/>
                <w:szCs w:val="21"/>
                <w:lang w:bidi="ar"/>
              </w:rPr>
              <w:t>按目前筛查实际约</w:t>
            </w:r>
            <w:r>
              <w:rPr>
                <w:kern w:val="0"/>
                <w:szCs w:val="21"/>
                <w:lang w:bidi="ar"/>
              </w:rPr>
              <w:t>70%</w:t>
            </w:r>
            <w:r>
              <w:rPr>
                <w:rFonts w:hint="eastAsia" w:ascii="宋体" w:hAnsi="宋体" w:cs="宋体"/>
                <w:kern w:val="0"/>
                <w:szCs w:val="21"/>
                <w:lang w:bidi="ar"/>
              </w:rPr>
              <w:t>选择早期唐筛。</w:t>
            </w:r>
          </w:p>
        </w:tc>
        <w:tc>
          <w:tcPr>
            <w:tcW w:w="945" w:type="dxa"/>
            <w:vMerge w:val="continue"/>
            <w:tcBorders>
              <w:top w:val="nil"/>
              <w:left w:val="nil"/>
              <w:bottom w:val="single" w:color="000000" w:sz="4" w:space="0"/>
              <w:right w:val="single" w:color="000000" w:sz="4" w:space="0"/>
            </w:tcBorders>
            <w:tcMar>
              <w:top w:w="10" w:type="dxa"/>
              <w:left w:w="10" w:type="dxa"/>
              <w:right w:w="10" w:type="dxa"/>
            </w:tcMar>
            <w:vAlign w:val="center"/>
          </w:tcPr>
          <w:p w14:paraId="6602C137">
            <w:pPr>
              <w:rPr>
                <w:sz w:val="20"/>
                <w:szCs w:val="20"/>
              </w:rPr>
            </w:pPr>
          </w:p>
        </w:tc>
        <w:tc>
          <w:tcPr>
            <w:tcW w:w="88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B81B4A2">
            <w:pPr>
              <w:widowControl/>
              <w:snapToGrid w:val="0"/>
              <w:spacing w:line="260" w:lineRule="exact"/>
              <w:ind w:left="165"/>
              <w:jc w:val="center"/>
              <w:textAlignment w:val="center"/>
              <w:rPr>
                <w:szCs w:val="21"/>
              </w:rPr>
            </w:pPr>
            <w:r>
              <w:rPr>
                <w:kern w:val="0"/>
                <w:szCs w:val="21"/>
                <w:lang w:bidi="ar"/>
              </w:rPr>
              <w:t>130</w:t>
            </w:r>
          </w:p>
        </w:tc>
        <w:tc>
          <w:tcPr>
            <w:tcW w:w="124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33EAF057">
            <w:pPr>
              <w:widowControl/>
              <w:snapToGrid w:val="0"/>
              <w:spacing w:line="260" w:lineRule="exact"/>
              <w:ind w:left="165"/>
              <w:jc w:val="center"/>
              <w:textAlignment w:val="center"/>
              <w:rPr>
                <w:szCs w:val="21"/>
              </w:rPr>
            </w:pPr>
            <w:r>
              <w:rPr>
                <w:kern w:val="0"/>
                <w:szCs w:val="21"/>
                <w:lang w:bidi="ar"/>
              </w:rPr>
              <w:t xml:space="preserve">117.0 </w:t>
            </w:r>
          </w:p>
        </w:tc>
        <w:tc>
          <w:tcPr>
            <w:tcW w:w="84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137C4A5">
            <w:pPr>
              <w:widowControl/>
              <w:snapToGrid w:val="0"/>
              <w:spacing w:line="260" w:lineRule="exact"/>
              <w:ind w:left="165"/>
              <w:jc w:val="center"/>
              <w:textAlignment w:val="center"/>
              <w:rPr>
                <w:szCs w:val="21"/>
              </w:rPr>
            </w:pPr>
            <w:r>
              <w:rPr>
                <w:kern w:val="0"/>
                <w:szCs w:val="21"/>
                <w:lang w:bidi="ar"/>
              </w:rPr>
              <w:t>70%</w:t>
            </w:r>
          </w:p>
        </w:tc>
        <w:tc>
          <w:tcPr>
            <w:tcW w:w="8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BF7A7CB">
            <w:pPr>
              <w:widowControl/>
              <w:snapToGrid w:val="0"/>
              <w:spacing w:line="260" w:lineRule="exact"/>
              <w:ind w:left="165"/>
              <w:jc w:val="center"/>
              <w:textAlignment w:val="center"/>
              <w:rPr>
                <w:szCs w:val="21"/>
              </w:rPr>
            </w:pPr>
            <w:r>
              <w:rPr>
                <w:kern w:val="0"/>
                <w:szCs w:val="21"/>
                <w:lang w:bidi="ar"/>
              </w:rPr>
              <w:t>60%</w:t>
            </w:r>
          </w:p>
        </w:tc>
        <w:tc>
          <w:tcPr>
            <w:tcW w:w="11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6820A8E">
            <w:pPr>
              <w:widowControl/>
              <w:snapToGrid w:val="0"/>
              <w:spacing w:line="260" w:lineRule="exact"/>
              <w:ind w:left="165"/>
              <w:jc w:val="center"/>
              <w:textAlignment w:val="center"/>
              <w:rPr>
                <w:szCs w:val="21"/>
              </w:rPr>
            </w:pPr>
            <w:r>
              <w:rPr>
                <w:kern w:val="0"/>
                <w:szCs w:val="21"/>
                <w:lang w:bidi="ar"/>
              </w:rPr>
              <w:t>82</w:t>
            </w:r>
          </w:p>
        </w:tc>
        <w:tc>
          <w:tcPr>
            <w:tcW w:w="157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AF1A55F">
            <w:pPr>
              <w:widowControl/>
              <w:snapToGrid w:val="0"/>
              <w:spacing w:line="260" w:lineRule="exact"/>
              <w:ind w:left="165"/>
              <w:jc w:val="center"/>
              <w:textAlignment w:val="center"/>
              <w:rPr>
                <w:szCs w:val="21"/>
              </w:rPr>
            </w:pPr>
            <w:r>
              <w:rPr>
                <w:kern w:val="0"/>
                <w:szCs w:val="21"/>
                <w:lang w:bidi="ar"/>
              </w:rPr>
              <w:t>49</w:t>
            </w:r>
          </w:p>
        </w:tc>
        <w:tc>
          <w:tcPr>
            <w:tcW w:w="2058"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42A6668">
            <w:pPr>
              <w:widowControl/>
              <w:snapToGrid w:val="0"/>
              <w:spacing w:line="260" w:lineRule="exact"/>
              <w:ind w:left="165"/>
              <w:jc w:val="center"/>
              <w:textAlignment w:val="center"/>
              <w:rPr>
                <w:szCs w:val="21"/>
              </w:rPr>
            </w:pPr>
            <w:r>
              <w:rPr>
                <w:kern w:val="0"/>
                <w:szCs w:val="21"/>
                <w:lang w:bidi="ar"/>
              </w:rPr>
              <w:t>33</w:t>
            </w:r>
          </w:p>
        </w:tc>
      </w:tr>
      <w:tr w14:paraId="0322A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continue"/>
            <w:tcBorders>
              <w:top w:val="nil"/>
              <w:left w:val="single" w:color="000000" w:sz="4" w:space="0"/>
              <w:bottom w:val="single" w:color="000000" w:sz="4" w:space="0"/>
              <w:right w:val="single" w:color="000000" w:sz="4" w:space="0"/>
            </w:tcBorders>
            <w:tcMar>
              <w:top w:w="10" w:type="dxa"/>
              <w:left w:w="10" w:type="dxa"/>
              <w:right w:w="10" w:type="dxa"/>
            </w:tcMar>
            <w:vAlign w:val="center"/>
          </w:tcPr>
          <w:p w14:paraId="61BDB695">
            <w:pPr>
              <w:rPr>
                <w:sz w:val="20"/>
                <w:szCs w:val="20"/>
              </w:rPr>
            </w:pPr>
          </w:p>
        </w:tc>
        <w:tc>
          <w:tcPr>
            <w:tcW w:w="992" w:type="dxa"/>
            <w:vMerge w:val="continue"/>
            <w:tcBorders>
              <w:top w:val="nil"/>
              <w:left w:val="nil"/>
              <w:bottom w:val="single" w:color="auto" w:sz="4" w:space="0"/>
              <w:right w:val="single" w:color="000000" w:sz="4" w:space="0"/>
            </w:tcBorders>
            <w:tcMar>
              <w:top w:w="10" w:type="dxa"/>
              <w:left w:w="10" w:type="dxa"/>
              <w:right w:w="10" w:type="dxa"/>
            </w:tcMar>
            <w:vAlign w:val="center"/>
          </w:tcPr>
          <w:p w14:paraId="5FD30BAD">
            <w:pPr>
              <w:rPr>
                <w:sz w:val="20"/>
                <w:szCs w:val="20"/>
              </w:rPr>
            </w:pPr>
          </w:p>
        </w:tc>
        <w:tc>
          <w:tcPr>
            <w:tcW w:w="141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E15705E">
            <w:pPr>
              <w:widowControl/>
              <w:snapToGrid w:val="0"/>
              <w:spacing w:line="240" w:lineRule="exact"/>
              <w:ind w:left="165"/>
              <w:jc w:val="center"/>
              <w:textAlignment w:val="center"/>
              <w:rPr>
                <w:kern w:val="0"/>
                <w:szCs w:val="21"/>
              </w:rPr>
            </w:pPr>
            <w:r>
              <w:rPr>
                <w:rFonts w:hint="eastAsia" w:ascii="宋体" w:hAnsi="宋体" w:cs="宋体"/>
                <w:kern w:val="0"/>
                <w:szCs w:val="21"/>
                <w:lang w:bidi="ar"/>
              </w:rPr>
              <w:t>孕中期（</w:t>
            </w:r>
            <w:r>
              <w:rPr>
                <w:kern w:val="0"/>
                <w:szCs w:val="21"/>
                <w:lang w:bidi="ar"/>
              </w:rPr>
              <w:t>15-20</w:t>
            </w:r>
            <w:r>
              <w:rPr>
                <w:rFonts w:hint="eastAsia" w:ascii="宋体" w:hAnsi="宋体" w:cs="宋体"/>
                <w:kern w:val="0"/>
                <w:szCs w:val="21"/>
                <w:lang w:bidi="ar"/>
              </w:rPr>
              <w:t>周）血清学（</w:t>
            </w:r>
            <w:r>
              <w:rPr>
                <w:kern w:val="0"/>
                <w:szCs w:val="21"/>
                <w:lang w:bidi="ar"/>
              </w:rPr>
              <w:t>β-HCG+AFP+uE3</w:t>
            </w:r>
            <w:r>
              <w:rPr>
                <w:rFonts w:hint="eastAsia" w:ascii="宋体" w:hAnsi="宋体" w:cs="宋体"/>
                <w:kern w:val="0"/>
                <w:szCs w:val="21"/>
                <w:lang w:bidi="ar"/>
              </w:rPr>
              <w:t>）</w:t>
            </w:r>
          </w:p>
        </w:tc>
        <w:tc>
          <w:tcPr>
            <w:tcW w:w="292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D54424D">
            <w:pPr>
              <w:widowControl/>
              <w:snapToGrid w:val="0"/>
              <w:spacing w:line="240" w:lineRule="exact"/>
              <w:ind w:left="165"/>
              <w:jc w:val="center"/>
              <w:textAlignment w:val="center"/>
              <w:rPr>
                <w:kern w:val="0"/>
                <w:szCs w:val="21"/>
              </w:rPr>
            </w:pPr>
            <w:r>
              <w:rPr>
                <w:rFonts w:hint="eastAsia" w:ascii="宋体" w:hAnsi="宋体" w:cs="宋体"/>
                <w:kern w:val="0"/>
                <w:szCs w:val="21"/>
                <w:lang w:bidi="ar"/>
              </w:rPr>
              <w:t>按目前筛查实际约</w:t>
            </w:r>
            <w:r>
              <w:rPr>
                <w:kern w:val="0"/>
                <w:szCs w:val="21"/>
                <w:lang w:bidi="ar"/>
              </w:rPr>
              <w:t>30%</w:t>
            </w:r>
            <w:r>
              <w:rPr>
                <w:rFonts w:hint="eastAsia" w:ascii="宋体" w:hAnsi="宋体" w:cs="宋体"/>
                <w:kern w:val="0"/>
                <w:szCs w:val="21"/>
                <w:lang w:bidi="ar"/>
              </w:rPr>
              <w:t>选择中期唐筛。</w:t>
            </w:r>
          </w:p>
        </w:tc>
        <w:tc>
          <w:tcPr>
            <w:tcW w:w="945" w:type="dxa"/>
            <w:vMerge w:val="continue"/>
            <w:tcBorders>
              <w:top w:val="nil"/>
              <w:left w:val="nil"/>
              <w:bottom w:val="single" w:color="000000" w:sz="4" w:space="0"/>
              <w:right w:val="single" w:color="000000" w:sz="4" w:space="0"/>
            </w:tcBorders>
            <w:tcMar>
              <w:top w:w="10" w:type="dxa"/>
              <w:left w:w="10" w:type="dxa"/>
              <w:right w:w="10" w:type="dxa"/>
            </w:tcMar>
            <w:vAlign w:val="center"/>
          </w:tcPr>
          <w:p w14:paraId="66D1ABFC">
            <w:pPr>
              <w:rPr>
                <w:sz w:val="20"/>
                <w:szCs w:val="20"/>
              </w:rPr>
            </w:pPr>
          </w:p>
        </w:tc>
        <w:tc>
          <w:tcPr>
            <w:tcW w:w="88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65E8405A">
            <w:pPr>
              <w:widowControl/>
              <w:snapToGrid w:val="0"/>
              <w:spacing w:line="260" w:lineRule="exact"/>
              <w:ind w:left="165"/>
              <w:jc w:val="center"/>
              <w:textAlignment w:val="center"/>
              <w:rPr>
                <w:szCs w:val="21"/>
              </w:rPr>
            </w:pPr>
            <w:r>
              <w:rPr>
                <w:kern w:val="0"/>
                <w:szCs w:val="21"/>
                <w:lang w:bidi="ar"/>
              </w:rPr>
              <w:t xml:space="preserve">147.4 </w:t>
            </w:r>
          </w:p>
        </w:tc>
        <w:tc>
          <w:tcPr>
            <w:tcW w:w="124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612F0DCE">
            <w:pPr>
              <w:widowControl/>
              <w:snapToGrid w:val="0"/>
              <w:spacing w:line="260" w:lineRule="exact"/>
              <w:ind w:left="165"/>
              <w:jc w:val="center"/>
              <w:textAlignment w:val="center"/>
              <w:rPr>
                <w:szCs w:val="21"/>
              </w:rPr>
            </w:pPr>
            <w:r>
              <w:rPr>
                <w:kern w:val="0"/>
                <w:szCs w:val="21"/>
                <w:lang w:bidi="ar"/>
              </w:rPr>
              <w:t xml:space="preserve">132.7 </w:t>
            </w:r>
          </w:p>
        </w:tc>
        <w:tc>
          <w:tcPr>
            <w:tcW w:w="84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4FCDCCA">
            <w:pPr>
              <w:widowControl/>
              <w:snapToGrid w:val="0"/>
              <w:spacing w:line="260" w:lineRule="exact"/>
              <w:ind w:left="165"/>
              <w:jc w:val="center"/>
              <w:textAlignment w:val="center"/>
              <w:rPr>
                <w:szCs w:val="21"/>
              </w:rPr>
            </w:pPr>
            <w:r>
              <w:rPr>
                <w:kern w:val="0"/>
                <w:szCs w:val="21"/>
                <w:lang w:bidi="ar"/>
              </w:rPr>
              <w:t>30%</w:t>
            </w:r>
          </w:p>
        </w:tc>
        <w:tc>
          <w:tcPr>
            <w:tcW w:w="8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3D8CE420">
            <w:pPr>
              <w:widowControl/>
              <w:snapToGrid w:val="0"/>
              <w:spacing w:line="260" w:lineRule="exact"/>
              <w:ind w:left="165"/>
              <w:jc w:val="center"/>
              <w:textAlignment w:val="center"/>
              <w:rPr>
                <w:szCs w:val="21"/>
              </w:rPr>
            </w:pPr>
            <w:r>
              <w:rPr>
                <w:kern w:val="0"/>
                <w:szCs w:val="21"/>
                <w:lang w:bidi="ar"/>
              </w:rPr>
              <w:t>60%</w:t>
            </w:r>
          </w:p>
        </w:tc>
        <w:tc>
          <w:tcPr>
            <w:tcW w:w="11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C567112">
            <w:pPr>
              <w:widowControl/>
              <w:snapToGrid w:val="0"/>
              <w:spacing w:line="260" w:lineRule="exact"/>
              <w:ind w:left="165"/>
              <w:jc w:val="center"/>
              <w:textAlignment w:val="center"/>
              <w:rPr>
                <w:szCs w:val="21"/>
              </w:rPr>
            </w:pPr>
            <w:r>
              <w:rPr>
                <w:kern w:val="0"/>
                <w:szCs w:val="21"/>
                <w:lang w:bidi="ar"/>
              </w:rPr>
              <w:t>40</w:t>
            </w:r>
          </w:p>
        </w:tc>
        <w:tc>
          <w:tcPr>
            <w:tcW w:w="157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684F6019">
            <w:pPr>
              <w:widowControl/>
              <w:snapToGrid w:val="0"/>
              <w:spacing w:line="260" w:lineRule="exact"/>
              <w:ind w:left="165"/>
              <w:jc w:val="center"/>
              <w:textAlignment w:val="center"/>
              <w:rPr>
                <w:szCs w:val="21"/>
              </w:rPr>
            </w:pPr>
            <w:r>
              <w:rPr>
                <w:kern w:val="0"/>
                <w:szCs w:val="21"/>
                <w:lang w:bidi="ar"/>
              </w:rPr>
              <w:t>24</w:t>
            </w:r>
          </w:p>
        </w:tc>
        <w:tc>
          <w:tcPr>
            <w:tcW w:w="2058"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775BE20F">
            <w:pPr>
              <w:widowControl/>
              <w:snapToGrid w:val="0"/>
              <w:spacing w:line="260" w:lineRule="exact"/>
              <w:ind w:left="165"/>
              <w:jc w:val="center"/>
              <w:textAlignment w:val="center"/>
              <w:rPr>
                <w:szCs w:val="21"/>
              </w:rPr>
            </w:pPr>
            <w:r>
              <w:rPr>
                <w:kern w:val="0"/>
                <w:szCs w:val="21"/>
                <w:lang w:bidi="ar"/>
              </w:rPr>
              <w:t>16</w:t>
            </w:r>
          </w:p>
        </w:tc>
      </w:tr>
      <w:tr w14:paraId="582E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continue"/>
            <w:tcBorders>
              <w:top w:val="nil"/>
              <w:left w:val="single" w:color="000000" w:sz="4" w:space="0"/>
              <w:bottom w:val="single" w:color="000000" w:sz="4" w:space="0"/>
              <w:right w:val="single" w:color="000000" w:sz="4" w:space="0"/>
            </w:tcBorders>
            <w:tcMar>
              <w:top w:w="10" w:type="dxa"/>
              <w:left w:w="10" w:type="dxa"/>
              <w:right w:w="10" w:type="dxa"/>
            </w:tcMar>
            <w:vAlign w:val="center"/>
          </w:tcPr>
          <w:p w14:paraId="357CCA8C">
            <w:pPr>
              <w:rPr>
                <w:sz w:val="20"/>
                <w:szCs w:val="20"/>
              </w:rPr>
            </w:pPr>
          </w:p>
        </w:tc>
        <w:tc>
          <w:tcPr>
            <w:tcW w:w="992"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3E4DF5D3">
            <w:pPr>
              <w:widowControl/>
              <w:snapToGrid w:val="0"/>
              <w:spacing w:line="260" w:lineRule="exact"/>
              <w:ind w:left="165"/>
              <w:jc w:val="center"/>
              <w:textAlignment w:val="center"/>
              <w:rPr>
                <w:szCs w:val="21"/>
              </w:rPr>
            </w:pPr>
            <w:r>
              <w:rPr>
                <w:rFonts w:hint="eastAsia" w:ascii="宋体" w:hAnsi="宋体" w:cs="宋体"/>
                <w:kern w:val="0"/>
                <w:szCs w:val="21"/>
                <w:lang w:bidi="ar"/>
              </w:rPr>
              <w:t>复筛</w:t>
            </w:r>
          </w:p>
        </w:tc>
        <w:tc>
          <w:tcPr>
            <w:tcW w:w="141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CA5A3A1">
            <w:pPr>
              <w:widowControl/>
              <w:snapToGrid w:val="0"/>
              <w:spacing w:line="240" w:lineRule="exact"/>
              <w:ind w:left="165"/>
              <w:jc w:val="center"/>
              <w:textAlignment w:val="center"/>
              <w:rPr>
                <w:kern w:val="0"/>
                <w:szCs w:val="21"/>
              </w:rPr>
            </w:pPr>
            <w:r>
              <w:rPr>
                <w:rFonts w:hint="eastAsia" w:ascii="宋体" w:hAnsi="宋体" w:cs="宋体"/>
                <w:kern w:val="0"/>
                <w:szCs w:val="21"/>
                <w:lang w:bidi="ar"/>
              </w:rPr>
              <w:t>孕妇外周血游离</w:t>
            </w:r>
            <w:r>
              <w:rPr>
                <w:kern w:val="0"/>
                <w:szCs w:val="21"/>
                <w:lang w:bidi="ar"/>
              </w:rPr>
              <w:t>DNA</w:t>
            </w:r>
            <w:r>
              <w:rPr>
                <w:rFonts w:hint="eastAsia" w:ascii="宋体" w:hAnsi="宋体" w:cs="宋体"/>
                <w:kern w:val="0"/>
                <w:szCs w:val="21"/>
                <w:lang w:bidi="ar"/>
              </w:rPr>
              <w:t>产前筛查（</w:t>
            </w:r>
            <w:r>
              <w:rPr>
                <w:kern w:val="0"/>
                <w:szCs w:val="21"/>
                <w:lang w:bidi="ar"/>
              </w:rPr>
              <w:t>NIPT</w:t>
            </w:r>
            <w:r>
              <w:rPr>
                <w:rFonts w:hint="eastAsia" w:ascii="宋体" w:hAnsi="宋体" w:cs="宋体"/>
                <w:kern w:val="0"/>
                <w:szCs w:val="21"/>
                <w:lang w:bidi="ar"/>
              </w:rPr>
              <w:t>）</w:t>
            </w:r>
          </w:p>
        </w:tc>
        <w:tc>
          <w:tcPr>
            <w:tcW w:w="292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70EE5A7">
            <w:pPr>
              <w:widowControl/>
              <w:snapToGrid w:val="0"/>
              <w:spacing w:line="240" w:lineRule="exact"/>
              <w:ind w:left="165"/>
              <w:jc w:val="center"/>
              <w:textAlignment w:val="center"/>
              <w:rPr>
                <w:kern w:val="0"/>
                <w:szCs w:val="21"/>
              </w:rPr>
            </w:pPr>
            <w:r>
              <w:rPr>
                <w:rFonts w:hint="eastAsia" w:ascii="宋体" w:hAnsi="宋体" w:cs="宋体"/>
                <w:kern w:val="0"/>
                <w:szCs w:val="21"/>
                <w:lang w:bidi="ar"/>
              </w:rPr>
              <w:t>经血清学筛查为临界风险的孕妇（非整倍体风险值介于高风险切割值与</w:t>
            </w:r>
            <w:r>
              <w:rPr>
                <w:kern w:val="0"/>
                <w:szCs w:val="21"/>
                <w:lang w:bidi="ar"/>
              </w:rPr>
              <w:t>1/1000</w:t>
            </w:r>
            <w:r>
              <w:rPr>
                <w:rFonts w:hint="eastAsia" w:ascii="宋体" w:hAnsi="宋体" w:cs="宋体"/>
                <w:kern w:val="0"/>
                <w:szCs w:val="21"/>
                <w:lang w:bidi="ar"/>
              </w:rPr>
              <w:t>的孕妇， 按初筛人群</w:t>
            </w:r>
            <w:r>
              <w:rPr>
                <w:kern w:val="0"/>
                <w:szCs w:val="21"/>
                <w:lang w:bidi="ar"/>
              </w:rPr>
              <w:t>10%</w:t>
            </w:r>
            <w:r>
              <w:rPr>
                <w:rFonts w:hint="eastAsia" w:ascii="宋体" w:hAnsi="宋体" w:cs="宋体"/>
                <w:kern w:val="0"/>
                <w:szCs w:val="21"/>
                <w:lang w:bidi="ar"/>
              </w:rPr>
              <w:t>计算，财政定额补助</w:t>
            </w:r>
            <w:r>
              <w:rPr>
                <w:kern w:val="0"/>
                <w:szCs w:val="21"/>
                <w:lang w:bidi="ar"/>
              </w:rPr>
              <w:t>600</w:t>
            </w:r>
            <w:r>
              <w:rPr>
                <w:rFonts w:hint="eastAsia" w:ascii="宋体" w:hAnsi="宋体" w:cs="宋体"/>
                <w:kern w:val="0"/>
                <w:szCs w:val="21"/>
                <w:lang w:bidi="ar"/>
              </w:rPr>
              <w:t>元，不足部分个人自付或医保补助）</w:t>
            </w:r>
          </w:p>
        </w:tc>
        <w:tc>
          <w:tcPr>
            <w:tcW w:w="94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3FDD04F3">
            <w:pPr>
              <w:widowControl/>
              <w:snapToGrid w:val="0"/>
              <w:spacing w:line="260" w:lineRule="exact"/>
              <w:ind w:left="165"/>
              <w:jc w:val="center"/>
              <w:textAlignment w:val="center"/>
              <w:rPr>
                <w:szCs w:val="21"/>
              </w:rPr>
            </w:pPr>
            <w:r>
              <w:rPr>
                <w:rFonts w:hint="eastAsia" w:ascii="宋体" w:hAnsi="宋体" w:cs="宋体"/>
                <w:kern w:val="0"/>
                <w:szCs w:val="21"/>
                <w:lang w:bidi="ar"/>
              </w:rPr>
              <w:t>产前诊断机构</w:t>
            </w:r>
          </w:p>
        </w:tc>
        <w:tc>
          <w:tcPr>
            <w:tcW w:w="88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4D35B1C">
            <w:pPr>
              <w:widowControl/>
              <w:snapToGrid w:val="0"/>
              <w:spacing w:line="260" w:lineRule="exact"/>
              <w:ind w:left="165"/>
              <w:jc w:val="center"/>
              <w:textAlignment w:val="center"/>
              <w:rPr>
                <w:szCs w:val="21"/>
              </w:rPr>
            </w:pPr>
            <w:r>
              <w:rPr>
                <w:kern w:val="0"/>
                <w:szCs w:val="21"/>
                <w:lang w:bidi="ar"/>
              </w:rPr>
              <w:t>1411.7</w:t>
            </w:r>
          </w:p>
        </w:tc>
        <w:tc>
          <w:tcPr>
            <w:tcW w:w="124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5DDE4B88">
            <w:pPr>
              <w:widowControl/>
              <w:snapToGrid w:val="0"/>
              <w:spacing w:line="260" w:lineRule="exact"/>
              <w:ind w:left="165"/>
              <w:jc w:val="center"/>
              <w:textAlignment w:val="center"/>
              <w:rPr>
                <w:szCs w:val="21"/>
              </w:rPr>
            </w:pPr>
            <w:r>
              <w:rPr>
                <w:kern w:val="0"/>
                <w:szCs w:val="21"/>
                <w:lang w:bidi="ar"/>
              </w:rPr>
              <w:t xml:space="preserve">600.0 </w:t>
            </w:r>
          </w:p>
        </w:tc>
        <w:tc>
          <w:tcPr>
            <w:tcW w:w="84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D2A21E8">
            <w:pPr>
              <w:widowControl/>
              <w:snapToGrid w:val="0"/>
              <w:spacing w:line="260" w:lineRule="exact"/>
              <w:ind w:left="165"/>
              <w:jc w:val="center"/>
              <w:textAlignment w:val="center"/>
              <w:rPr>
                <w:szCs w:val="21"/>
              </w:rPr>
            </w:pPr>
            <w:r>
              <w:rPr>
                <w:kern w:val="0"/>
                <w:szCs w:val="21"/>
                <w:lang w:bidi="ar"/>
              </w:rPr>
              <w:t>10.0%</w:t>
            </w:r>
          </w:p>
        </w:tc>
        <w:tc>
          <w:tcPr>
            <w:tcW w:w="8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6E458E17">
            <w:pPr>
              <w:widowControl/>
              <w:snapToGrid w:val="0"/>
              <w:spacing w:line="260" w:lineRule="exact"/>
              <w:ind w:left="165"/>
              <w:jc w:val="center"/>
              <w:textAlignment w:val="center"/>
              <w:rPr>
                <w:szCs w:val="21"/>
              </w:rPr>
            </w:pPr>
            <w:r>
              <w:rPr>
                <w:kern w:val="0"/>
                <w:szCs w:val="21"/>
                <w:lang w:bidi="ar"/>
              </w:rPr>
              <w:t>60%</w:t>
            </w:r>
          </w:p>
        </w:tc>
        <w:tc>
          <w:tcPr>
            <w:tcW w:w="11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5F5BE2C">
            <w:pPr>
              <w:widowControl/>
              <w:snapToGrid w:val="0"/>
              <w:spacing w:line="260" w:lineRule="exact"/>
              <w:ind w:left="165"/>
              <w:jc w:val="center"/>
              <w:textAlignment w:val="center"/>
              <w:rPr>
                <w:szCs w:val="21"/>
              </w:rPr>
            </w:pPr>
            <w:r>
              <w:rPr>
                <w:kern w:val="0"/>
                <w:szCs w:val="21"/>
                <w:lang w:bidi="ar"/>
              </w:rPr>
              <w:t>60</w:t>
            </w:r>
          </w:p>
        </w:tc>
        <w:tc>
          <w:tcPr>
            <w:tcW w:w="157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AF9F351">
            <w:pPr>
              <w:widowControl/>
              <w:snapToGrid w:val="0"/>
              <w:spacing w:line="260" w:lineRule="exact"/>
              <w:ind w:left="165"/>
              <w:jc w:val="center"/>
              <w:textAlignment w:val="center"/>
              <w:rPr>
                <w:szCs w:val="21"/>
              </w:rPr>
            </w:pPr>
            <w:r>
              <w:rPr>
                <w:kern w:val="0"/>
                <w:szCs w:val="21"/>
                <w:lang w:bidi="ar"/>
              </w:rPr>
              <w:t>36</w:t>
            </w:r>
          </w:p>
        </w:tc>
        <w:tc>
          <w:tcPr>
            <w:tcW w:w="2058"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3931520B">
            <w:pPr>
              <w:widowControl/>
              <w:snapToGrid w:val="0"/>
              <w:spacing w:line="260" w:lineRule="exact"/>
              <w:ind w:left="165"/>
              <w:jc w:val="center"/>
              <w:textAlignment w:val="center"/>
              <w:rPr>
                <w:szCs w:val="21"/>
              </w:rPr>
            </w:pPr>
            <w:r>
              <w:rPr>
                <w:kern w:val="0"/>
                <w:szCs w:val="21"/>
                <w:lang w:bidi="ar"/>
              </w:rPr>
              <w:t>24</w:t>
            </w:r>
          </w:p>
        </w:tc>
      </w:tr>
      <w:tr w14:paraId="3E73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restart"/>
            <w:tcBorders>
              <w:top w:val="nil"/>
              <w:left w:val="single" w:color="000000" w:sz="4" w:space="0"/>
              <w:bottom w:val="single" w:color="000000" w:sz="4" w:space="0"/>
              <w:right w:val="single" w:color="000000" w:sz="4" w:space="0"/>
            </w:tcBorders>
            <w:tcMar>
              <w:top w:w="10" w:type="dxa"/>
              <w:left w:w="10" w:type="dxa"/>
              <w:right w:w="10" w:type="dxa"/>
            </w:tcMar>
            <w:vAlign w:val="center"/>
          </w:tcPr>
          <w:p w14:paraId="54ADDFE2">
            <w:pPr>
              <w:widowControl/>
              <w:snapToGrid w:val="0"/>
              <w:spacing w:line="240" w:lineRule="exact"/>
              <w:ind w:left="165"/>
              <w:textAlignment w:val="center"/>
              <w:rPr>
                <w:szCs w:val="21"/>
              </w:rPr>
            </w:pPr>
            <w:r>
              <w:rPr>
                <w:kern w:val="0"/>
                <w:szCs w:val="21"/>
                <w:lang w:bidi="ar"/>
              </w:rPr>
              <w:t>3</w:t>
            </w:r>
            <w:r>
              <w:rPr>
                <w:rFonts w:hint="eastAsia" w:ascii="宋体" w:hAnsi="宋体" w:cs="宋体"/>
                <w:kern w:val="0"/>
                <w:szCs w:val="21"/>
                <w:lang w:bidi="ar"/>
              </w:rPr>
              <w:t>、严重致死致残性结构畸形</w:t>
            </w:r>
          </w:p>
        </w:tc>
        <w:tc>
          <w:tcPr>
            <w:tcW w:w="992" w:type="dxa"/>
            <w:vMerge w:val="restart"/>
            <w:tcBorders>
              <w:top w:val="nil"/>
              <w:left w:val="nil"/>
              <w:bottom w:val="single" w:color="auto" w:sz="4" w:space="0"/>
              <w:right w:val="single" w:color="000000" w:sz="4" w:space="0"/>
            </w:tcBorders>
            <w:tcMar>
              <w:top w:w="10" w:type="dxa"/>
              <w:left w:w="10" w:type="dxa"/>
              <w:right w:w="10" w:type="dxa"/>
            </w:tcMar>
            <w:vAlign w:val="center"/>
          </w:tcPr>
          <w:p w14:paraId="6253B73A">
            <w:pPr>
              <w:widowControl/>
              <w:snapToGrid w:val="0"/>
              <w:spacing w:line="240" w:lineRule="exact"/>
              <w:ind w:left="165"/>
              <w:jc w:val="center"/>
              <w:textAlignment w:val="center"/>
              <w:rPr>
                <w:szCs w:val="21"/>
              </w:rPr>
            </w:pPr>
            <w:r>
              <w:rPr>
                <w:rFonts w:hint="eastAsia" w:ascii="宋体" w:hAnsi="宋体" w:cs="宋体"/>
                <w:kern w:val="0"/>
                <w:szCs w:val="21"/>
                <w:lang w:bidi="ar"/>
              </w:rPr>
              <w:t>初筛</w:t>
            </w:r>
          </w:p>
        </w:tc>
        <w:tc>
          <w:tcPr>
            <w:tcW w:w="141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562DB784">
            <w:pPr>
              <w:widowControl/>
              <w:snapToGrid w:val="0"/>
              <w:spacing w:line="240" w:lineRule="exact"/>
              <w:ind w:left="165"/>
              <w:jc w:val="center"/>
              <w:textAlignment w:val="center"/>
              <w:rPr>
                <w:kern w:val="0"/>
                <w:szCs w:val="21"/>
              </w:rPr>
            </w:pPr>
            <w:r>
              <w:rPr>
                <w:rFonts w:hint="eastAsia" w:ascii="宋体" w:hAnsi="宋体" w:cs="宋体"/>
                <w:kern w:val="0"/>
                <w:szCs w:val="21"/>
                <w:lang w:bidi="ar"/>
              </w:rPr>
              <w:t>孕早期（</w:t>
            </w:r>
            <w:r>
              <w:rPr>
                <w:kern w:val="0"/>
                <w:szCs w:val="21"/>
                <w:lang w:bidi="ar"/>
              </w:rPr>
              <w:t>11-13+6</w:t>
            </w:r>
            <w:r>
              <w:rPr>
                <w:rFonts w:hint="eastAsia" w:ascii="宋体" w:hAnsi="宋体" w:cs="宋体"/>
                <w:kern w:val="0"/>
                <w:szCs w:val="21"/>
                <w:lang w:bidi="ar"/>
              </w:rPr>
              <w:t>周）超声检查（含</w:t>
            </w:r>
            <w:r>
              <w:rPr>
                <w:kern w:val="0"/>
                <w:szCs w:val="21"/>
                <w:lang w:bidi="ar"/>
              </w:rPr>
              <w:t>NT</w:t>
            </w:r>
            <w:r>
              <w:rPr>
                <w:rFonts w:hint="eastAsia" w:ascii="宋体" w:hAnsi="宋体" w:cs="宋体"/>
                <w:kern w:val="0"/>
                <w:szCs w:val="21"/>
                <w:lang w:bidi="ar"/>
              </w:rPr>
              <w:t>）</w:t>
            </w:r>
          </w:p>
        </w:tc>
        <w:tc>
          <w:tcPr>
            <w:tcW w:w="292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D473855">
            <w:pPr>
              <w:widowControl/>
              <w:snapToGrid w:val="0"/>
              <w:spacing w:line="240" w:lineRule="exact"/>
              <w:ind w:left="165"/>
              <w:jc w:val="center"/>
              <w:textAlignment w:val="center"/>
              <w:rPr>
                <w:kern w:val="0"/>
                <w:szCs w:val="21"/>
              </w:rPr>
            </w:pPr>
            <w:r>
              <w:rPr>
                <w:rFonts w:hint="eastAsia" w:ascii="宋体" w:hAnsi="宋体" w:cs="宋体"/>
                <w:kern w:val="0"/>
                <w:szCs w:val="21"/>
                <w:lang w:bidi="ar"/>
              </w:rPr>
              <w:t>所有孕妇</w:t>
            </w:r>
          </w:p>
        </w:tc>
        <w:tc>
          <w:tcPr>
            <w:tcW w:w="945" w:type="dxa"/>
            <w:vMerge w:val="restart"/>
            <w:tcBorders>
              <w:top w:val="nil"/>
              <w:left w:val="nil"/>
              <w:bottom w:val="single" w:color="000000" w:sz="4" w:space="0"/>
              <w:right w:val="single" w:color="000000" w:sz="4" w:space="0"/>
            </w:tcBorders>
            <w:tcMar>
              <w:top w:w="10" w:type="dxa"/>
              <w:left w:w="10" w:type="dxa"/>
              <w:right w:w="10" w:type="dxa"/>
            </w:tcMar>
            <w:vAlign w:val="center"/>
          </w:tcPr>
          <w:p w14:paraId="0404D396">
            <w:pPr>
              <w:widowControl/>
              <w:snapToGrid w:val="0"/>
              <w:spacing w:line="240" w:lineRule="exact"/>
              <w:ind w:left="165"/>
              <w:jc w:val="center"/>
              <w:textAlignment w:val="center"/>
              <w:rPr>
                <w:szCs w:val="21"/>
              </w:rPr>
            </w:pPr>
            <w:r>
              <w:rPr>
                <w:rFonts w:hint="eastAsia" w:ascii="宋体" w:hAnsi="宋体" w:cs="宋体"/>
                <w:kern w:val="0"/>
                <w:szCs w:val="21"/>
                <w:lang w:bidi="ar"/>
              </w:rPr>
              <w:t>产前筛查机构</w:t>
            </w:r>
          </w:p>
        </w:tc>
        <w:tc>
          <w:tcPr>
            <w:tcW w:w="88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76559B4E">
            <w:pPr>
              <w:widowControl/>
              <w:snapToGrid w:val="0"/>
              <w:spacing w:line="240" w:lineRule="exact"/>
              <w:ind w:left="165"/>
              <w:jc w:val="center"/>
              <w:textAlignment w:val="center"/>
              <w:rPr>
                <w:szCs w:val="21"/>
              </w:rPr>
            </w:pPr>
            <w:r>
              <w:rPr>
                <w:kern w:val="0"/>
                <w:szCs w:val="21"/>
                <w:lang w:bidi="ar"/>
              </w:rPr>
              <w:t>177</w:t>
            </w:r>
          </w:p>
        </w:tc>
        <w:tc>
          <w:tcPr>
            <w:tcW w:w="124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3068A67F">
            <w:pPr>
              <w:widowControl/>
              <w:snapToGrid w:val="0"/>
              <w:spacing w:line="240" w:lineRule="exact"/>
              <w:ind w:left="165"/>
              <w:jc w:val="center"/>
              <w:textAlignment w:val="center"/>
              <w:rPr>
                <w:szCs w:val="21"/>
              </w:rPr>
            </w:pPr>
            <w:r>
              <w:rPr>
                <w:kern w:val="0"/>
                <w:szCs w:val="21"/>
                <w:lang w:bidi="ar"/>
              </w:rPr>
              <w:t xml:space="preserve">159.3 </w:t>
            </w:r>
          </w:p>
        </w:tc>
        <w:tc>
          <w:tcPr>
            <w:tcW w:w="84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F4C5321">
            <w:pPr>
              <w:widowControl/>
              <w:snapToGrid w:val="0"/>
              <w:spacing w:line="240" w:lineRule="exact"/>
              <w:ind w:left="165"/>
              <w:jc w:val="center"/>
              <w:textAlignment w:val="center"/>
              <w:rPr>
                <w:szCs w:val="21"/>
              </w:rPr>
            </w:pPr>
            <w:r>
              <w:rPr>
                <w:kern w:val="0"/>
                <w:szCs w:val="21"/>
                <w:lang w:bidi="ar"/>
              </w:rPr>
              <w:t>100%</w:t>
            </w:r>
          </w:p>
        </w:tc>
        <w:tc>
          <w:tcPr>
            <w:tcW w:w="8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72E16061">
            <w:pPr>
              <w:widowControl/>
              <w:snapToGrid w:val="0"/>
              <w:spacing w:line="240" w:lineRule="exact"/>
              <w:ind w:left="165"/>
              <w:jc w:val="center"/>
              <w:textAlignment w:val="center"/>
              <w:rPr>
                <w:szCs w:val="21"/>
              </w:rPr>
            </w:pPr>
            <w:r>
              <w:rPr>
                <w:kern w:val="0"/>
                <w:szCs w:val="21"/>
                <w:lang w:bidi="ar"/>
              </w:rPr>
              <w:t>60%</w:t>
            </w:r>
          </w:p>
        </w:tc>
        <w:tc>
          <w:tcPr>
            <w:tcW w:w="11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6D33B9B6">
            <w:pPr>
              <w:widowControl/>
              <w:snapToGrid w:val="0"/>
              <w:spacing w:line="240" w:lineRule="exact"/>
              <w:ind w:left="165"/>
              <w:jc w:val="center"/>
              <w:textAlignment w:val="center"/>
              <w:rPr>
                <w:szCs w:val="21"/>
              </w:rPr>
            </w:pPr>
            <w:r>
              <w:rPr>
                <w:kern w:val="0"/>
                <w:szCs w:val="21"/>
                <w:lang w:bidi="ar"/>
              </w:rPr>
              <w:t>159</w:t>
            </w:r>
          </w:p>
        </w:tc>
        <w:tc>
          <w:tcPr>
            <w:tcW w:w="157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3C99ACCA">
            <w:pPr>
              <w:widowControl/>
              <w:snapToGrid w:val="0"/>
              <w:spacing w:line="240" w:lineRule="exact"/>
              <w:ind w:left="165"/>
              <w:jc w:val="center"/>
              <w:textAlignment w:val="center"/>
              <w:rPr>
                <w:szCs w:val="21"/>
              </w:rPr>
            </w:pPr>
            <w:r>
              <w:rPr>
                <w:kern w:val="0"/>
                <w:szCs w:val="21"/>
                <w:lang w:bidi="ar"/>
              </w:rPr>
              <w:t>96</w:t>
            </w:r>
          </w:p>
        </w:tc>
        <w:tc>
          <w:tcPr>
            <w:tcW w:w="2058"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6E039ACE">
            <w:pPr>
              <w:widowControl/>
              <w:snapToGrid w:val="0"/>
              <w:spacing w:line="240" w:lineRule="exact"/>
              <w:ind w:left="165"/>
              <w:jc w:val="center"/>
              <w:textAlignment w:val="center"/>
              <w:rPr>
                <w:szCs w:val="21"/>
              </w:rPr>
            </w:pPr>
            <w:r>
              <w:rPr>
                <w:kern w:val="0"/>
                <w:szCs w:val="21"/>
                <w:lang w:bidi="ar"/>
              </w:rPr>
              <w:t>63</w:t>
            </w:r>
          </w:p>
        </w:tc>
      </w:tr>
      <w:tr w14:paraId="668B8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51" w:type="dxa"/>
            <w:vMerge w:val="continue"/>
            <w:tcBorders>
              <w:top w:val="nil"/>
              <w:left w:val="single" w:color="000000" w:sz="4" w:space="0"/>
              <w:bottom w:val="single" w:color="000000" w:sz="4" w:space="0"/>
              <w:right w:val="single" w:color="000000" w:sz="4" w:space="0"/>
            </w:tcBorders>
            <w:tcMar>
              <w:top w:w="10" w:type="dxa"/>
              <w:left w:w="10" w:type="dxa"/>
              <w:right w:w="10" w:type="dxa"/>
            </w:tcMar>
            <w:vAlign w:val="center"/>
          </w:tcPr>
          <w:p w14:paraId="25033D9B">
            <w:pPr>
              <w:rPr>
                <w:sz w:val="20"/>
                <w:szCs w:val="20"/>
              </w:rPr>
            </w:pPr>
          </w:p>
        </w:tc>
        <w:tc>
          <w:tcPr>
            <w:tcW w:w="992" w:type="dxa"/>
            <w:vMerge w:val="continue"/>
            <w:tcBorders>
              <w:top w:val="nil"/>
              <w:left w:val="nil"/>
              <w:bottom w:val="single" w:color="auto" w:sz="4" w:space="0"/>
              <w:right w:val="single" w:color="000000" w:sz="4" w:space="0"/>
            </w:tcBorders>
            <w:tcMar>
              <w:top w:w="10" w:type="dxa"/>
              <w:left w:w="10" w:type="dxa"/>
              <w:right w:w="10" w:type="dxa"/>
            </w:tcMar>
            <w:vAlign w:val="center"/>
          </w:tcPr>
          <w:p w14:paraId="3435C3E7">
            <w:pPr>
              <w:rPr>
                <w:sz w:val="20"/>
                <w:szCs w:val="20"/>
              </w:rPr>
            </w:pPr>
          </w:p>
        </w:tc>
        <w:tc>
          <w:tcPr>
            <w:tcW w:w="141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DABB380">
            <w:pPr>
              <w:widowControl/>
              <w:snapToGrid w:val="0"/>
              <w:spacing w:line="240" w:lineRule="exact"/>
              <w:ind w:left="165"/>
              <w:jc w:val="center"/>
              <w:textAlignment w:val="center"/>
              <w:rPr>
                <w:kern w:val="0"/>
                <w:szCs w:val="21"/>
              </w:rPr>
            </w:pPr>
            <w:r>
              <w:rPr>
                <w:kern w:val="0"/>
                <w:szCs w:val="21"/>
                <w:lang w:bidi="ar"/>
              </w:rPr>
              <w:t xml:space="preserve">II </w:t>
            </w:r>
            <w:r>
              <w:rPr>
                <w:rFonts w:hint="eastAsia" w:ascii="宋体" w:hAnsi="宋体" w:cs="宋体"/>
                <w:kern w:val="0"/>
                <w:szCs w:val="21"/>
                <w:lang w:bidi="ar"/>
              </w:rPr>
              <w:t>级产前超声检查</w:t>
            </w:r>
          </w:p>
        </w:tc>
        <w:tc>
          <w:tcPr>
            <w:tcW w:w="292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523D07FF">
            <w:pPr>
              <w:widowControl/>
              <w:snapToGrid w:val="0"/>
              <w:spacing w:line="240" w:lineRule="exact"/>
              <w:ind w:left="165"/>
              <w:jc w:val="center"/>
              <w:textAlignment w:val="center"/>
              <w:rPr>
                <w:kern w:val="0"/>
                <w:szCs w:val="21"/>
              </w:rPr>
            </w:pPr>
            <w:r>
              <w:rPr>
                <w:rFonts w:hint="eastAsia" w:ascii="宋体" w:hAnsi="宋体" w:cs="宋体"/>
                <w:kern w:val="0"/>
                <w:szCs w:val="21"/>
                <w:lang w:bidi="ar"/>
              </w:rPr>
              <w:t>所有孕妇</w:t>
            </w:r>
          </w:p>
        </w:tc>
        <w:tc>
          <w:tcPr>
            <w:tcW w:w="945" w:type="dxa"/>
            <w:vMerge w:val="continue"/>
            <w:tcBorders>
              <w:top w:val="nil"/>
              <w:left w:val="nil"/>
              <w:bottom w:val="single" w:color="000000" w:sz="4" w:space="0"/>
              <w:right w:val="single" w:color="000000" w:sz="4" w:space="0"/>
            </w:tcBorders>
            <w:tcMar>
              <w:top w:w="10" w:type="dxa"/>
              <w:left w:w="10" w:type="dxa"/>
              <w:right w:w="10" w:type="dxa"/>
            </w:tcMar>
            <w:vAlign w:val="center"/>
          </w:tcPr>
          <w:p w14:paraId="74993DDE">
            <w:pPr>
              <w:rPr>
                <w:sz w:val="20"/>
                <w:szCs w:val="20"/>
              </w:rPr>
            </w:pPr>
          </w:p>
        </w:tc>
        <w:tc>
          <w:tcPr>
            <w:tcW w:w="88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58EC7FAD">
            <w:pPr>
              <w:widowControl/>
              <w:snapToGrid w:val="0"/>
              <w:spacing w:line="240" w:lineRule="exact"/>
              <w:ind w:left="165"/>
              <w:jc w:val="center"/>
              <w:textAlignment w:val="center"/>
              <w:rPr>
                <w:szCs w:val="21"/>
              </w:rPr>
            </w:pPr>
            <w:r>
              <w:rPr>
                <w:kern w:val="0"/>
                <w:szCs w:val="21"/>
                <w:lang w:bidi="ar"/>
              </w:rPr>
              <w:t>177</w:t>
            </w:r>
          </w:p>
        </w:tc>
        <w:tc>
          <w:tcPr>
            <w:tcW w:w="124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3A52AE2">
            <w:pPr>
              <w:widowControl/>
              <w:snapToGrid w:val="0"/>
              <w:spacing w:line="240" w:lineRule="exact"/>
              <w:ind w:left="165"/>
              <w:jc w:val="center"/>
              <w:textAlignment w:val="center"/>
              <w:rPr>
                <w:szCs w:val="21"/>
              </w:rPr>
            </w:pPr>
            <w:r>
              <w:rPr>
                <w:kern w:val="0"/>
                <w:szCs w:val="21"/>
                <w:lang w:bidi="ar"/>
              </w:rPr>
              <w:t xml:space="preserve">159.3 </w:t>
            </w:r>
          </w:p>
        </w:tc>
        <w:tc>
          <w:tcPr>
            <w:tcW w:w="84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05A3257">
            <w:pPr>
              <w:widowControl/>
              <w:snapToGrid w:val="0"/>
              <w:spacing w:line="240" w:lineRule="exact"/>
              <w:ind w:left="165"/>
              <w:jc w:val="center"/>
              <w:textAlignment w:val="center"/>
              <w:rPr>
                <w:szCs w:val="21"/>
              </w:rPr>
            </w:pPr>
            <w:r>
              <w:rPr>
                <w:kern w:val="0"/>
                <w:szCs w:val="21"/>
                <w:lang w:bidi="ar"/>
              </w:rPr>
              <w:t>100%</w:t>
            </w:r>
          </w:p>
        </w:tc>
        <w:tc>
          <w:tcPr>
            <w:tcW w:w="8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3FD1967E">
            <w:pPr>
              <w:widowControl/>
              <w:snapToGrid w:val="0"/>
              <w:spacing w:line="240" w:lineRule="exact"/>
              <w:ind w:left="165"/>
              <w:jc w:val="center"/>
              <w:textAlignment w:val="center"/>
              <w:rPr>
                <w:szCs w:val="21"/>
              </w:rPr>
            </w:pPr>
            <w:r>
              <w:rPr>
                <w:kern w:val="0"/>
                <w:szCs w:val="21"/>
                <w:lang w:bidi="ar"/>
              </w:rPr>
              <w:t>60%</w:t>
            </w:r>
          </w:p>
        </w:tc>
        <w:tc>
          <w:tcPr>
            <w:tcW w:w="11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6B1A056">
            <w:pPr>
              <w:widowControl/>
              <w:snapToGrid w:val="0"/>
              <w:spacing w:line="240" w:lineRule="exact"/>
              <w:ind w:left="165"/>
              <w:jc w:val="center"/>
              <w:textAlignment w:val="center"/>
              <w:rPr>
                <w:szCs w:val="21"/>
              </w:rPr>
            </w:pPr>
            <w:r>
              <w:rPr>
                <w:kern w:val="0"/>
                <w:szCs w:val="21"/>
                <w:lang w:bidi="ar"/>
              </w:rPr>
              <w:t>159</w:t>
            </w:r>
          </w:p>
        </w:tc>
        <w:tc>
          <w:tcPr>
            <w:tcW w:w="157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A8B5191">
            <w:pPr>
              <w:widowControl/>
              <w:snapToGrid w:val="0"/>
              <w:spacing w:line="240" w:lineRule="exact"/>
              <w:ind w:left="165"/>
              <w:jc w:val="center"/>
              <w:textAlignment w:val="center"/>
              <w:rPr>
                <w:szCs w:val="21"/>
              </w:rPr>
            </w:pPr>
            <w:r>
              <w:rPr>
                <w:kern w:val="0"/>
                <w:szCs w:val="21"/>
                <w:lang w:bidi="ar"/>
              </w:rPr>
              <w:t>96</w:t>
            </w:r>
          </w:p>
        </w:tc>
        <w:tc>
          <w:tcPr>
            <w:tcW w:w="2058"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01613A4">
            <w:pPr>
              <w:widowControl/>
              <w:snapToGrid w:val="0"/>
              <w:spacing w:line="240" w:lineRule="exact"/>
              <w:ind w:left="165"/>
              <w:jc w:val="center"/>
              <w:textAlignment w:val="center"/>
              <w:rPr>
                <w:szCs w:val="21"/>
              </w:rPr>
            </w:pPr>
            <w:r>
              <w:rPr>
                <w:kern w:val="0"/>
                <w:szCs w:val="21"/>
                <w:lang w:bidi="ar"/>
              </w:rPr>
              <w:t>63</w:t>
            </w:r>
          </w:p>
        </w:tc>
      </w:tr>
      <w:tr w14:paraId="4DE9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430" w:type="dxa"/>
            <w:gridSpan w:val="5"/>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EAC038B">
            <w:pPr>
              <w:widowControl/>
              <w:snapToGrid w:val="0"/>
              <w:spacing w:line="240" w:lineRule="exact"/>
              <w:ind w:left="165"/>
              <w:jc w:val="center"/>
              <w:textAlignment w:val="center"/>
              <w:rPr>
                <w:szCs w:val="21"/>
              </w:rPr>
            </w:pPr>
            <w:r>
              <w:rPr>
                <w:rFonts w:hint="eastAsia" w:ascii="宋体" w:hAnsi="宋体" w:cs="宋体"/>
                <w:b/>
                <w:kern w:val="0"/>
                <w:szCs w:val="21"/>
                <w:lang w:bidi="ar"/>
              </w:rPr>
              <w:t>（二）产前诊断（其中，基因诊断按照</w:t>
            </w:r>
            <w:r>
              <w:rPr>
                <w:b/>
                <w:kern w:val="0"/>
                <w:szCs w:val="21"/>
                <w:lang w:bidi="ar"/>
              </w:rPr>
              <w:t>1850</w:t>
            </w:r>
            <w:r>
              <w:rPr>
                <w:rFonts w:hint="eastAsia" w:ascii="宋体" w:hAnsi="宋体" w:cs="宋体"/>
                <w:b/>
                <w:kern w:val="0"/>
                <w:szCs w:val="21"/>
                <w:lang w:bidi="ar"/>
              </w:rPr>
              <w:t>元</w:t>
            </w:r>
            <w:r>
              <w:rPr>
                <w:b/>
                <w:kern w:val="0"/>
                <w:szCs w:val="21"/>
                <w:lang w:bidi="ar"/>
              </w:rPr>
              <w:t>/</w:t>
            </w:r>
            <w:r>
              <w:rPr>
                <w:rFonts w:hint="eastAsia" w:ascii="宋体" w:hAnsi="宋体" w:cs="宋体"/>
                <w:b/>
                <w:kern w:val="0"/>
                <w:szCs w:val="21"/>
                <w:lang w:bidi="ar"/>
              </w:rPr>
              <w:t>胎定额补助）</w:t>
            </w:r>
          </w:p>
        </w:tc>
        <w:tc>
          <w:tcPr>
            <w:tcW w:w="88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BDF87C7">
            <w:pPr>
              <w:widowControl/>
              <w:snapToGrid w:val="0"/>
              <w:spacing w:line="240" w:lineRule="exact"/>
              <w:ind w:left="165"/>
              <w:rPr>
                <w:szCs w:val="21"/>
              </w:rPr>
            </w:pPr>
          </w:p>
        </w:tc>
        <w:tc>
          <w:tcPr>
            <w:tcW w:w="124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1CE0279">
            <w:pPr>
              <w:widowControl/>
              <w:snapToGrid w:val="0"/>
              <w:spacing w:line="240" w:lineRule="exact"/>
              <w:ind w:left="165"/>
              <w:rPr>
                <w:szCs w:val="21"/>
              </w:rPr>
            </w:pPr>
          </w:p>
        </w:tc>
        <w:tc>
          <w:tcPr>
            <w:tcW w:w="84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31AF6A01">
            <w:pPr>
              <w:widowControl/>
              <w:snapToGrid w:val="0"/>
              <w:spacing w:line="240" w:lineRule="exact"/>
              <w:ind w:left="165"/>
              <w:jc w:val="center"/>
              <w:rPr>
                <w:szCs w:val="21"/>
              </w:rPr>
            </w:pPr>
          </w:p>
        </w:tc>
        <w:tc>
          <w:tcPr>
            <w:tcW w:w="870" w:type="dxa"/>
            <w:tcBorders>
              <w:top w:val="nil"/>
              <w:left w:val="nil"/>
              <w:bottom w:val="nil"/>
              <w:right w:val="nil"/>
            </w:tcBorders>
            <w:tcMar>
              <w:top w:w="10" w:type="dxa"/>
              <w:left w:w="10" w:type="dxa"/>
              <w:right w:w="10" w:type="dxa"/>
            </w:tcMar>
            <w:vAlign w:val="center"/>
          </w:tcPr>
          <w:p w14:paraId="72D09743">
            <w:pPr>
              <w:widowControl/>
              <w:snapToGrid w:val="0"/>
              <w:spacing w:line="240" w:lineRule="exact"/>
              <w:ind w:left="165"/>
              <w:jc w:val="center"/>
              <w:rPr>
                <w:szCs w:val="21"/>
              </w:rPr>
            </w:pPr>
          </w:p>
        </w:tc>
        <w:tc>
          <w:tcPr>
            <w:tcW w:w="117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24FA650">
            <w:pPr>
              <w:widowControl/>
              <w:snapToGrid w:val="0"/>
              <w:spacing w:line="240" w:lineRule="exact"/>
              <w:ind w:left="165"/>
              <w:jc w:val="center"/>
              <w:textAlignment w:val="center"/>
              <w:rPr>
                <w:b/>
                <w:szCs w:val="21"/>
              </w:rPr>
            </w:pPr>
            <w:r>
              <w:rPr>
                <w:b/>
                <w:kern w:val="0"/>
                <w:szCs w:val="21"/>
                <w:lang w:bidi="ar"/>
              </w:rPr>
              <w:t>78</w:t>
            </w:r>
          </w:p>
        </w:tc>
        <w:tc>
          <w:tcPr>
            <w:tcW w:w="157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50D5A818">
            <w:pPr>
              <w:widowControl/>
              <w:snapToGrid w:val="0"/>
              <w:spacing w:line="240" w:lineRule="exact"/>
              <w:ind w:left="165"/>
              <w:jc w:val="center"/>
              <w:textAlignment w:val="center"/>
              <w:rPr>
                <w:b/>
                <w:szCs w:val="21"/>
              </w:rPr>
            </w:pPr>
            <w:r>
              <w:rPr>
                <w:b/>
                <w:kern w:val="0"/>
                <w:szCs w:val="21"/>
                <w:lang w:bidi="ar"/>
              </w:rPr>
              <w:t>44</w:t>
            </w:r>
          </w:p>
        </w:tc>
        <w:tc>
          <w:tcPr>
            <w:tcW w:w="2058"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2F931F3">
            <w:pPr>
              <w:widowControl/>
              <w:snapToGrid w:val="0"/>
              <w:spacing w:line="240" w:lineRule="exact"/>
              <w:ind w:left="165"/>
              <w:jc w:val="center"/>
              <w:textAlignment w:val="center"/>
              <w:rPr>
                <w:b/>
                <w:szCs w:val="21"/>
              </w:rPr>
            </w:pPr>
            <w:r>
              <w:rPr>
                <w:b/>
                <w:kern w:val="0"/>
                <w:szCs w:val="21"/>
                <w:lang w:bidi="ar"/>
              </w:rPr>
              <w:t>34</w:t>
            </w:r>
          </w:p>
        </w:tc>
      </w:tr>
      <w:tr w14:paraId="268B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5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C55B2F">
            <w:pPr>
              <w:widowControl/>
              <w:snapToGrid w:val="0"/>
              <w:spacing w:line="240" w:lineRule="exact"/>
              <w:ind w:left="165"/>
              <w:jc w:val="left"/>
              <w:textAlignment w:val="center"/>
              <w:rPr>
                <w:szCs w:val="21"/>
              </w:rPr>
            </w:pPr>
            <w:r>
              <w:rPr>
                <w:kern w:val="0"/>
                <w:szCs w:val="21"/>
                <w:lang w:bidi="ar"/>
              </w:rPr>
              <w:t>1</w:t>
            </w:r>
            <w:r>
              <w:rPr>
                <w:rFonts w:hint="eastAsia" w:ascii="宋体" w:hAnsi="宋体" w:cs="宋体"/>
                <w:kern w:val="0"/>
                <w:szCs w:val="21"/>
                <w:lang w:bidi="ar"/>
              </w:rPr>
              <w:t>、地中海贫血</w:t>
            </w:r>
          </w:p>
        </w:tc>
        <w:tc>
          <w:tcPr>
            <w:tcW w:w="992"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808CB46">
            <w:pPr>
              <w:widowControl/>
              <w:snapToGrid w:val="0"/>
              <w:spacing w:line="240" w:lineRule="exact"/>
              <w:ind w:left="165"/>
              <w:textAlignment w:val="center"/>
              <w:rPr>
                <w:szCs w:val="21"/>
              </w:rPr>
            </w:pPr>
            <w:r>
              <w:rPr>
                <w:rFonts w:hint="eastAsia" w:ascii="宋体" w:hAnsi="宋体" w:cs="宋体"/>
                <w:kern w:val="0"/>
                <w:szCs w:val="21"/>
                <w:lang w:bidi="ar"/>
              </w:rPr>
              <w:t>基因诊断</w:t>
            </w:r>
          </w:p>
        </w:tc>
        <w:tc>
          <w:tcPr>
            <w:tcW w:w="141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604DCDE4">
            <w:pPr>
              <w:widowControl/>
              <w:snapToGrid w:val="0"/>
              <w:spacing w:line="240" w:lineRule="exact"/>
              <w:ind w:left="165"/>
              <w:jc w:val="center"/>
              <w:textAlignment w:val="center"/>
              <w:rPr>
                <w:kern w:val="0"/>
                <w:szCs w:val="21"/>
              </w:rPr>
            </w:pPr>
            <w:r>
              <w:rPr>
                <w:rFonts w:hint="eastAsia" w:ascii="宋体" w:hAnsi="宋体" w:cs="宋体"/>
                <w:kern w:val="0"/>
                <w:szCs w:val="21"/>
                <w:lang w:bidi="ar"/>
              </w:rPr>
              <w:t>绒毛</w:t>
            </w:r>
            <w:r>
              <w:rPr>
                <w:kern w:val="0"/>
                <w:szCs w:val="21"/>
                <w:lang w:bidi="ar"/>
              </w:rPr>
              <w:t>/</w:t>
            </w:r>
            <w:r>
              <w:rPr>
                <w:rFonts w:hint="eastAsia" w:ascii="宋体" w:hAnsi="宋体" w:cs="宋体"/>
                <w:kern w:val="0"/>
                <w:szCs w:val="21"/>
                <w:lang w:bidi="ar"/>
              </w:rPr>
              <w:t>羊水</w:t>
            </w:r>
            <w:r>
              <w:rPr>
                <w:kern w:val="0"/>
                <w:szCs w:val="21"/>
                <w:lang w:bidi="ar"/>
              </w:rPr>
              <w:t>/</w:t>
            </w:r>
            <w:r>
              <w:rPr>
                <w:rFonts w:hint="eastAsia" w:ascii="宋体" w:hAnsi="宋体" w:cs="宋体"/>
                <w:kern w:val="0"/>
                <w:szCs w:val="21"/>
                <w:lang w:bidi="ar"/>
              </w:rPr>
              <w:t>脐血地贫产前诊断</w:t>
            </w:r>
          </w:p>
        </w:tc>
        <w:tc>
          <w:tcPr>
            <w:tcW w:w="292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555D2A2">
            <w:pPr>
              <w:widowControl/>
              <w:snapToGrid w:val="0"/>
              <w:spacing w:line="240" w:lineRule="exact"/>
              <w:ind w:left="165"/>
              <w:jc w:val="center"/>
              <w:textAlignment w:val="center"/>
              <w:rPr>
                <w:kern w:val="0"/>
                <w:szCs w:val="21"/>
              </w:rPr>
            </w:pPr>
            <w:r>
              <w:rPr>
                <w:rFonts w:hint="eastAsia" w:ascii="宋体" w:hAnsi="宋体" w:cs="宋体"/>
                <w:kern w:val="0"/>
                <w:szCs w:val="21"/>
                <w:lang w:bidi="ar"/>
              </w:rPr>
              <w:t>夫妇双方携带同型</w:t>
            </w:r>
            <w:r>
              <w:rPr>
                <w:kern w:val="0"/>
                <w:szCs w:val="21"/>
                <w:lang w:bidi="ar"/>
              </w:rPr>
              <w:t>α</w:t>
            </w:r>
            <w:r>
              <w:rPr>
                <w:rFonts w:hint="eastAsia" w:ascii="宋体" w:hAnsi="宋体" w:cs="宋体"/>
                <w:kern w:val="0"/>
                <w:szCs w:val="21"/>
                <w:lang w:bidi="ar"/>
              </w:rPr>
              <w:t>或</w:t>
            </w:r>
            <w:r>
              <w:rPr>
                <w:kern w:val="0"/>
                <w:szCs w:val="21"/>
                <w:lang w:bidi="ar"/>
              </w:rPr>
              <w:t>β</w:t>
            </w:r>
            <w:r>
              <w:rPr>
                <w:rFonts w:hint="eastAsia" w:ascii="宋体" w:hAnsi="宋体" w:cs="宋体"/>
                <w:kern w:val="0"/>
                <w:szCs w:val="21"/>
                <w:lang w:bidi="ar"/>
              </w:rPr>
              <w:t>地贫基因（按初筛人群</w:t>
            </w:r>
            <w:r>
              <w:rPr>
                <w:kern w:val="0"/>
                <w:szCs w:val="21"/>
                <w:lang w:bidi="ar"/>
              </w:rPr>
              <w:t>1%</w:t>
            </w:r>
            <w:r>
              <w:rPr>
                <w:rFonts w:hint="eastAsia" w:ascii="宋体" w:hAnsi="宋体" w:cs="宋体"/>
                <w:kern w:val="0"/>
                <w:szCs w:val="21"/>
                <w:lang w:bidi="ar"/>
              </w:rPr>
              <w:t>计算）。</w:t>
            </w:r>
          </w:p>
        </w:tc>
        <w:tc>
          <w:tcPr>
            <w:tcW w:w="945" w:type="dxa"/>
            <w:vMerge w:val="restart"/>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9C2EE97">
            <w:pPr>
              <w:widowControl/>
              <w:snapToGrid w:val="0"/>
              <w:spacing w:line="240" w:lineRule="exact"/>
              <w:ind w:left="165"/>
              <w:jc w:val="center"/>
              <w:textAlignment w:val="center"/>
              <w:rPr>
                <w:szCs w:val="21"/>
              </w:rPr>
            </w:pPr>
            <w:r>
              <w:rPr>
                <w:rFonts w:hint="eastAsia" w:ascii="宋体" w:hAnsi="宋体" w:cs="宋体"/>
                <w:kern w:val="0"/>
                <w:szCs w:val="21"/>
                <w:lang w:bidi="ar"/>
              </w:rPr>
              <w:t>产前诊断机构</w:t>
            </w:r>
          </w:p>
        </w:tc>
        <w:tc>
          <w:tcPr>
            <w:tcW w:w="88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F994B46">
            <w:pPr>
              <w:widowControl/>
              <w:snapToGrid w:val="0"/>
              <w:spacing w:line="240" w:lineRule="exact"/>
              <w:ind w:left="165"/>
              <w:jc w:val="center"/>
              <w:textAlignment w:val="center"/>
              <w:rPr>
                <w:szCs w:val="21"/>
              </w:rPr>
            </w:pPr>
            <w:r>
              <w:rPr>
                <w:kern w:val="0"/>
                <w:szCs w:val="21"/>
                <w:lang w:bidi="ar"/>
              </w:rPr>
              <w:t>1967</w:t>
            </w:r>
          </w:p>
        </w:tc>
        <w:tc>
          <w:tcPr>
            <w:tcW w:w="124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CB0CEE6">
            <w:pPr>
              <w:widowControl/>
              <w:snapToGrid w:val="0"/>
              <w:spacing w:line="240" w:lineRule="exact"/>
              <w:ind w:left="165"/>
              <w:jc w:val="center"/>
              <w:textAlignment w:val="center"/>
              <w:rPr>
                <w:szCs w:val="21"/>
              </w:rPr>
            </w:pPr>
            <w:r>
              <w:rPr>
                <w:kern w:val="0"/>
                <w:szCs w:val="21"/>
                <w:lang w:bidi="ar"/>
              </w:rPr>
              <w:t>1850</w:t>
            </w:r>
          </w:p>
        </w:tc>
        <w:tc>
          <w:tcPr>
            <w:tcW w:w="84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6158D4EE">
            <w:pPr>
              <w:widowControl/>
              <w:snapToGrid w:val="0"/>
              <w:spacing w:line="240" w:lineRule="exact"/>
              <w:ind w:left="165"/>
              <w:jc w:val="center"/>
              <w:textAlignment w:val="center"/>
              <w:rPr>
                <w:szCs w:val="21"/>
              </w:rPr>
            </w:pPr>
            <w:r>
              <w:rPr>
                <w:kern w:val="0"/>
                <w:szCs w:val="21"/>
                <w:lang w:bidi="ar"/>
              </w:rPr>
              <w:t>1.0%</w:t>
            </w:r>
          </w:p>
        </w:tc>
        <w:tc>
          <w:tcPr>
            <w:tcW w:w="8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62D60132">
            <w:pPr>
              <w:widowControl/>
              <w:snapToGrid w:val="0"/>
              <w:spacing w:line="240" w:lineRule="exact"/>
              <w:ind w:left="165"/>
              <w:jc w:val="center"/>
              <w:textAlignment w:val="center"/>
              <w:rPr>
                <w:szCs w:val="21"/>
              </w:rPr>
            </w:pPr>
            <w:r>
              <w:rPr>
                <w:kern w:val="0"/>
                <w:szCs w:val="21"/>
                <w:lang w:bidi="ar"/>
              </w:rPr>
              <w:t>60%</w:t>
            </w:r>
          </w:p>
        </w:tc>
        <w:tc>
          <w:tcPr>
            <w:tcW w:w="11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C4E890B">
            <w:pPr>
              <w:widowControl/>
              <w:snapToGrid w:val="0"/>
              <w:spacing w:line="240" w:lineRule="exact"/>
              <w:ind w:left="165"/>
              <w:jc w:val="center"/>
              <w:textAlignment w:val="center"/>
              <w:rPr>
                <w:szCs w:val="21"/>
              </w:rPr>
            </w:pPr>
            <w:r>
              <w:rPr>
                <w:kern w:val="0"/>
                <w:szCs w:val="21"/>
                <w:lang w:bidi="ar"/>
              </w:rPr>
              <w:t>19</w:t>
            </w:r>
          </w:p>
        </w:tc>
        <w:tc>
          <w:tcPr>
            <w:tcW w:w="157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20D24D9">
            <w:pPr>
              <w:widowControl/>
              <w:snapToGrid w:val="0"/>
              <w:spacing w:line="240" w:lineRule="exact"/>
              <w:ind w:left="165"/>
              <w:jc w:val="center"/>
              <w:textAlignment w:val="center"/>
              <w:rPr>
                <w:szCs w:val="21"/>
              </w:rPr>
            </w:pPr>
            <w:r>
              <w:rPr>
                <w:kern w:val="0"/>
                <w:szCs w:val="21"/>
                <w:lang w:bidi="ar"/>
              </w:rPr>
              <w:t>11</w:t>
            </w:r>
          </w:p>
        </w:tc>
        <w:tc>
          <w:tcPr>
            <w:tcW w:w="2058"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648FF4BD">
            <w:pPr>
              <w:widowControl/>
              <w:snapToGrid w:val="0"/>
              <w:spacing w:line="240" w:lineRule="exact"/>
              <w:ind w:left="165"/>
              <w:jc w:val="center"/>
              <w:textAlignment w:val="center"/>
              <w:rPr>
                <w:szCs w:val="21"/>
              </w:rPr>
            </w:pPr>
            <w:r>
              <w:rPr>
                <w:kern w:val="0"/>
                <w:szCs w:val="21"/>
                <w:lang w:bidi="ar"/>
              </w:rPr>
              <w:t>8</w:t>
            </w:r>
          </w:p>
        </w:tc>
      </w:tr>
      <w:tr w14:paraId="41EC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3" w:hRule="atLeast"/>
          <w:jc w:val="center"/>
        </w:trPr>
        <w:tc>
          <w:tcPr>
            <w:tcW w:w="115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8BE9F31">
            <w:pPr>
              <w:widowControl/>
              <w:snapToGrid w:val="0"/>
              <w:spacing w:line="240" w:lineRule="exact"/>
              <w:ind w:left="165"/>
              <w:jc w:val="left"/>
              <w:textAlignment w:val="center"/>
              <w:rPr>
                <w:szCs w:val="21"/>
              </w:rPr>
            </w:pPr>
            <w:r>
              <w:rPr>
                <w:kern w:val="0"/>
                <w:szCs w:val="21"/>
                <w:lang w:bidi="ar"/>
              </w:rPr>
              <w:t>2</w:t>
            </w:r>
            <w:r>
              <w:rPr>
                <w:rFonts w:hint="eastAsia" w:ascii="宋体" w:hAnsi="宋体" w:cs="宋体"/>
                <w:kern w:val="0"/>
                <w:szCs w:val="21"/>
                <w:lang w:bidi="ar"/>
              </w:rPr>
              <w:t>、其他严重致死致残单基因疾病（新增）</w:t>
            </w:r>
          </w:p>
        </w:tc>
        <w:tc>
          <w:tcPr>
            <w:tcW w:w="992"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4FCD46D">
            <w:pPr>
              <w:widowControl/>
              <w:snapToGrid w:val="0"/>
              <w:spacing w:line="240" w:lineRule="exact"/>
              <w:ind w:left="165"/>
              <w:jc w:val="center"/>
              <w:textAlignment w:val="center"/>
              <w:rPr>
                <w:szCs w:val="21"/>
              </w:rPr>
            </w:pPr>
            <w:r>
              <w:rPr>
                <w:rFonts w:hint="eastAsia" w:ascii="宋体" w:hAnsi="宋体" w:cs="宋体"/>
                <w:kern w:val="0"/>
                <w:szCs w:val="21"/>
                <w:lang w:bidi="ar"/>
              </w:rPr>
              <w:t>基因诊断</w:t>
            </w:r>
          </w:p>
        </w:tc>
        <w:tc>
          <w:tcPr>
            <w:tcW w:w="141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D3C83D3">
            <w:pPr>
              <w:widowControl/>
              <w:snapToGrid w:val="0"/>
              <w:spacing w:line="240" w:lineRule="exact"/>
              <w:ind w:left="165"/>
              <w:jc w:val="center"/>
              <w:textAlignment w:val="center"/>
              <w:rPr>
                <w:szCs w:val="21"/>
              </w:rPr>
            </w:pPr>
            <w:r>
              <w:rPr>
                <w:rFonts w:hint="eastAsia" w:ascii="宋体" w:hAnsi="宋体" w:cs="宋体"/>
                <w:kern w:val="0"/>
                <w:szCs w:val="21"/>
                <w:lang w:bidi="ar"/>
              </w:rPr>
              <w:t>绒毛</w:t>
            </w:r>
            <w:r>
              <w:rPr>
                <w:kern w:val="0"/>
                <w:szCs w:val="21"/>
                <w:lang w:bidi="ar"/>
              </w:rPr>
              <w:t>/</w:t>
            </w:r>
            <w:r>
              <w:rPr>
                <w:rFonts w:hint="eastAsia" w:ascii="宋体" w:hAnsi="宋体" w:cs="宋体"/>
                <w:kern w:val="0"/>
                <w:szCs w:val="21"/>
                <w:lang w:bidi="ar"/>
              </w:rPr>
              <w:t>羊水</w:t>
            </w:r>
            <w:r>
              <w:rPr>
                <w:kern w:val="0"/>
                <w:szCs w:val="21"/>
                <w:lang w:bidi="ar"/>
              </w:rPr>
              <w:t>/</w:t>
            </w:r>
            <w:r>
              <w:rPr>
                <w:rFonts w:hint="eastAsia" w:ascii="宋体" w:hAnsi="宋体" w:cs="宋体"/>
                <w:kern w:val="0"/>
                <w:szCs w:val="21"/>
                <w:lang w:bidi="ar"/>
              </w:rPr>
              <w:t>脐血其他严重致死致残单基因疾病的基因诊断（具体方法见干预病种技术规范）</w:t>
            </w:r>
          </w:p>
        </w:tc>
        <w:tc>
          <w:tcPr>
            <w:tcW w:w="292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5AE32ADB">
            <w:pPr>
              <w:widowControl/>
              <w:snapToGrid w:val="0"/>
              <w:spacing w:line="240" w:lineRule="exact"/>
              <w:ind w:left="165"/>
              <w:jc w:val="center"/>
              <w:textAlignment w:val="center"/>
              <w:rPr>
                <w:szCs w:val="21"/>
              </w:rPr>
            </w:pPr>
            <w:r>
              <w:rPr>
                <w:rFonts w:hint="eastAsia" w:ascii="宋体" w:hAnsi="宋体" w:cs="宋体"/>
                <w:kern w:val="0"/>
                <w:szCs w:val="21"/>
                <w:lang w:bidi="ar"/>
              </w:rPr>
              <w:t>已生育一胎严重单基因遗传病的夫妇、通过筛查发现夫妇双方携带同一种严重单基因遗传病基因（按初筛人群</w:t>
            </w:r>
            <w:r>
              <w:rPr>
                <w:kern w:val="0"/>
                <w:szCs w:val="21"/>
                <w:lang w:bidi="ar"/>
              </w:rPr>
              <w:t>5‰</w:t>
            </w:r>
            <w:r>
              <w:rPr>
                <w:rFonts w:hint="eastAsia" w:ascii="宋体" w:hAnsi="宋体" w:cs="宋体"/>
                <w:kern w:val="0"/>
                <w:szCs w:val="21"/>
                <w:lang w:bidi="ar"/>
              </w:rPr>
              <w:t>计算）</w:t>
            </w:r>
          </w:p>
        </w:tc>
        <w:tc>
          <w:tcPr>
            <w:tcW w:w="945" w:type="dxa"/>
            <w:vMerge w:val="continue"/>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FC7C0DF">
            <w:pPr>
              <w:rPr>
                <w:sz w:val="20"/>
                <w:szCs w:val="20"/>
              </w:rPr>
            </w:pPr>
          </w:p>
        </w:tc>
        <w:tc>
          <w:tcPr>
            <w:tcW w:w="88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1470921">
            <w:pPr>
              <w:widowControl/>
              <w:snapToGrid w:val="0"/>
              <w:spacing w:line="240" w:lineRule="exact"/>
              <w:ind w:left="165"/>
              <w:jc w:val="center"/>
              <w:textAlignment w:val="center"/>
              <w:rPr>
                <w:szCs w:val="21"/>
              </w:rPr>
            </w:pPr>
            <w:r>
              <w:rPr>
                <w:kern w:val="0"/>
                <w:szCs w:val="21"/>
                <w:lang w:bidi="ar"/>
              </w:rPr>
              <w:t>2070</w:t>
            </w:r>
          </w:p>
        </w:tc>
        <w:tc>
          <w:tcPr>
            <w:tcW w:w="124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440E4C5">
            <w:pPr>
              <w:widowControl/>
              <w:snapToGrid w:val="0"/>
              <w:spacing w:line="240" w:lineRule="exact"/>
              <w:ind w:left="165"/>
              <w:jc w:val="center"/>
              <w:textAlignment w:val="center"/>
              <w:rPr>
                <w:szCs w:val="21"/>
              </w:rPr>
            </w:pPr>
            <w:r>
              <w:rPr>
                <w:kern w:val="0"/>
                <w:szCs w:val="21"/>
                <w:lang w:bidi="ar"/>
              </w:rPr>
              <w:t>1850</w:t>
            </w:r>
          </w:p>
        </w:tc>
        <w:tc>
          <w:tcPr>
            <w:tcW w:w="84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211182C">
            <w:pPr>
              <w:widowControl/>
              <w:snapToGrid w:val="0"/>
              <w:spacing w:line="240" w:lineRule="exact"/>
              <w:ind w:left="165"/>
              <w:jc w:val="center"/>
              <w:textAlignment w:val="center"/>
              <w:rPr>
                <w:szCs w:val="21"/>
              </w:rPr>
            </w:pPr>
            <w:r>
              <w:rPr>
                <w:kern w:val="0"/>
                <w:szCs w:val="21"/>
                <w:lang w:bidi="ar"/>
              </w:rPr>
              <w:t>0.5%</w:t>
            </w:r>
          </w:p>
        </w:tc>
        <w:tc>
          <w:tcPr>
            <w:tcW w:w="8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A56789B">
            <w:pPr>
              <w:widowControl/>
              <w:snapToGrid w:val="0"/>
              <w:spacing w:line="240" w:lineRule="exact"/>
              <w:ind w:left="165"/>
              <w:jc w:val="center"/>
              <w:textAlignment w:val="center"/>
              <w:rPr>
                <w:szCs w:val="21"/>
              </w:rPr>
            </w:pPr>
            <w:r>
              <w:rPr>
                <w:kern w:val="0"/>
                <w:szCs w:val="21"/>
                <w:lang w:bidi="ar"/>
              </w:rPr>
              <w:t>60%</w:t>
            </w:r>
          </w:p>
        </w:tc>
        <w:tc>
          <w:tcPr>
            <w:tcW w:w="11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2061EFA">
            <w:pPr>
              <w:widowControl/>
              <w:snapToGrid w:val="0"/>
              <w:spacing w:line="240" w:lineRule="exact"/>
              <w:ind w:left="165"/>
              <w:jc w:val="center"/>
              <w:textAlignment w:val="center"/>
              <w:rPr>
                <w:szCs w:val="21"/>
              </w:rPr>
            </w:pPr>
            <w:r>
              <w:rPr>
                <w:kern w:val="0"/>
                <w:szCs w:val="21"/>
                <w:lang w:bidi="ar"/>
              </w:rPr>
              <w:t>9</w:t>
            </w:r>
          </w:p>
        </w:tc>
        <w:tc>
          <w:tcPr>
            <w:tcW w:w="157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6B5CDE01">
            <w:pPr>
              <w:widowControl/>
              <w:snapToGrid w:val="0"/>
              <w:spacing w:line="240" w:lineRule="exact"/>
              <w:ind w:left="165"/>
              <w:jc w:val="center"/>
              <w:textAlignment w:val="center"/>
              <w:rPr>
                <w:szCs w:val="21"/>
              </w:rPr>
            </w:pPr>
            <w:r>
              <w:rPr>
                <w:kern w:val="0"/>
                <w:szCs w:val="21"/>
                <w:lang w:bidi="ar"/>
              </w:rPr>
              <w:t>5</w:t>
            </w:r>
          </w:p>
        </w:tc>
        <w:tc>
          <w:tcPr>
            <w:tcW w:w="2058"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6C78BA1">
            <w:pPr>
              <w:widowControl/>
              <w:snapToGrid w:val="0"/>
              <w:spacing w:line="240" w:lineRule="exact"/>
              <w:ind w:left="165"/>
              <w:jc w:val="center"/>
              <w:textAlignment w:val="center"/>
              <w:rPr>
                <w:szCs w:val="21"/>
              </w:rPr>
            </w:pPr>
            <w:r>
              <w:rPr>
                <w:kern w:val="0"/>
                <w:szCs w:val="21"/>
                <w:lang w:bidi="ar"/>
              </w:rPr>
              <w:t>4</w:t>
            </w:r>
          </w:p>
        </w:tc>
      </w:tr>
      <w:tr w14:paraId="6E169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restart"/>
            <w:tcBorders>
              <w:top w:val="nil"/>
              <w:left w:val="single" w:color="000000" w:sz="4" w:space="0"/>
              <w:bottom w:val="single" w:color="000000" w:sz="4" w:space="0"/>
              <w:right w:val="single" w:color="000000" w:sz="4" w:space="0"/>
            </w:tcBorders>
            <w:tcMar>
              <w:top w:w="10" w:type="dxa"/>
              <w:left w:w="10" w:type="dxa"/>
              <w:right w:w="10" w:type="dxa"/>
            </w:tcMar>
            <w:vAlign w:val="center"/>
          </w:tcPr>
          <w:p w14:paraId="5A63B86B">
            <w:pPr>
              <w:widowControl/>
              <w:snapToGrid w:val="0"/>
              <w:spacing w:line="240" w:lineRule="exact"/>
              <w:ind w:left="165"/>
              <w:jc w:val="left"/>
              <w:textAlignment w:val="center"/>
              <w:rPr>
                <w:szCs w:val="21"/>
              </w:rPr>
            </w:pPr>
            <w:r>
              <w:rPr>
                <w:kern w:val="0"/>
                <w:szCs w:val="21"/>
                <w:lang w:bidi="ar"/>
              </w:rPr>
              <w:t>3</w:t>
            </w:r>
            <w:r>
              <w:rPr>
                <w:rFonts w:hint="eastAsia" w:ascii="宋体" w:hAnsi="宋体" w:cs="宋体"/>
                <w:kern w:val="0"/>
                <w:szCs w:val="21"/>
                <w:lang w:bidi="ar"/>
              </w:rPr>
              <w:t>、唐氏综合征及其他致死致残性染色体异常</w:t>
            </w:r>
          </w:p>
        </w:tc>
        <w:tc>
          <w:tcPr>
            <w:tcW w:w="992" w:type="dxa"/>
            <w:vMerge w:val="restart"/>
            <w:tcBorders>
              <w:top w:val="nil"/>
              <w:left w:val="nil"/>
              <w:bottom w:val="single" w:color="auto" w:sz="4" w:space="0"/>
              <w:right w:val="single" w:color="000000" w:sz="4" w:space="0"/>
            </w:tcBorders>
            <w:tcMar>
              <w:top w:w="10" w:type="dxa"/>
              <w:left w:w="10" w:type="dxa"/>
              <w:right w:w="10" w:type="dxa"/>
            </w:tcMar>
            <w:vAlign w:val="center"/>
          </w:tcPr>
          <w:p w14:paraId="7EC1A799">
            <w:pPr>
              <w:widowControl/>
              <w:snapToGrid w:val="0"/>
              <w:spacing w:line="240" w:lineRule="exact"/>
              <w:ind w:left="165"/>
              <w:jc w:val="center"/>
              <w:textAlignment w:val="center"/>
              <w:rPr>
                <w:szCs w:val="21"/>
              </w:rPr>
            </w:pPr>
            <w:r>
              <w:rPr>
                <w:rFonts w:hint="eastAsia" w:ascii="宋体" w:hAnsi="宋体" w:cs="宋体"/>
                <w:kern w:val="0"/>
                <w:szCs w:val="21"/>
                <w:lang w:bidi="ar"/>
              </w:rPr>
              <w:t>诊断</w:t>
            </w:r>
          </w:p>
        </w:tc>
        <w:tc>
          <w:tcPr>
            <w:tcW w:w="141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3A369DE5">
            <w:pPr>
              <w:widowControl/>
              <w:snapToGrid w:val="0"/>
              <w:spacing w:line="240" w:lineRule="exact"/>
              <w:ind w:left="165"/>
              <w:jc w:val="center"/>
              <w:textAlignment w:val="center"/>
              <w:rPr>
                <w:szCs w:val="21"/>
              </w:rPr>
            </w:pPr>
            <w:r>
              <w:rPr>
                <w:rFonts w:hint="eastAsia" w:ascii="宋体" w:hAnsi="宋体" w:cs="宋体"/>
                <w:kern w:val="0"/>
                <w:szCs w:val="21"/>
                <w:lang w:bidi="ar"/>
              </w:rPr>
              <w:t>绒毛</w:t>
            </w:r>
            <w:r>
              <w:rPr>
                <w:kern w:val="0"/>
                <w:szCs w:val="21"/>
                <w:lang w:bidi="ar"/>
              </w:rPr>
              <w:t>/</w:t>
            </w:r>
            <w:r>
              <w:rPr>
                <w:rFonts w:hint="eastAsia" w:ascii="宋体" w:hAnsi="宋体" w:cs="宋体"/>
                <w:kern w:val="0"/>
                <w:szCs w:val="21"/>
                <w:lang w:bidi="ar"/>
              </w:rPr>
              <w:t>羊水</w:t>
            </w:r>
            <w:r>
              <w:rPr>
                <w:kern w:val="0"/>
                <w:szCs w:val="21"/>
                <w:lang w:bidi="ar"/>
              </w:rPr>
              <w:t>/</w:t>
            </w:r>
            <w:r>
              <w:rPr>
                <w:rFonts w:hint="eastAsia" w:ascii="宋体" w:hAnsi="宋体" w:cs="宋体"/>
                <w:kern w:val="0"/>
                <w:szCs w:val="21"/>
                <w:lang w:bidi="ar"/>
              </w:rPr>
              <w:t>脐血染色体核型分析</w:t>
            </w:r>
          </w:p>
        </w:tc>
        <w:tc>
          <w:tcPr>
            <w:tcW w:w="2925" w:type="dxa"/>
            <w:vMerge w:val="restart"/>
            <w:tcBorders>
              <w:top w:val="nil"/>
              <w:left w:val="nil"/>
              <w:bottom w:val="single" w:color="000000" w:sz="4" w:space="0"/>
              <w:right w:val="single" w:color="000000" w:sz="4" w:space="0"/>
            </w:tcBorders>
            <w:tcMar>
              <w:top w:w="10" w:type="dxa"/>
              <w:left w:w="10" w:type="dxa"/>
              <w:right w:w="10" w:type="dxa"/>
            </w:tcMar>
            <w:vAlign w:val="center"/>
          </w:tcPr>
          <w:p w14:paraId="33D20216">
            <w:pPr>
              <w:widowControl/>
              <w:snapToGrid w:val="0"/>
              <w:spacing w:line="240" w:lineRule="exact"/>
              <w:ind w:left="165"/>
              <w:jc w:val="center"/>
              <w:textAlignment w:val="center"/>
              <w:rPr>
                <w:szCs w:val="21"/>
              </w:rPr>
            </w:pPr>
            <w:r>
              <w:rPr>
                <w:rFonts w:hint="eastAsia" w:ascii="宋体" w:hAnsi="宋体" w:cs="宋体"/>
                <w:kern w:val="0"/>
                <w:szCs w:val="21"/>
                <w:lang w:bidi="ar"/>
              </w:rPr>
              <w:t>高风险孕妇，三选其一（按初筛人群</w:t>
            </w:r>
            <w:r>
              <w:rPr>
                <w:kern w:val="0"/>
                <w:szCs w:val="21"/>
                <w:lang w:bidi="ar"/>
              </w:rPr>
              <w:t>1.5%</w:t>
            </w:r>
            <w:r>
              <w:rPr>
                <w:rFonts w:hint="eastAsia" w:ascii="宋体" w:hAnsi="宋体" w:cs="宋体"/>
                <w:kern w:val="0"/>
                <w:szCs w:val="21"/>
                <w:lang w:bidi="ar"/>
              </w:rPr>
              <w:t>计算）</w:t>
            </w:r>
          </w:p>
        </w:tc>
        <w:tc>
          <w:tcPr>
            <w:tcW w:w="945" w:type="dxa"/>
            <w:vMerge w:val="continue"/>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1A88AE2">
            <w:pPr>
              <w:rPr>
                <w:sz w:val="20"/>
                <w:szCs w:val="20"/>
              </w:rPr>
            </w:pPr>
          </w:p>
        </w:tc>
        <w:tc>
          <w:tcPr>
            <w:tcW w:w="88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8395236">
            <w:pPr>
              <w:widowControl/>
              <w:snapToGrid w:val="0"/>
              <w:spacing w:line="240" w:lineRule="exact"/>
              <w:ind w:left="165"/>
              <w:jc w:val="center"/>
              <w:textAlignment w:val="center"/>
              <w:rPr>
                <w:szCs w:val="21"/>
              </w:rPr>
            </w:pPr>
            <w:r>
              <w:rPr>
                <w:kern w:val="0"/>
                <w:szCs w:val="21"/>
                <w:lang w:bidi="ar"/>
              </w:rPr>
              <w:t>1992</w:t>
            </w:r>
          </w:p>
        </w:tc>
        <w:tc>
          <w:tcPr>
            <w:tcW w:w="124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CF215AD">
            <w:pPr>
              <w:widowControl/>
              <w:snapToGrid w:val="0"/>
              <w:spacing w:line="240" w:lineRule="exact"/>
              <w:ind w:left="165"/>
              <w:jc w:val="center"/>
              <w:textAlignment w:val="center"/>
              <w:rPr>
                <w:szCs w:val="21"/>
              </w:rPr>
            </w:pPr>
            <w:r>
              <w:rPr>
                <w:kern w:val="0"/>
                <w:szCs w:val="21"/>
                <w:lang w:bidi="ar"/>
              </w:rPr>
              <w:t>1850</w:t>
            </w:r>
          </w:p>
        </w:tc>
        <w:tc>
          <w:tcPr>
            <w:tcW w:w="84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6A960882">
            <w:pPr>
              <w:widowControl/>
              <w:snapToGrid w:val="0"/>
              <w:spacing w:line="240" w:lineRule="exact"/>
              <w:ind w:left="165"/>
              <w:jc w:val="center"/>
              <w:textAlignment w:val="center"/>
              <w:rPr>
                <w:szCs w:val="21"/>
              </w:rPr>
            </w:pPr>
            <w:r>
              <w:rPr>
                <w:kern w:val="0"/>
                <w:szCs w:val="21"/>
                <w:lang w:bidi="ar"/>
              </w:rPr>
              <w:t>0.5%</w:t>
            </w:r>
          </w:p>
        </w:tc>
        <w:tc>
          <w:tcPr>
            <w:tcW w:w="8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397C813B">
            <w:pPr>
              <w:widowControl/>
              <w:snapToGrid w:val="0"/>
              <w:spacing w:line="240" w:lineRule="exact"/>
              <w:ind w:left="165"/>
              <w:jc w:val="center"/>
              <w:textAlignment w:val="center"/>
              <w:rPr>
                <w:szCs w:val="21"/>
              </w:rPr>
            </w:pPr>
            <w:r>
              <w:rPr>
                <w:kern w:val="0"/>
                <w:szCs w:val="21"/>
                <w:lang w:bidi="ar"/>
              </w:rPr>
              <w:t>60%</w:t>
            </w:r>
          </w:p>
        </w:tc>
        <w:tc>
          <w:tcPr>
            <w:tcW w:w="11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3B7B819">
            <w:pPr>
              <w:widowControl/>
              <w:snapToGrid w:val="0"/>
              <w:spacing w:line="240" w:lineRule="exact"/>
              <w:ind w:left="165"/>
              <w:jc w:val="center"/>
              <w:textAlignment w:val="center"/>
              <w:rPr>
                <w:szCs w:val="21"/>
              </w:rPr>
            </w:pPr>
            <w:r>
              <w:rPr>
                <w:kern w:val="0"/>
                <w:szCs w:val="21"/>
                <w:lang w:bidi="ar"/>
              </w:rPr>
              <w:t>9</w:t>
            </w:r>
          </w:p>
        </w:tc>
        <w:tc>
          <w:tcPr>
            <w:tcW w:w="157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3A81CBBE">
            <w:pPr>
              <w:widowControl/>
              <w:snapToGrid w:val="0"/>
              <w:spacing w:line="240" w:lineRule="exact"/>
              <w:ind w:left="165"/>
              <w:jc w:val="center"/>
              <w:textAlignment w:val="center"/>
              <w:rPr>
                <w:szCs w:val="21"/>
              </w:rPr>
            </w:pPr>
            <w:r>
              <w:rPr>
                <w:kern w:val="0"/>
                <w:szCs w:val="21"/>
                <w:lang w:bidi="ar"/>
              </w:rPr>
              <w:t>5</w:t>
            </w:r>
          </w:p>
        </w:tc>
        <w:tc>
          <w:tcPr>
            <w:tcW w:w="2058"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37243B75">
            <w:pPr>
              <w:widowControl/>
              <w:snapToGrid w:val="0"/>
              <w:spacing w:line="240" w:lineRule="exact"/>
              <w:ind w:left="165"/>
              <w:jc w:val="center"/>
              <w:textAlignment w:val="center"/>
              <w:rPr>
                <w:szCs w:val="21"/>
              </w:rPr>
            </w:pPr>
            <w:r>
              <w:rPr>
                <w:kern w:val="0"/>
                <w:szCs w:val="21"/>
                <w:lang w:bidi="ar"/>
              </w:rPr>
              <w:t>4</w:t>
            </w:r>
          </w:p>
        </w:tc>
      </w:tr>
      <w:tr w14:paraId="356E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continue"/>
            <w:tcBorders>
              <w:top w:val="nil"/>
              <w:left w:val="single" w:color="000000" w:sz="4" w:space="0"/>
              <w:bottom w:val="single" w:color="000000" w:sz="4" w:space="0"/>
              <w:right w:val="single" w:color="000000" w:sz="4" w:space="0"/>
            </w:tcBorders>
            <w:tcMar>
              <w:top w:w="10" w:type="dxa"/>
              <w:left w:w="10" w:type="dxa"/>
              <w:right w:w="10" w:type="dxa"/>
            </w:tcMar>
            <w:vAlign w:val="center"/>
          </w:tcPr>
          <w:p w14:paraId="7FE80152">
            <w:pPr>
              <w:rPr>
                <w:sz w:val="20"/>
                <w:szCs w:val="20"/>
              </w:rPr>
            </w:pPr>
          </w:p>
        </w:tc>
        <w:tc>
          <w:tcPr>
            <w:tcW w:w="992" w:type="dxa"/>
            <w:vMerge w:val="continue"/>
            <w:tcBorders>
              <w:top w:val="nil"/>
              <w:left w:val="nil"/>
              <w:bottom w:val="single" w:color="auto" w:sz="4" w:space="0"/>
              <w:right w:val="single" w:color="000000" w:sz="4" w:space="0"/>
            </w:tcBorders>
            <w:tcMar>
              <w:top w:w="10" w:type="dxa"/>
              <w:left w:w="10" w:type="dxa"/>
              <w:right w:w="10" w:type="dxa"/>
            </w:tcMar>
            <w:vAlign w:val="center"/>
          </w:tcPr>
          <w:p w14:paraId="51CE0969">
            <w:pPr>
              <w:rPr>
                <w:sz w:val="20"/>
                <w:szCs w:val="20"/>
              </w:rPr>
            </w:pPr>
          </w:p>
        </w:tc>
        <w:tc>
          <w:tcPr>
            <w:tcW w:w="141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12C8B94">
            <w:pPr>
              <w:widowControl/>
              <w:snapToGrid w:val="0"/>
              <w:spacing w:line="240" w:lineRule="exact"/>
              <w:ind w:left="165"/>
              <w:jc w:val="center"/>
              <w:textAlignment w:val="center"/>
              <w:rPr>
                <w:szCs w:val="21"/>
              </w:rPr>
            </w:pPr>
            <w:r>
              <w:rPr>
                <w:rFonts w:hint="eastAsia" w:ascii="宋体" w:hAnsi="宋体" w:cs="宋体"/>
                <w:kern w:val="0"/>
                <w:szCs w:val="21"/>
                <w:lang w:bidi="ar"/>
              </w:rPr>
              <w:t>绒毛</w:t>
            </w:r>
            <w:r>
              <w:rPr>
                <w:kern w:val="0"/>
                <w:szCs w:val="21"/>
                <w:lang w:bidi="ar"/>
              </w:rPr>
              <w:t>/</w:t>
            </w:r>
            <w:r>
              <w:rPr>
                <w:rFonts w:hint="eastAsia" w:ascii="宋体" w:hAnsi="宋体" w:cs="宋体"/>
                <w:kern w:val="0"/>
                <w:szCs w:val="21"/>
                <w:lang w:bidi="ar"/>
              </w:rPr>
              <w:t>羊水</w:t>
            </w:r>
            <w:r>
              <w:rPr>
                <w:kern w:val="0"/>
                <w:szCs w:val="21"/>
                <w:lang w:bidi="ar"/>
              </w:rPr>
              <w:t>/</w:t>
            </w:r>
            <w:r>
              <w:rPr>
                <w:rFonts w:hint="eastAsia" w:ascii="宋体" w:hAnsi="宋体" w:cs="宋体"/>
                <w:kern w:val="0"/>
                <w:szCs w:val="21"/>
                <w:lang w:bidi="ar"/>
              </w:rPr>
              <w:t>脐血染色体微阵列分析（</w:t>
            </w:r>
            <w:r>
              <w:rPr>
                <w:kern w:val="0"/>
                <w:szCs w:val="21"/>
                <w:lang w:bidi="ar"/>
              </w:rPr>
              <w:t>CMA</w:t>
            </w:r>
            <w:r>
              <w:rPr>
                <w:rFonts w:hint="eastAsia" w:ascii="宋体" w:hAnsi="宋体" w:cs="宋体"/>
                <w:kern w:val="0"/>
                <w:szCs w:val="21"/>
                <w:lang w:bidi="ar"/>
              </w:rPr>
              <w:t>）</w:t>
            </w:r>
          </w:p>
        </w:tc>
        <w:tc>
          <w:tcPr>
            <w:tcW w:w="2925" w:type="dxa"/>
            <w:vMerge w:val="continue"/>
            <w:tcBorders>
              <w:top w:val="nil"/>
              <w:left w:val="nil"/>
              <w:bottom w:val="single" w:color="000000" w:sz="4" w:space="0"/>
              <w:right w:val="single" w:color="000000" w:sz="4" w:space="0"/>
            </w:tcBorders>
            <w:tcMar>
              <w:top w:w="10" w:type="dxa"/>
              <w:left w:w="10" w:type="dxa"/>
              <w:right w:w="10" w:type="dxa"/>
            </w:tcMar>
            <w:vAlign w:val="center"/>
          </w:tcPr>
          <w:p w14:paraId="16DF266F">
            <w:pPr>
              <w:rPr>
                <w:sz w:val="20"/>
                <w:szCs w:val="20"/>
              </w:rPr>
            </w:pPr>
          </w:p>
        </w:tc>
        <w:tc>
          <w:tcPr>
            <w:tcW w:w="945" w:type="dxa"/>
            <w:vMerge w:val="continue"/>
            <w:tcBorders>
              <w:top w:val="single" w:color="000000" w:sz="4" w:space="0"/>
              <w:left w:val="nil"/>
              <w:bottom w:val="single" w:color="000000" w:sz="4" w:space="0"/>
              <w:right w:val="single" w:color="000000" w:sz="4" w:space="0"/>
            </w:tcBorders>
            <w:tcMar>
              <w:top w:w="10" w:type="dxa"/>
              <w:left w:w="10" w:type="dxa"/>
              <w:right w:w="10" w:type="dxa"/>
            </w:tcMar>
            <w:vAlign w:val="center"/>
          </w:tcPr>
          <w:p w14:paraId="5618FD16">
            <w:pPr>
              <w:rPr>
                <w:sz w:val="20"/>
                <w:szCs w:val="20"/>
              </w:rPr>
            </w:pPr>
          </w:p>
        </w:tc>
        <w:tc>
          <w:tcPr>
            <w:tcW w:w="88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618342AB">
            <w:pPr>
              <w:widowControl/>
              <w:snapToGrid w:val="0"/>
              <w:spacing w:line="240" w:lineRule="exact"/>
              <w:ind w:left="165"/>
              <w:jc w:val="center"/>
              <w:textAlignment w:val="center"/>
              <w:rPr>
                <w:szCs w:val="21"/>
              </w:rPr>
            </w:pPr>
            <w:r>
              <w:rPr>
                <w:kern w:val="0"/>
                <w:szCs w:val="21"/>
                <w:lang w:bidi="ar"/>
              </w:rPr>
              <w:t>4353</w:t>
            </w:r>
          </w:p>
        </w:tc>
        <w:tc>
          <w:tcPr>
            <w:tcW w:w="124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65A8CA1D">
            <w:pPr>
              <w:widowControl/>
              <w:snapToGrid w:val="0"/>
              <w:spacing w:line="240" w:lineRule="exact"/>
              <w:ind w:left="165"/>
              <w:jc w:val="center"/>
              <w:textAlignment w:val="center"/>
              <w:rPr>
                <w:szCs w:val="21"/>
              </w:rPr>
            </w:pPr>
            <w:r>
              <w:rPr>
                <w:kern w:val="0"/>
                <w:szCs w:val="21"/>
                <w:lang w:bidi="ar"/>
              </w:rPr>
              <w:t>1850</w:t>
            </w:r>
          </w:p>
        </w:tc>
        <w:tc>
          <w:tcPr>
            <w:tcW w:w="84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B5B802C">
            <w:pPr>
              <w:widowControl/>
              <w:snapToGrid w:val="0"/>
              <w:spacing w:line="240" w:lineRule="exact"/>
              <w:ind w:left="165"/>
              <w:jc w:val="center"/>
              <w:textAlignment w:val="center"/>
              <w:rPr>
                <w:szCs w:val="21"/>
              </w:rPr>
            </w:pPr>
            <w:r>
              <w:rPr>
                <w:kern w:val="0"/>
                <w:szCs w:val="21"/>
                <w:lang w:bidi="ar"/>
              </w:rPr>
              <w:t>0.5%</w:t>
            </w:r>
          </w:p>
        </w:tc>
        <w:tc>
          <w:tcPr>
            <w:tcW w:w="8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7484304">
            <w:pPr>
              <w:widowControl/>
              <w:snapToGrid w:val="0"/>
              <w:spacing w:line="240" w:lineRule="exact"/>
              <w:ind w:left="165"/>
              <w:jc w:val="center"/>
              <w:textAlignment w:val="center"/>
              <w:rPr>
                <w:szCs w:val="21"/>
              </w:rPr>
            </w:pPr>
            <w:r>
              <w:rPr>
                <w:kern w:val="0"/>
                <w:szCs w:val="21"/>
                <w:lang w:bidi="ar"/>
              </w:rPr>
              <w:t>60%</w:t>
            </w:r>
          </w:p>
        </w:tc>
        <w:tc>
          <w:tcPr>
            <w:tcW w:w="11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BA60630">
            <w:pPr>
              <w:widowControl/>
              <w:snapToGrid w:val="0"/>
              <w:spacing w:line="240" w:lineRule="exact"/>
              <w:ind w:left="165"/>
              <w:jc w:val="center"/>
              <w:textAlignment w:val="center"/>
              <w:rPr>
                <w:szCs w:val="21"/>
              </w:rPr>
            </w:pPr>
            <w:r>
              <w:rPr>
                <w:kern w:val="0"/>
                <w:szCs w:val="21"/>
                <w:lang w:bidi="ar"/>
              </w:rPr>
              <w:t>9</w:t>
            </w:r>
          </w:p>
        </w:tc>
        <w:tc>
          <w:tcPr>
            <w:tcW w:w="157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B4234A8">
            <w:pPr>
              <w:widowControl/>
              <w:snapToGrid w:val="0"/>
              <w:spacing w:line="240" w:lineRule="exact"/>
              <w:ind w:left="165"/>
              <w:jc w:val="center"/>
              <w:textAlignment w:val="center"/>
              <w:rPr>
                <w:szCs w:val="21"/>
              </w:rPr>
            </w:pPr>
            <w:r>
              <w:rPr>
                <w:kern w:val="0"/>
                <w:szCs w:val="21"/>
                <w:lang w:bidi="ar"/>
              </w:rPr>
              <w:t>5</w:t>
            </w:r>
          </w:p>
        </w:tc>
        <w:tc>
          <w:tcPr>
            <w:tcW w:w="2058"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F13026C">
            <w:pPr>
              <w:widowControl/>
              <w:snapToGrid w:val="0"/>
              <w:spacing w:line="240" w:lineRule="exact"/>
              <w:ind w:left="165"/>
              <w:jc w:val="center"/>
              <w:textAlignment w:val="center"/>
              <w:rPr>
                <w:szCs w:val="21"/>
              </w:rPr>
            </w:pPr>
            <w:r>
              <w:rPr>
                <w:kern w:val="0"/>
                <w:szCs w:val="21"/>
                <w:lang w:bidi="ar"/>
              </w:rPr>
              <w:t>4</w:t>
            </w:r>
          </w:p>
        </w:tc>
      </w:tr>
      <w:tr w14:paraId="005D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1151" w:type="dxa"/>
            <w:vMerge w:val="continue"/>
            <w:tcBorders>
              <w:top w:val="nil"/>
              <w:left w:val="single" w:color="000000" w:sz="4" w:space="0"/>
              <w:bottom w:val="single" w:color="000000" w:sz="4" w:space="0"/>
              <w:right w:val="single" w:color="000000" w:sz="4" w:space="0"/>
            </w:tcBorders>
            <w:tcMar>
              <w:top w:w="10" w:type="dxa"/>
              <w:left w:w="10" w:type="dxa"/>
              <w:right w:w="10" w:type="dxa"/>
            </w:tcMar>
            <w:vAlign w:val="center"/>
          </w:tcPr>
          <w:p w14:paraId="0517B8DD">
            <w:pPr>
              <w:rPr>
                <w:sz w:val="20"/>
                <w:szCs w:val="20"/>
              </w:rPr>
            </w:pPr>
          </w:p>
        </w:tc>
        <w:tc>
          <w:tcPr>
            <w:tcW w:w="992" w:type="dxa"/>
            <w:vMerge w:val="continue"/>
            <w:tcBorders>
              <w:top w:val="nil"/>
              <w:left w:val="nil"/>
              <w:bottom w:val="single" w:color="auto" w:sz="4" w:space="0"/>
              <w:right w:val="single" w:color="000000" w:sz="4" w:space="0"/>
            </w:tcBorders>
            <w:tcMar>
              <w:top w:w="10" w:type="dxa"/>
              <w:left w:w="10" w:type="dxa"/>
              <w:right w:w="10" w:type="dxa"/>
            </w:tcMar>
            <w:vAlign w:val="center"/>
          </w:tcPr>
          <w:p w14:paraId="5C97F144">
            <w:pPr>
              <w:rPr>
                <w:sz w:val="20"/>
                <w:szCs w:val="20"/>
              </w:rPr>
            </w:pPr>
          </w:p>
        </w:tc>
        <w:tc>
          <w:tcPr>
            <w:tcW w:w="141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CAB03D3">
            <w:pPr>
              <w:widowControl/>
              <w:snapToGrid w:val="0"/>
              <w:spacing w:line="240" w:lineRule="exact"/>
              <w:ind w:left="165"/>
              <w:jc w:val="center"/>
              <w:textAlignment w:val="center"/>
              <w:rPr>
                <w:szCs w:val="21"/>
              </w:rPr>
            </w:pPr>
            <w:r>
              <w:rPr>
                <w:rFonts w:hint="eastAsia" w:ascii="宋体" w:hAnsi="宋体" w:cs="宋体"/>
                <w:kern w:val="0"/>
                <w:szCs w:val="21"/>
                <w:lang w:bidi="ar"/>
              </w:rPr>
              <w:t>绒毛</w:t>
            </w:r>
            <w:r>
              <w:rPr>
                <w:kern w:val="0"/>
                <w:szCs w:val="21"/>
                <w:lang w:bidi="ar"/>
              </w:rPr>
              <w:t>/</w:t>
            </w:r>
            <w:r>
              <w:rPr>
                <w:rFonts w:hint="eastAsia" w:ascii="宋体" w:hAnsi="宋体" w:cs="宋体"/>
                <w:kern w:val="0"/>
                <w:szCs w:val="21"/>
                <w:lang w:bidi="ar"/>
              </w:rPr>
              <w:t>羊水</w:t>
            </w:r>
            <w:r>
              <w:rPr>
                <w:kern w:val="0"/>
                <w:szCs w:val="21"/>
                <w:lang w:bidi="ar"/>
              </w:rPr>
              <w:t>/</w:t>
            </w:r>
            <w:r>
              <w:rPr>
                <w:rFonts w:hint="eastAsia" w:ascii="宋体" w:hAnsi="宋体" w:cs="宋体"/>
                <w:kern w:val="0"/>
                <w:szCs w:val="21"/>
                <w:lang w:bidi="ar"/>
              </w:rPr>
              <w:t>脐血基因组拷贝数变异测分析 （</w:t>
            </w:r>
            <w:r>
              <w:rPr>
                <w:kern w:val="0"/>
                <w:szCs w:val="21"/>
                <w:lang w:bidi="ar"/>
              </w:rPr>
              <w:t>CNV-seq</w:t>
            </w:r>
            <w:r>
              <w:rPr>
                <w:rFonts w:hint="eastAsia" w:ascii="宋体" w:hAnsi="宋体" w:cs="宋体"/>
                <w:kern w:val="0"/>
                <w:szCs w:val="21"/>
                <w:lang w:bidi="ar"/>
              </w:rPr>
              <w:t>）</w:t>
            </w:r>
          </w:p>
        </w:tc>
        <w:tc>
          <w:tcPr>
            <w:tcW w:w="2925" w:type="dxa"/>
            <w:vMerge w:val="continue"/>
            <w:tcBorders>
              <w:top w:val="nil"/>
              <w:left w:val="nil"/>
              <w:bottom w:val="single" w:color="000000" w:sz="4" w:space="0"/>
              <w:right w:val="single" w:color="000000" w:sz="4" w:space="0"/>
            </w:tcBorders>
            <w:tcMar>
              <w:top w:w="10" w:type="dxa"/>
              <w:left w:w="10" w:type="dxa"/>
              <w:right w:w="10" w:type="dxa"/>
            </w:tcMar>
            <w:vAlign w:val="center"/>
          </w:tcPr>
          <w:p w14:paraId="51C9E623">
            <w:pPr>
              <w:rPr>
                <w:sz w:val="20"/>
                <w:szCs w:val="20"/>
              </w:rPr>
            </w:pPr>
          </w:p>
        </w:tc>
        <w:tc>
          <w:tcPr>
            <w:tcW w:w="945" w:type="dxa"/>
            <w:vMerge w:val="continue"/>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BE7ECA1">
            <w:pPr>
              <w:rPr>
                <w:sz w:val="20"/>
                <w:szCs w:val="20"/>
              </w:rPr>
            </w:pPr>
          </w:p>
        </w:tc>
        <w:tc>
          <w:tcPr>
            <w:tcW w:w="88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B15D446">
            <w:pPr>
              <w:widowControl/>
              <w:snapToGrid w:val="0"/>
              <w:spacing w:line="240" w:lineRule="exact"/>
              <w:ind w:left="165"/>
              <w:jc w:val="center"/>
              <w:textAlignment w:val="center"/>
              <w:rPr>
                <w:szCs w:val="21"/>
              </w:rPr>
            </w:pPr>
            <w:r>
              <w:rPr>
                <w:kern w:val="0"/>
                <w:szCs w:val="21"/>
                <w:lang w:bidi="ar"/>
              </w:rPr>
              <w:t>3111</w:t>
            </w:r>
          </w:p>
        </w:tc>
        <w:tc>
          <w:tcPr>
            <w:tcW w:w="124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6F9EAE25">
            <w:pPr>
              <w:widowControl/>
              <w:snapToGrid w:val="0"/>
              <w:spacing w:line="240" w:lineRule="exact"/>
              <w:ind w:left="165"/>
              <w:jc w:val="center"/>
              <w:textAlignment w:val="center"/>
              <w:rPr>
                <w:szCs w:val="21"/>
              </w:rPr>
            </w:pPr>
            <w:r>
              <w:rPr>
                <w:kern w:val="0"/>
                <w:szCs w:val="21"/>
                <w:lang w:bidi="ar"/>
              </w:rPr>
              <w:t>1850</w:t>
            </w:r>
          </w:p>
        </w:tc>
        <w:tc>
          <w:tcPr>
            <w:tcW w:w="84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3473809">
            <w:pPr>
              <w:widowControl/>
              <w:snapToGrid w:val="0"/>
              <w:spacing w:line="240" w:lineRule="exact"/>
              <w:ind w:left="165"/>
              <w:jc w:val="center"/>
              <w:textAlignment w:val="center"/>
              <w:rPr>
                <w:szCs w:val="21"/>
              </w:rPr>
            </w:pPr>
            <w:r>
              <w:rPr>
                <w:kern w:val="0"/>
                <w:szCs w:val="21"/>
                <w:lang w:bidi="ar"/>
              </w:rPr>
              <w:t>0.5%</w:t>
            </w:r>
          </w:p>
        </w:tc>
        <w:tc>
          <w:tcPr>
            <w:tcW w:w="8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E249249">
            <w:pPr>
              <w:widowControl/>
              <w:snapToGrid w:val="0"/>
              <w:spacing w:line="240" w:lineRule="exact"/>
              <w:ind w:left="165"/>
              <w:jc w:val="center"/>
              <w:textAlignment w:val="center"/>
              <w:rPr>
                <w:szCs w:val="21"/>
              </w:rPr>
            </w:pPr>
            <w:r>
              <w:rPr>
                <w:kern w:val="0"/>
                <w:szCs w:val="21"/>
                <w:lang w:bidi="ar"/>
              </w:rPr>
              <w:t>60%</w:t>
            </w:r>
          </w:p>
        </w:tc>
        <w:tc>
          <w:tcPr>
            <w:tcW w:w="11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3C01012E">
            <w:pPr>
              <w:widowControl/>
              <w:snapToGrid w:val="0"/>
              <w:spacing w:line="240" w:lineRule="atLeast"/>
              <w:ind w:left="165"/>
              <w:jc w:val="center"/>
              <w:textAlignment w:val="center"/>
              <w:rPr>
                <w:szCs w:val="21"/>
              </w:rPr>
            </w:pPr>
            <w:r>
              <w:rPr>
                <w:szCs w:val="21"/>
                <w:lang w:bidi="ar"/>
              </w:rPr>
              <w:t>9</w:t>
            </w:r>
          </w:p>
        </w:tc>
        <w:tc>
          <w:tcPr>
            <w:tcW w:w="157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053BAF5">
            <w:pPr>
              <w:widowControl/>
              <w:snapToGrid w:val="0"/>
              <w:spacing w:line="240" w:lineRule="atLeast"/>
              <w:ind w:left="165"/>
              <w:jc w:val="center"/>
              <w:textAlignment w:val="center"/>
              <w:rPr>
                <w:szCs w:val="21"/>
              </w:rPr>
            </w:pPr>
            <w:r>
              <w:rPr>
                <w:szCs w:val="21"/>
                <w:lang w:bidi="ar"/>
              </w:rPr>
              <w:t>5</w:t>
            </w:r>
          </w:p>
        </w:tc>
        <w:tc>
          <w:tcPr>
            <w:tcW w:w="2058"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F63E2F9">
            <w:pPr>
              <w:widowControl/>
              <w:snapToGrid w:val="0"/>
              <w:spacing w:line="240" w:lineRule="atLeast"/>
              <w:ind w:left="165"/>
              <w:jc w:val="center"/>
              <w:textAlignment w:val="center"/>
              <w:rPr>
                <w:szCs w:val="21"/>
              </w:rPr>
            </w:pPr>
            <w:r>
              <w:rPr>
                <w:szCs w:val="21"/>
                <w:lang w:bidi="ar"/>
              </w:rPr>
              <w:t>4</w:t>
            </w:r>
          </w:p>
        </w:tc>
      </w:tr>
      <w:tr w14:paraId="2EA43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restart"/>
            <w:tcBorders>
              <w:top w:val="nil"/>
              <w:left w:val="single" w:color="000000" w:sz="4" w:space="0"/>
              <w:bottom w:val="single" w:color="000000" w:sz="4" w:space="0"/>
              <w:right w:val="single" w:color="000000" w:sz="4" w:space="0"/>
            </w:tcBorders>
            <w:tcMar>
              <w:top w:w="10" w:type="dxa"/>
              <w:left w:w="10" w:type="dxa"/>
              <w:right w:w="10" w:type="dxa"/>
            </w:tcMar>
            <w:vAlign w:val="center"/>
          </w:tcPr>
          <w:p w14:paraId="5F0C386A">
            <w:pPr>
              <w:widowControl/>
              <w:snapToGrid w:val="0"/>
              <w:spacing w:line="240" w:lineRule="atLeast"/>
              <w:ind w:left="165"/>
              <w:jc w:val="center"/>
              <w:textAlignment w:val="center"/>
              <w:rPr>
                <w:szCs w:val="21"/>
              </w:rPr>
            </w:pPr>
            <w:r>
              <w:rPr>
                <w:kern w:val="0"/>
                <w:szCs w:val="21"/>
                <w:lang w:bidi="ar"/>
              </w:rPr>
              <w:t>4</w:t>
            </w:r>
            <w:r>
              <w:rPr>
                <w:rFonts w:hint="eastAsia" w:ascii="宋体" w:hAnsi="宋体" w:cs="宋体"/>
                <w:kern w:val="0"/>
                <w:szCs w:val="21"/>
                <w:lang w:bidi="ar"/>
              </w:rPr>
              <w:t>、严重致死致残性结构畸形</w:t>
            </w:r>
          </w:p>
        </w:tc>
        <w:tc>
          <w:tcPr>
            <w:tcW w:w="992" w:type="dxa"/>
            <w:vMerge w:val="restart"/>
            <w:tcBorders>
              <w:top w:val="nil"/>
              <w:left w:val="nil"/>
              <w:bottom w:val="single" w:color="auto" w:sz="4" w:space="0"/>
              <w:right w:val="single" w:color="000000" w:sz="4" w:space="0"/>
            </w:tcBorders>
            <w:tcMar>
              <w:top w:w="10" w:type="dxa"/>
              <w:left w:w="10" w:type="dxa"/>
              <w:right w:w="10" w:type="dxa"/>
            </w:tcMar>
            <w:vAlign w:val="center"/>
          </w:tcPr>
          <w:p w14:paraId="16E082EB">
            <w:pPr>
              <w:widowControl/>
              <w:snapToGrid w:val="0"/>
              <w:spacing w:line="240" w:lineRule="atLeast"/>
              <w:ind w:left="165"/>
              <w:jc w:val="center"/>
              <w:textAlignment w:val="center"/>
              <w:rPr>
                <w:szCs w:val="21"/>
              </w:rPr>
            </w:pPr>
            <w:r>
              <w:rPr>
                <w:rFonts w:hint="eastAsia" w:ascii="宋体" w:hAnsi="宋体" w:cs="宋体"/>
                <w:kern w:val="0"/>
                <w:szCs w:val="21"/>
                <w:lang w:bidi="ar"/>
              </w:rPr>
              <w:t>诊断</w:t>
            </w:r>
          </w:p>
        </w:tc>
        <w:tc>
          <w:tcPr>
            <w:tcW w:w="141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3EE8FCBA">
            <w:pPr>
              <w:widowControl/>
              <w:snapToGrid w:val="0"/>
              <w:spacing w:line="240" w:lineRule="atLeast"/>
              <w:ind w:left="165"/>
              <w:jc w:val="left"/>
              <w:textAlignment w:val="center"/>
              <w:rPr>
                <w:szCs w:val="21"/>
              </w:rPr>
            </w:pPr>
            <w:r>
              <w:rPr>
                <w:rFonts w:hint="eastAsia" w:ascii="宋体" w:hAnsi="宋体" w:cs="宋体"/>
                <w:kern w:val="0"/>
                <w:szCs w:val="21"/>
                <w:lang w:bidi="ar"/>
              </w:rPr>
              <w:t>绒毛</w:t>
            </w:r>
            <w:r>
              <w:rPr>
                <w:kern w:val="0"/>
                <w:szCs w:val="21"/>
                <w:lang w:bidi="ar"/>
              </w:rPr>
              <w:t>/</w:t>
            </w:r>
            <w:r>
              <w:rPr>
                <w:rFonts w:hint="eastAsia" w:ascii="宋体" w:hAnsi="宋体" w:cs="宋体"/>
                <w:kern w:val="0"/>
                <w:szCs w:val="21"/>
                <w:lang w:bidi="ar"/>
              </w:rPr>
              <w:t>羊水</w:t>
            </w:r>
            <w:r>
              <w:rPr>
                <w:kern w:val="0"/>
                <w:szCs w:val="21"/>
                <w:lang w:bidi="ar"/>
              </w:rPr>
              <w:t>/</w:t>
            </w:r>
            <w:r>
              <w:rPr>
                <w:rFonts w:hint="eastAsia" w:ascii="宋体" w:hAnsi="宋体" w:cs="宋体"/>
                <w:kern w:val="0"/>
                <w:szCs w:val="21"/>
                <w:lang w:bidi="ar"/>
              </w:rPr>
              <w:t>脐血染色体核型分析</w:t>
            </w:r>
          </w:p>
        </w:tc>
        <w:tc>
          <w:tcPr>
            <w:tcW w:w="2925" w:type="dxa"/>
            <w:vMerge w:val="restart"/>
            <w:tcBorders>
              <w:top w:val="nil"/>
              <w:left w:val="nil"/>
              <w:bottom w:val="single" w:color="000000" w:sz="4" w:space="0"/>
              <w:right w:val="single" w:color="000000" w:sz="4" w:space="0"/>
            </w:tcBorders>
            <w:tcMar>
              <w:top w:w="10" w:type="dxa"/>
              <w:left w:w="10" w:type="dxa"/>
              <w:right w:w="10" w:type="dxa"/>
            </w:tcMar>
            <w:vAlign w:val="center"/>
          </w:tcPr>
          <w:p w14:paraId="1311A434">
            <w:pPr>
              <w:widowControl/>
              <w:snapToGrid w:val="0"/>
              <w:spacing w:line="240" w:lineRule="atLeast"/>
              <w:ind w:left="165"/>
              <w:jc w:val="center"/>
              <w:textAlignment w:val="center"/>
              <w:rPr>
                <w:szCs w:val="21"/>
              </w:rPr>
            </w:pPr>
            <w:r>
              <w:rPr>
                <w:rFonts w:hint="eastAsia" w:ascii="宋体" w:hAnsi="宋体" w:cs="宋体"/>
                <w:kern w:val="0"/>
                <w:szCs w:val="21"/>
                <w:lang w:bidi="ar"/>
              </w:rPr>
              <w:t>筛查阳性的孕妇，三选其一。（按初筛人群</w:t>
            </w:r>
            <w:r>
              <w:rPr>
                <w:kern w:val="0"/>
                <w:szCs w:val="21"/>
                <w:lang w:bidi="ar"/>
              </w:rPr>
              <w:t>1</w:t>
            </w:r>
            <w:r>
              <w:rPr>
                <w:rFonts w:hint="eastAsia" w:ascii="宋体" w:hAnsi="宋体" w:cs="宋体"/>
                <w:kern w:val="0"/>
                <w:szCs w:val="21"/>
                <w:lang w:bidi="ar"/>
              </w:rPr>
              <w:t>％计算）</w:t>
            </w:r>
          </w:p>
        </w:tc>
        <w:tc>
          <w:tcPr>
            <w:tcW w:w="945" w:type="dxa"/>
            <w:vMerge w:val="continue"/>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F3CA9D9">
            <w:pPr>
              <w:rPr>
                <w:sz w:val="20"/>
                <w:szCs w:val="20"/>
              </w:rPr>
            </w:pPr>
          </w:p>
        </w:tc>
        <w:tc>
          <w:tcPr>
            <w:tcW w:w="88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5534EB4E">
            <w:pPr>
              <w:widowControl/>
              <w:snapToGrid w:val="0"/>
              <w:spacing w:line="240" w:lineRule="exact"/>
              <w:ind w:left="165"/>
              <w:jc w:val="center"/>
              <w:textAlignment w:val="center"/>
              <w:rPr>
                <w:color w:val="FF0000"/>
                <w:szCs w:val="21"/>
                <w:highlight w:val="yellow"/>
              </w:rPr>
            </w:pPr>
            <w:r>
              <w:rPr>
                <w:kern w:val="0"/>
                <w:szCs w:val="21"/>
                <w:lang w:bidi="ar"/>
              </w:rPr>
              <w:t>1992</w:t>
            </w:r>
          </w:p>
        </w:tc>
        <w:tc>
          <w:tcPr>
            <w:tcW w:w="124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57621542">
            <w:pPr>
              <w:widowControl/>
              <w:snapToGrid w:val="0"/>
              <w:spacing w:line="240" w:lineRule="exact"/>
              <w:ind w:left="165"/>
              <w:jc w:val="center"/>
              <w:textAlignment w:val="center"/>
              <w:rPr>
                <w:color w:val="FF0000"/>
                <w:szCs w:val="21"/>
                <w:highlight w:val="yellow"/>
              </w:rPr>
            </w:pPr>
            <w:r>
              <w:rPr>
                <w:kern w:val="0"/>
                <w:szCs w:val="21"/>
                <w:lang w:bidi="ar"/>
              </w:rPr>
              <w:t>1850</w:t>
            </w:r>
          </w:p>
        </w:tc>
        <w:tc>
          <w:tcPr>
            <w:tcW w:w="84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3E2D29B2">
            <w:pPr>
              <w:widowControl/>
              <w:snapToGrid w:val="0"/>
              <w:spacing w:line="240" w:lineRule="exact"/>
              <w:ind w:left="165"/>
              <w:jc w:val="center"/>
              <w:textAlignment w:val="center"/>
              <w:rPr>
                <w:color w:val="FF0000"/>
                <w:szCs w:val="21"/>
                <w:highlight w:val="yellow"/>
              </w:rPr>
            </w:pPr>
            <w:r>
              <w:rPr>
                <w:kern w:val="0"/>
                <w:szCs w:val="21"/>
                <w:lang w:bidi="ar"/>
              </w:rPr>
              <w:t>0.4%</w:t>
            </w:r>
          </w:p>
        </w:tc>
        <w:tc>
          <w:tcPr>
            <w:tcW w:w="8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8634BCA">
            <w:pPr>
              <w:widowControl/>
              <w:snapToGrid w:val="0"/>
              <w:spacing w:line="240" w:lineRule="exact"/>
              <w:ind w:left="165"/>
              <w:jc w:val="center"/>
              <w:textAlignment w:val="center"/>
              <w:rPr>
                <w:color w:val="FF0000"/>
                <w:szCs w:val="21"/>
                <w:highlight w:val="yellow"/>
              </w:rPr>
            </w:pPr>
            <w:r>
              <w:rPr>
                <w:kern w:val="0"/>
                <w:szCs w:val="21"/>
                <w:lang w:bidi="ar"/>
              </w:rPr>
              <w:t>60%</w:t>
            </w:r>
          </w:p>
        </w:tc>
        <w:tc>
          <w:tcPr>
            <w:tcW w:w="11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5F86D2D1">
            <w:pPr>
              <w:widowControl/>
              <w:snapToGrid w:val="0"/>
              <w:spacing w:line="240" w:lineRule="atLeast"/>
              <w:ind w:left="165"/>
              <w:jc w:val="center"/>
              <w:textAlignment w:val="center"/>
              <w:rPr>
                <w:szCs w:val="21"/>
              </w:rPr>
            </w:pPr>
            <w:r>
              <w:rPr>
                <w:szCs w:val="21"/>
                <w:lang w:bidi="ar"/>
              </w:rPr>
              <w:t>6</w:t>
            </w:r>
          </w:p>
        </w:tc>
        <w:tc>
          <w:tcPr>
            <w:tcW w:w="157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A505775">
            <w:pPr>
              <w:widowControl/>
              <w:snapToGrid w:val="0"/>
              <w:spacing w:line="240" w:lineRule="atLeast"/>
              <w:ind w:left="165"/>
              <w:jc w:val="center"/>
              <w:textAlignment w:val="center"/>
              <w:rPr>
                <w:szCs w:val="21"/>
              </w:rPr>
            </w:pPr>
            <w:r>
              <w:rPr>
                <w:szCs w:val="21"/>
                <w:lang w:bidi="ar"/>
              </w:rPr>
              <w:t>4</w:t>
            </w:r>
          </w:p>
        </w:tc>
        <w:tc>
          <w:tcPr>
            <w:tcW w:w="2058"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36530286">
            <w:pPr>
              <w:widowControl/>
              <w:snapToGrid w:val="0"/>
              <w:spacing w:line="240" w:lineRule="atLeast"/>
              <w:ind w:left="165"/>
              <w:jc w:val="center"/>
              <w:textAlignment w:val="center"/>
              <w:rPr>
                <w:szCs w:val="21"/>
              </w:rPr>
            </w:pPr>
            <w:r>
              <w:rPr>
                <w:szCs w:val="21"/>
                <w:lang w:bidi="ar"/>
              </w:rPr>
              <w:t>2</w:t>
            </w:r>
          </w:p>
        </w:tc>
      </w:tr>
      <w:tr w14:paraId="72D1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continue"/>
            <w:tcBorders>
              <w:top w:val="nil"/>
              <w:left w:val="single" w:color="000000" w:sz="4" w:space="0"/>
              <w:bottom w:val="single" w:color="000000" w:sz="4" w:space="0"/>
              <w:right w:val="single" w:color="000000" w:sz="4" w:space="0"/>
            </w:tcBorders>
            <w:tcMar>
              <w:top w:w="10" w:type="dxa"/>
              <w:left w:w="10" w:type="dxa"/>
              <w:right w:w="10" w:type="dxa"/>
            </w:tcMar>
            <w:vAlign w:val="center"/>
          </w:tcPr>
          <w:p w14:paraId="7BC371D2">
            <w:pPr>
              <w:rPr>
                <w:sz w:val="20"/>
                <w:szCs w:val="20"/>
              </w:rPr>
            </w:pPr>
          </w:p>
        </w:tc>
        <w:tc>
          <w:tcPr>
            <w:tcW w:w="992" w:type="dxa"/>
            <w:vMerge w:val="continue"/>
            <w:tcBorders>
              <w:top w:val="nil"/>
              <w:left w:val="nil"/>
              <w:bottom w:val="single" w:color="auto" w:sz="4" w:space="0"/>
              <w:right w:val="single" w:color="000000" w:sz="4" w:space="0"/>
            </w:tcBorders>
            <w:tcMar>
              <w:top w:w="10" w:type="dxa"/>
              <w:left w:w="10" w:type="dxa"/>
              <w:right w:w="10" w:type="dxa"/>
            </w:tcMar>
            <w:vAlign w:val="center"/>
          </w:tcPr>
          <w:p w14:paraId="6259B538">
            <w:pPr>
              <w:rPr>
                <w:sz w:val="20"/>
                <w:szCs w:val="20"/>
              </w:rPr>
            </w:pPr>
          </w:p>
        </w:tc>
        <w:tc>
          <w:tcPr>
            <w:tcW w:w="141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250E780">
            <w:pPr>
              <w:widowControl/>
              <w:snapToGrid w:val="0"/>
              <w:spacing w:line="240" w:lineRule="atLeast"/>
              <w:ind w:left="165"/>
              <w:jc w:val="left"/>
              <w:textAlignment w:val="center"/>
              <w:rPr>
                <w:kern w:val="0"/>
                <w:szCs w:val="21"/>
              </w:rPr>
            </w:pPr>
            <w:r>
              <w:rPr>
                <w:rFonts w:hint="eastAsia" w:ascii="宋体" w:hAnsi="宋体" w:cs="宋体"/>
                <w:kern w:val="0"/>
                <w:szCs w:val="21"/>
                <w:lang w:bidi="ar"/>
              </w:rPr>
              <w:t>绒毛</w:t>
            </w:r>
            <w:r>
              <w:rPr>
                <w:kern w:val="0"/>
                <w:szCs w:val="21"/>
                <w:lang w:bidi="ar"/>
              </w:rPr>
              <w:t>/</w:t>
            </w:r>
            <w:r>
              <w:rPr>
                <w:rFonts w:hint="eastAsia" w:ascii="宋体" w:hAnsi="宋体" w:cs="宋体"/>
                <w:kern w:val="0"/>
                <w:szCs w:val="21"/>
                <w:lang w:bidi="ar"/>
              </w:rPr>
              <w:t>羊水</w:t>
            </w:r>
            <w:r>
              <w:rPr>
                <w:kern w:val="0"/>
                <w:szCs w:val="21"/>
                <w:lang w:bidi="ar"/>
              </w:rPr>
              <w:t>/</w:t>
            </w:r>
            <w:r>
              <w:rPr>
                <w:rFonts w:hint="eastAsia" w:ascii="宋体" w:hAnsi="宋体" w:cs="宋体"/>
                <w:kern w:val="0"/>
                <w:szCs w:val="21"/>
                <w:lang w:bidi="ar"/>
              </w:rPr>
              <w:t>脐血染色体微阵列分析（</w:t>
            </w:r>
            <w:r>
              <w:rPr>
                <w:kern w:val="0"/>
                <w:szCs w:val="21"/>
                <w:lang w:bidi="ar"/>
              </w:rPr>
              <w:t>CMA</w:t>
            </w:r>
            <w:r>
              <w:rPr>
                <w:rFonts w:hint="eastAsia" w:ascii="宋体" w:hAnsi="宋体" w:cs="宋体"/>
                <w:kern w:val="0"/>
                <w:szCs w:val="21"/>
                <w:lang w:bidi="ar"/>
              </w:rPr>
              <w:t>）</w:t>
            </w:r>
          </w:p>
        </w:tc>
        <w:tc>
          <w:tcPr>
            <w:tcW w:w="2925" w:type="dxa"/>
            <w:vMerge w:val="continue"/>
            <w:tcBorders>
              <w:top w:val="nil"/>
              <w:left w:val="nil"/>
              <w:bottom w:val="single" w:color="000000" w:sz="4" w:space="0"/>
              <w:right w:val="single" w:color="000000" w:sz="4" w:space="0"/>
            </w:tcBorders>
            <w:tcMar>
              <w:top w:w="10" w:type="dxa"/>
              <w:left w:w="10" w:type="dxa"/>
              <w:right w:w="10" w:type="dxa"/>
            </w:tcMar>
            <w:vAlign w:val="center"/>
          </w:tcPr>
          <w:p w14:paraId="4E8D8898">
            <w:pPr>
              <w:rPr>
                <w:sz w:val="20"/>
                <w:szCs w:val="20"/>
              </w:rPr>
            </w:pPr>
          </w:p>
        </w:tc>
        <w:tc>
          <w:tcPr>
            <w:tcW w:w="945" w:type="dxa"/>
            <w:vMerge w:val="continue"/>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59EFDDE">
            <w:pPr>
              <w:rPr>
                <w:sz w:val="20"/>
                <w:szCs w:val="20"/>
              </w:rPr>
            </w:pPr>
          </w:p>
        </w:tc>
        <w:tc>
          <w:tcPr>
            <w:tcW w:w="88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ECD01C5">
            <w:pPr>
              <w:widowControl/>
              <w:snapToGrid w:val="0"/>
              <w:spacing w:line="240" w:lineRule="atLeast"/>
              <w:ind w:left="165"/>
              <w:jc w:val="center"/>
              <w:textAlignment w:val="center"/>
              <w:rPr>
                <w:kern w:val="0"/>
                <w:szCs w:val="21"/>
              </w:rPr>
            </w:pPr>
            <w:r>
              <w:rPr>
                <w:kern w:val="0"/>
                <w:szCs w:val="21"/>
                <w:lang w:bidi="ar"/>
              </w:rPr>
              <w:t>4353</w:t>
            </w:r>
          </w:p>
        </w:tc>
        <w:tc>
          <w:tcPr>
            <w:tcW w:w="124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62EE4016">
            <w:pPr>
              <w:widowControl/>
              <w:snapToGrid w:val="0"/>
              <w:spacing w:line="240" w:lineRule="atLeast"/>
              <w:ind w:left="165"/>
              <w:jc w:val="center"/>
              <w:textAlignment w:val="center"/>
              <w:rPr>
                <w:kern w:val="0"/>
                <w:szCs w:val="21"/>
              </w:rPr>
            </w:pPr>
            <w:r>
              <w:rPr>
                <w:kern w:val="0"/>
                <w:szCs w:val="21"/>
                <w:lang w:bidi="ar"/>
              </w:rPr>
              <w:t>1850</w:t>
            </w:r>
          </w:p>
        </w:tc>
        <w:tc>
          <w:tcPr>
            <w:tcW w:w="84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955D8C0">
            <w:pPr>
              <w:widowControl/>
              <w:snapToGrid w:val="0"/>
              <w:spacing w:line="240" w:lineRule="atLeast"/>
              <w:ind w:left="165"/>
              <w:jc w:val="center"/>
              <w:textAlignment w:val="center"/>
              <w:rPr>
                <w:kern w:val="0"/>
                <w:szCs w:val="21"/>
              </w:rPr>
            </w:pPr>
            <w:r>
              <w:rPr>
                <w:kern w:val="0"/>
                <w:szCs w:val="21"/>
                <w:lang w:bidi="ar"/>
              </w:rPr>
              <w:t>0.3%</w:t>
            </w:r>
          </w:p>
        </w:tc>
        <w:tc>
          <w:tcPr>
            <w:tcW w:w="8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9ABA9CB">
            <w:pPr>
              <w:widowControl/>
              <w:snapToGrid w:val="0"/>
              <w:spacing w:line="240" w:lineRule="atLeast"/>
              <w:ind w:left="165"/>
              <w:jc w:val="center"/>
              <w:textAlignment w:val="center"/>
              <w:rPr>
                <w:kern w:val="0"/>
                <w:szCs w:val="21"/>
              </w:rPr>
            </w:pPr>
            <w:r>
              <w:rPr>
                <w:kern w:val="0"/>
                <w:szCs w:val="21"/>
                <w:lang w:bidi="ar"/>
              </w:rPr>
              <w:t>60%</w:t>
            </w:r>
          </w:p>
        </w:tc>
        <w:tc>
          <w:tcPr>
            <w:tcW w:w="11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6AA8C2D3">
            <w:pPr>
              <w:widowControl/>
              <w:snapToGrid w:val="0"/>
              <w:spacing w:line="240" w:lineRule="atLeast"/>
              <w:ind w:left="165"/>
              <w:jc w:val="center"/>
              <w:textAlignment w:val="center"/>
              <w:rPr>
                <w:szCs w:val="21"/>
              </w:rPr>
            </w:pPr>
            <w:r>
              <w:rPr>
                <w:szCs w:val="21"/>
                <w:lang w:bidi="ar"/>
              </w:rPr>
              <w:t>6</w:t>
            </w:r>
          </w:p>
        </w:tc>
        <w:tc>
          <w:tcPr>
            <w:tcW w:w="157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308CBD76">
            <w:pPr>
              <w:widowControl/>
              <w:snapToGrid w:val="0"/>
              <w:spacing w:line="240" w:lineRule="atLeast"/>
              <w:ind w:left="165"/>
              <w:jc w:val="center"/>
              <w:textAlignment w:val="center"/>
              <w:rPr>
                <w:szCs w:val="21"/>
              </w:rPr>
            </w:pPr>
            <w:r>
              <w:rPr>
                <w:szCs w:val="21"/>
                <w:lang w:bidi="ar"/>
              </w:rPr>
              <w:t>3</w:t>
            </w:r>
          </w:p>
        </w:tc>
        <w:tc>
          <w:tcPr>
            <w:tcW w:w="2058"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5B034BD6">
            <w:pPr>
              <w:widowControl/>
              <w:snapToGrid w:val="0"/>
              <w:spacing w:line="240" w:lineRule="atLeast"/>
              <w:ind w:left="165"/>
              <w:jc w:val="center"/>
              <w:textAlignment w:val="center"/>
              <w:rPr>
                <w:szCs w:val="21"/>
              </w:rPr>
            </w:pPr>
            <w:r>
              <w:rPr>
                <w:szCs w:val="21"/>
                <w:lang w:bidi="ar"/>
              </w:rPr>
              <w:t>3</w:t>
            </w:r>
          </w:p>
        </w:tc>
      </w:tr>
      <w:tr w14:paraId="566E5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continue"/>
            <w:tcBorders>
              <w:top w:val="nil"/>
              <w:left w:val="single" w:color="000000" w:sz="4" w:space="0"/>
              <w:bottom w:val="single" w:color="000000" w:sz="4" w:space="0"/>
              <w:right w:val="single" w:color="000000" w:sz="4" w:space="0"/>
            </w:tcBorders>
            <w:tcMar>
              <w:top w:w="10" w:type="dxa"/>
              <w:left w:w="10" w:type="dxa"/>
              <w:right w:w="10" w:type="dxa"/>
            </w:tcMar>
            <w:vAlign w:val="center"/>
          </w:tcPr>
          <w:p w14:paraId="445671BA">
            <w:pPr>
              <w:rPr>
                <w:sz w:val="20"/>
                <w:szCs w:val="20"/>
              </w:rPr>
            </w:pPr>
          </w:p>
        </w:tc>
        <w:tc>
          <w:tcPr>
            <w:tcW w:w="992" w:type="dxa"/>
            <w:vMerge w:val="continue"/>
            <w:tcBorders>
              <w:top w:val="nil"/>
              <w:left w:val="nil"/>
              <w:bottom w:val="single" w:color="auto" w:sz="4" w:space="0"/>
              <w:right w:val="single" w:color="000000" w:sz="4" w:space="0"/>
            </w:tcBorders>
            <w:tcMar>
              <w:top w:w="10" w:type="dxa"/>
              <w:left w:w="10" w:type="dxa"/>
              <w:right w:w="10" w:type="dxa"/>
            </w:tcMar>
            <w:vAlign w:val="center"/>
          </w:tcPr>
          <w:p w14:paraId="5C503FA2">
            <w:pPr>
              <w:rPr>
                <w:sz w:val="20"/>
                <w:szCs w:val="20"/>
              </w:rPr>
            </w:pPr>
          </w:p>
        </w:tc>
        <w:tc>
          <w:tcPr>
            <w:tcW w:w="141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61F6FF2E">
            <w:pPr>
              <w:widowControl/>
              <w:snapToGrid w:val="0"/>
              <w:spacing w:line="240" w:lineRule="atLeast"/>
              <w:ind w:left="165"/>
              <w:jc w:val="left"/>
              <w:textAlignment w:val="center"/>
              <w:rPr>
                <w:szCs w:val="21"/>
              </w:rPr>
            </w:pPr>
            <w:r>
              <w:rPr>
                <w:rFonts w:hint="eastAsia" w:ascii="宋体" w:hAnsi="宋体" w:cs="宋体"/>
                <w:kern w:val="0"/>
                <w:szCs w:val="21"/>
                <w:lang w:bidi="ar"/>
              </w:rPr>
              <w:t>绒毛</w:t>
            </w:r>
            <w:r>
              <w:rPr>
                <w:kern w:val="0"/>
                <w:szCs w:val="21"/>
                <w:lang w:bidi="ar"/>
              </w:rPr>
              <w:t>/</w:t>
            </w:r>
            <w:r>
              <w:rPr>
                <w:rFonts w:hint="eastAsia" w:ascii="宋体" w:hAnsi="宋体" w:cs="宋体"/>
                <w:kern w:val="0"/>
                <w:szCs w:val="21"/>
                <w:lang w:bidi="ar"/>
              </w:rPr>
              <w:t>羊水</w:t>
            </w:r>
            <w:r>
              <w:rPr>
                <w:kern w:val="0"/>
                <w:szCs w:val="21"/>
                <w:lang w:bidi="ar"/>
              </w:rPr>
              <w:t>/</w:t>
            </w:r>
            <w:r>
              <w:rPr>
                <w:rFonts w:hint="eastAsia" w:ascii="宋体" w:hAnsi="宋体" w:cs="宋体"/>
                <w:kern w:val="0"/>
                <w:szCs w:val="21"/>
                <w:lang w:bidi="ar"/>
              </w:rPr>
              <w:t>脐血基因组拷贝数变异测序（</w:t>
            </w:r>
            <w:r>
              <w:rPr>
                <w:color w:val="000000"/>
                <w:sz w:val="24"/>
                <w:lang w:bidi="ar"/>
              </w:rPr>
              <w:t>CNV-seq</w:t>
            </w:r>
            <w:r>
              <w:rPr>
                <w:rFonts w:hint="eastAsia" w:ascii="宋体" w:hAnsi="宋体" w:cs="宋体"/>
                <w:color w:val="000000"/>
                <w:sz w:val="24"/>
                <w:lang w:bidi="ar"/>
              </w:rPr>
              <w:t>）</w:t>
            </w:r>
          </w:p>
        </w:tc>
        <w:tc>
          <w:tcPr>
            <w:tcW w:w="2925" w:type="dxa"/>
            <w:vMerge w:val="continue"/>
            <w:tcBorders>
              <w:top w:val="nil"/>
              <w:left w:val="nil"/>
              <w:bottom w:val="single" w:color="000000" w:sz="4" w:space="0"/>
              <w:right w:val="single" w:color="000000" w:sz="4" w:space="0"/>
            </w:tcBorders>
            <w:tcMar>
              <w:top w:w="10" w:type="dxa"/>
              <w:left w:w="10" w:type="dxa"/>
              <w:right w:w="10" w:type="dxa"/>
            </w:tcMar>
            <w:vAlign w:val="center"/>
          </w:tcPr>
          <w:p w14:paraId="1F9ED615">
            <w:pPr>
              <w:rPr>
                <w:sz w:val="20"/>
                <w:szCs w:val="20"/>
              </w:rPr>
            </w:pPr>
          </w:p>
        </w:tc>
        <w:tc>
          <w:tcPr>
            <w:tcW w:w="945" w:type="dxa"/>
            <w:vMerge w:val="continue"/>
            <w:tcBorders>
              <w:top w:val="single" w:color="000000" w:sz="4" w:space="0"/>
              <w:left w:val="nil"/>
              <w:bottom w:val="single" w:color="000000" w:sz="4" w:space="0"/>
              <w:right w:val="single" w:color="000000" w:sz="4" w:space="0"/>
            </w:tcBorders>
            <w:tcMar>
              <w:top w:w="10" w:type="dxa"/>
              <w:left w:w="10" w:type="dxa"/>
              <w:right w:w="10" w:type="dxa"/>
            </w:tcMar>
            <w:vAlign w:val="center"/>
          </w:tcPr>
          <w:p w14:paraId="709E75C0">
            <w:pPr>
              <w:rPr>
                <w:sz w:val="20"/>
                <w:szCs w:val="20"/>
              </w:rPr>
            </w:pPr>
          </w:p>
        </w:tc>
        <w:tc>
          <w:tcPr>
            <w:tcW w:w="88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B0E78F5">
            <w:pPr>
              <w:widowControl/>
              <w:snapToGrid w:val="0"/>
              <w:spacing w:line="240" w:lineRule="atLeast"/>
              <w:ind w:left="165"/>
              <w:jc w:val="center"/>
              <w:textAlignment w:val="center"/>
              <w:rPr>
                <w:szCs w:val="21"/>
              </w:rPr>
            </w:pPr>
            <w:r>
              <w:rPr>
                <w:kern w:val="0"/>
                <w:szCs w:val="21"/>
                <w:lang w:bidi="ar"/>
              </w:rPr>
              <w:t>3111</w:t>
            </w:r>
          </w:p>
        </w:tc>
        <w:tc>
          <w:tcPr>
            <w:tcW w:w="124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DDF06DF">
            <w:pPr>
              <w:widowControl/>
              <w:snapToGrid w:val="0"/>
              <w:spacing w:line="240" w:lineRule="atLeast"/>
              <w:ind w:left="165"/>
              <w:jc w:val="center"/>
              <w:textAlignment w:val="center"/>
              <w:rPr>
                <w:szCs w:val="21"/>
              </w:rPr>
            </w:pPr>
            <w:r>
              <w:rPr>
                <w:kern w:val="0"/>
                <w:szCs w:val="21"/>
                <w:lang w:bidi="ar"/>
              </w:rPr>
              <w:t>1850</w:t>
            </w:r>
          </w:p>
        </w:tc>
        <w:tc>
          <w:tcPr>
            <w:tcW w:w="84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8916A28">
            <w:pPr>
              <w:widowControl/>
              <w:snapToGrid w:val="0"/>
              <w:spacing w:line="240" w:lineRule="atLeast"/>
              <w:ind w:left="165"/>
              <w:jc w:val="center"/>
              <w:textAlignment w:val="center"/>
              <w:rPr>
                <w:szCs w:val="21"/>
              </w:rPr>
            </w:pPr>
            <w:r>
              <w:rPr>
                <w:kern w:val="0"/>
                <w:szCs w:val="21"/>
                <w:lang w:bidi="ar"/>
              </w:rPr>
              <w:t>0.3%</w:t>
            </w:r>
          </w:p>
        </w:tc>
        <w:tc>
          <w:tcPr>
            <w:tcW w:w="8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AEEF2FD">
            <w:pPr>
              <w:widowControl/>
              <w:snapToGrid w:val="0"/>
              <w:spacing w:line="240" w:lineRule="atLeast"/>
              <w:ind w:left="165"/>
              <w:jc w:val="center"/>
              <w:textAlignment w:val="center"/>
              <w:rPr>
                <w:szCs w:val="21"/>
              </w:rPr>
            </w:pPr>
            <w:r>
              <w:rPr>
                <w:kern w:val="0"/>
                <w:szCs w:val="21"/>
                <w:lang w:bidi="ar"/>
              </w:rPr>
              <w:t>60%</w:t>
            </w:r>
          </w:p>
        </w:tc>
        <w:tc>
          <w:tcPr>
            <w:tcW w:w="11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50263B21">
            <w:pPr>
              <w:widowControl/>
              <w:snapToGrid w:val="0"/>
              <w:spacing w:line="240" w:lineRule="atLeast"/>
              <w:ind w:left="165"/>
              <w:jc w:val="center"/>
              <w:textAlignment w:val="center"/>
              <w:rPr>
                <w:szCs w:val="21"/>
              </w:rPr>
            </w:pPr>
            <w:r>
              <w:rPr>
                <w:szCs w:val="21"/>
                <w:lang w:bidi="ar"/>
              </w:rPr>
              <w:t>6</w:t>
            </w:r>
          </w:p>
        </w:tc>
        <w:tc>
          <w:tcPr>
            <w:tcW w:w="157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C6C62B1">
            <w:pPr>
              <w:widowControl/>
              <w:snapToGrid w:val="0"/>
              <w:spacing w:line="240" w:lineRule="atLeast"/>
              <w:ind w:left="165"/>
              <w:jc w:val="center"/>
              <w:textAlignment w:val="center"/>
              <w:rPr>
                <w:szCs w:val="21"/>
              </w:rPr>
            </w:pPr>
            <w:r>
              <w:rPr>
                <w:szCs w:val="21"/>
                <w:lang w:bidi="ar"/>
              </w:rPr>
              <w:t>3</w:t>
            </w:r>
          </w:p>
        </w:tc>
        <w:tc>
          <w:tcPr>
            <w:tcW w:w="2058"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50FFD98A">
            <w:pPr>
              <w:widowControl/>
              <w:snapToGrid w:val="0"/>
              <w:spacing w:line="240" w:lineRule="atLeast"/>
              <w:ind w:left="165"/>
              <w:jc w:val="center"/>
              <w:textAlignment w:val="center"/>
              <w:rPr>
                <w:szCs w:val="21"/>
              </w:rPr>
            </w:pPr>
            <w:r>
              <w:rPr>
                <w:szCs w:val="21"/>
                <w:lang w:bidi="ar"/>
              </w:rPr>
              <w:t>3</w:t>
            </w:r>
          </w:p>
        </w:tc>
      </w:tr>
      <w:tr w14:paraId="68DAC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continue"/>
            <w:tcBorders>
              <w:top w:val="nil"/>
              <w:left w:val="single" w:color="000000" w:sz="4" w:space="0"/>
              <w:bottom w:val="single" w:color="000000" w:sz="4" w:space="0"/>
              <w:right w:val="single" w:color="000000" w:sz="4" w:space="0"/>
            </w:tcBorders>
            <w:tcMar>
              <w:top w:w="10" w:type="dxa"/>
              <w:left w:w="10" w:type="dxa"/>
              <w:right w:w="10" w:type="dxa"/>
            </w:tcMar>
            <w:vAlign w:val="center"/>
          </w:tcPr>
          <w:p w14:paraId="64164C7E">
            <w:pPr>
              <w:rPr>
                <w:sz w:val="20"/>
                <w:szCs w:val="20"/>
              </w:rPr>
            </w:pPr>
          </w:p>
        </w:tc>
        <w:tc>
          <w:tcPr>
            <w:tcW w:w="992" w:type="dxa"/>
            <w:vMerge w:val="restart"/>
            <w:tcBorders>
              <w:top w:val="nil"/>
              <w:left w:val="nil"/>
              <w:bottom w:val="single" w:color="auto" w:sz="4" w:space="0"/>
              <w:right w:val="single" w:color="000000" w:sz="4" w:space="0"/>
            </w:tcBorders>
            <w:tcMar>
              <w:top w:w="10" w:type="dxa"/>
              <w:left w:w="10" w:type="dxa"/>
              <w:right w:w="10" w:type="dxa"/>
            </w:tcMar>
            <w:vAlign w:val="center"/>
          </w:tcPr>
          <w:p w14:paraId="2071A36E">
            <w:pPr>
              <w:widowControl/>
              <w:snapToGrid w:val="0"/>
              <w:spacing w:line="240" w:lineRule="atLeast"/>
              <w:ind w:left="165"/>
              <w:jc w:val="center"/>
              <w:textAlignment w:val="center"/>
              <w:rPr>
                <w:szCs w:val="21"/>
              </w:rPr>
            </w:pPr>
            <w:r>
              <w:rPr>
                <w:rFonts w:hint="eastAsia" w:ascii="宋体" w:hAnsi="宋体" w:cs="宋体"/>
                <w:kern w:val="0"/>
                <w:szCs w:val="21"/>
                <w:lang w:bidi="ar"/>
              </w:rPr>
              <w:t>超声诊断</w:t>
            </w:r>
          </w:p>
        </w:tc>
        <w:tc>
          <w:tcPr>
            <w:tcW w:w="141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3A4F809">
            <w:pPr>
              <w:widowControl/>
              <w:snapToGrid w:val="0"/>
              <w:spacing w:line="240" w:lineRule="atLeast"/>
              <w:ind w:left="165"/>
              <w:jc w:val="left"/>
              <w:textAlignment w:val="center"/>
              <w:rPr>
                <w:kern w:val="0"/>
                <w:szCs w:val="21"/>
              </w:rPr>
            </w:pPr>
            <w:r>
              <w:rPr>
                <w:kern w:val="0"/>
                <w:szCs w:val="21"/>
                <w:lang w:bidi="ar"/>
              </w:rPr>
              <w:t>III</w:t>
            </w:r>
            <w:r>
              <w:rPr>
                <w:rFonts w:hint="eastAsia" w:ascii="宋体" w:hAnsi="宋体" w:cs="宋体"/>
                <w:kern w:val="0"/>
                <w:szCs w:val="21"/>
                <w:lang w:bidi="ar"/>
              </w:rPr>
              <w:t>级产前超声检查</w:t>
            </w:r>
          </w:p>
        </w:tc>
        <w:tc>
          <w:tcPr>
            <w:tcW w:w="292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1BCABBE">
            <w:pPr>
              <w:widowControl/>
              <w:snapToGrid w:val="0"/>
              <w:spacing w:line="240" w:lineRule="atLeast"/>
              <w:ind w:left="165"/>
              <w:jc w:val="center"/>
              <w:textAlignment w:val="center"/>
              <w:rPr>
                <w:kern w:val="0"/>
                <w:szCs w:val="21"/>
              </w:rPr>
            </w:pPr>
            <w:r>
              <w:rPr>
                <w:rFonts w:hint="eastAsia" w:ascii="宋体" w:hAnsi="宋体" w:cs="宋体"/>
                <w:kern w:val="0"/>
                <w:szCs w:val="21"/>
                <w:lang w:bidi="ar"/>
              </w:rPr>
              <w:t>筛查阳性的孕妇（按初筛人群</w:t>
            </w:r>
            <w:r>
              <w:rPr>
                <w:kern w:val="0"/>
                <w:szCs w:val="21"/>
                <w:lang w:bidi="ar"/>
              </w:rPr>
              <w:t>1%</w:t>
            </w:r>
            <w:r>
              <w:rPr>
                <w:rFonts w:hint="eastAsia" w:ascii="宋体" w:hAnsi="宋体" w:cs="宋体"/>
                <w:kern w:val="0"/>
                <w:szCs w:val="21"/>
                <w:lang w:bidi="ar"/>
              </w:rPr>
              <w:t>计算）</w:t>
            </w:r>
          </w:p>
        </w:tc>
        <w:tc>
          <w:tcPr>
            <w:tcW w:w="945" w:type="dxa"/>
            <w:vMerge w:val="continue"/>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A03E9D8">
            <w:pPr>
              <w:rPr>
                <w:sz w:val="20"/>
                <w:szCs w:val="20"/>
              </w:rPr>
            </w:pPr>
          </w:p>
        </w:tc>
        <w:tc>
          <w:tcPr>
            <w:tcW w:w="88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54999FD">
            <w:pPr>
              <w:widowControl/>
              <w:snapToGrid w:val="0"/>
              <w:spacing w:line="240" w:lineRule="atLeast"/>
              <w:ind w:left="165"/>
              <w:jc w:val="center"/>
              <w:textAlignment w:val="center"/>
              <w:rPr>
                <w:szCs w:val="21"/>
              </w:rPr>
            </w:pPr>
            <w:r>
              <w:rPr>
                <w:kern w:val="0"/>
                <w:szCs w:val="21"/>
                <w:lang w:bidi="ar"/>
              </w:rPr>
              <w:t>390</w:t>
            </w:r>
          </w:p>
        </w:tc>
        <w:tc>
          <w:tcPr>
            <w:tcW w:w="124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7498744">
            <w:pPr>
              <w:widowControl/>
              <w:snapToGrid w:val="0"/>
              <w:spacing w:line="240" w:lineRule="atLeast"/>
              <w:ind w:left="165"/>
              <w:jc w:val="center"/>
              <w:textAlignment w:val="center"/>
              <w:rPr>
                <w:szCs w:val="21"/>
              </w:rPr>
            </w:pPr>
            <w:r>
              <w:rPr>
                <w:kern w:val="0"/>
                <w:szCs w:val="21"/>
                <w:lang w:bidi="ar"/>
              </w:rPr>
              <w:t xml:space="preserve">390.0 </w:t>
            </w:r>
          </w:p>
        </w:tc>
        <w:tc>
          <w:tcPr>
            <w:tcW w:w="84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6673E83B">
            <w:pPr>
              <w:widowControl/>
              <w:snapToGrid w:val="0"/>
              <w:spacing w:line="240" w:lineRule="atLeast"/>
              <w:ind w:left="165"/>
              <w:jc w:val="center"/>
              <w:textAlignment w:val="center"/>
              <w:rPr>
                <w:szCs w:val="21"/>
              </w:rPr>
            </w:pPr>
            <w:r>
              <w:rPr>
                <w:kern w:val="0"/>
                <w:szCs w:val="21"/>
                <w:lang w:bidi="ar"/>
              </w:rPr>
              <w:t>1.0%</w:t>
            </w:r>
          </w:p>
        </w:tc>
        <w:tc>
          <w:tcPr>
            <w:tcW w:w="8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77163EDB">
            <w:pPr>
              <w:widowControl/>
              <w:snapToGrid w:val="0"/>
              <w:spacing w:line="240" w:lineRule="atLeast"/>
              <w:ind w:left="165"/>
              <w:jc w:val="center"/>
              <w:textAlignment w:val="center"/>
              <w:rPr>
                <w:szCs w:val="21"/>
              </w:rPr>
            </w:pPr>
            <w:r>
              <w:rPr>
                <w:kern w:val="0"/>
                <w:szCs w:val="21"/>
                <w:lang w:bidi="ar"/>
              </w:rPr>
              <w:t>60%</w:t>
            </w:r>
          </w:p>
        </w:tc>
        <w:tc>
          <w:tcPr>
            <w:tcW w:w="11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01D630E">
            <w:pPr>
              <w:widowControl/>
              <w:snapToGrid w:val="0"/>
              <w:spacing w:line="240" w:lineRule="atLeast"/>
              <w:ind w:left="165"/>
              <w:jc w:val="center"/>
              <w:textAlignment w:val="center"/>
              <w:rPr>
                <w:szCs w:val="21"/>
              </w:rPr>
            </w:pPr>
            <w:r>
              <w:rPr>
                <w:kern w:val="0"/>
                <w:szCs w:val="21"/>
                <w:lang w:bidi="ar"/>
              </w:rPr>
              <w:t>4</w:t>
            </w:r>
          </w:p>
        </w:tc>
        <w:tc>
          <w:tcPr>
            <w:tcW w:w="157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8BF0149">
            <w:pPr>
              <w:widowControl/>
              <w:snapToGrid w:val="0"/>
              <w:spacing w:line="240" w:lineRule="atLeast"/>
              <w:ind w:left="165"/>
              <w:jc w:val="center"/>
              <w:textAlignment w:val="center"/>
              <w:rPr>
                <w:szCs w:val="21"/>
              </w:rPr>
            </w:pPr>
            <w:r>
              <w:rPr>
                <w:kern w:val="0"/>
                <w:szCs w:val="21"/>
                <w:lang w:bidi="ar"/>
              </w:rPr>
              <w:t>2</w:t>
            </w:r>
          </w:p>
        </w:tc>
        <w:tc>
          <w:tcPr>
            <w:tcW w:w="2058"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AED36BE">
            <w:pPr>
              <w:widowControl/>
              <w:snapToGrid w:val="0"/>
              <w:spacing w:line="240" w:lineRule="atLeast"/>
              <w:ind w:left="165"/>
              <w:jc w:val="center"/>
              <w:textAlignment w:val="center"/>
              <w:rPr>
                <w:szCs w:val="21"/>
              </w:rPr>
            </w:pPr>
            <w:r>
              <w:rPr>
                <w:kern w:val="0"/>
                <w:szCs w:val="21"/>
                <w:lang w:bidi="ar"/>
              </w:rPr>
              <w:t>2</w:t>
            </w:r>
          </w:p>
        </w:tc>
      </w:tr>
      <w:tr w14:paraId="1B229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continue"/>
            <w:tcBorders>
              <w:top w:val="nil"/>
              <w:left w:val="single" w:color="000000" w:sz="4" w:space="0"/>
              <w:bottom w:val="single" w:color="000000" w:sz="4" w:space="0"/>
              <w:right w:val="single" w:color="000000" w:sz="4" w:space="0"/>
            </w:tcBorders>
            <w:tcMar>
              <w:top w:w="10" w:type="dxa"/>
              <w:left w:w="10" w:type="dxa"/>
              <w:right w:w="10" w:type="dxa"/>
            </w:tcMar>
            <w:vAlign w:val="center"/>
          </w:tcPr>
          <w:p w14:paraId="51DCCBF7">
            <w:pPr>
              <w:rPr>
                <w:sz w:val="20"/>
                <w:szCs w:val="20"/>
              </w:rPr>
            </w:pPr>
          </w:p>
        </w:tc>
        <w:tc>
          <w:tcPr>
            <w:tcW w:w="992" w:type="dxa"/>
            <w:vMerge w:val="continue"/>
            <w:tcBorders>
              <w:top w:val="nil"/>
              <w:left w:val="nil"/>
              <w:bottom w:val="single" w:color="auto" w:sz="4" w:space="0"/>
              <w:right w:val="single" w:color="000000" w:sz="4" w:space="0"/>
            </w:tcBorders>
            <w:tcMar>
              <w:top w:w="10" w:type="dxa"/>
              <w:left w:w="10" w:type="dxa"/>
              <w:right w:w="10" w:type="dxa"/>
            </w:tcMar>
            <w:vAlign w:val="center"/>
          </w:tcPr>
          <w:p w14:paraId="0B91C24E">
            <w:pPr>
              <w:rPr>
                <w:sz w:val="20"/>
                <w:szCs w:val="20"/>
              </w:rPr>
            </w:pPr>
          </w:p>
        </w:tc>
        <w:tc>
          <w:tcPr>
            <w:tcW w:w="141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7DA1A857">
            <w:pPr>
              <w:widowControl/>
              <w:snapToGrid w:val="0"/>
              <w:spacing w:line="240" w:lineRule="atLeast"/>
              <w:ind w:left="165"/>
              <w:jc w:val="left"/>
              <w:textAlignment w:val="center"/>
              <w:rPr>
                <w:kern w:val="0"/>
                <w:szCs w:val="21"/>
              </w:rPr>
            </w:pPr>
            <w:r>
              <w:rPr>
                <w:rFonts w:hint="eastAsia" w:ascii="宋体" w:hAnsi="宋体" w:cs="宋体"/>
                <w:kern w:val="0"/>
                <w:szCs w:val="21"/>
                <w:lang w:bidi="ar"/>
              </w:rPr>
              <w:t>先天性心脏病的胎儿心脏彩超检查（胎儿超声心动图检查）</w:t>
            </w:r>
          </w:p>
        </w:tc>
        <w:tc>
          <w:tcPr>
            <w:tcW w:w="292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64BA8C4E">
            <w:pPr>
              <w:widowControl/>
              <w:snapToGrid w:val="0"/>
              <w:spacing w:line="240" w:lineRule="atLeast"/>
              <w:ind w:left="165"/>
              <w:jc w:val="center"/>
              <w:textAlignment w:val="center"/>
              <w:rPr>
                <w:kern w:val="0"/>
                <w:szCs w:val="21"/>
              </w:rPr>
            </w:pPr>
            <w:r>
              <w:rPr>
                <w:rFonts w:hint="eastAsia" w:ascii="宋体" w:hAnsi="宋体" w:cs="宋体"/>
                <w:kern w:val="0"/>
                <w:szCs w:val="21"/>
                <w:lang w:bidi="ar"/>
              </w:rPr>
              <w:t>筛查阳性的孕妇（按初筛人群</w:t>
            </w:r>
            <w:r>
              <w:rPr>
                <w:kern w:val="0"/>
                <w:szCs w:val="21"/>
                <w:lang w:bidi="ar"/>
              </w:rPr>
              <w:t>2‰</w:t>
            </w:r>
            <w:r>
              <w:rPr>
                <w:rFonts w:hint="eastAsia" w:ascii="宋体" w:hAnsi="宋体" w:cs="宋体"/>
                <w:kern w:val="0"/>
                <w:szCs w:val="21"/>
                <w:lang w:bidi="ar"/>
              </w:rPr>
              <w:t>计算）</w:t>
            </w:r>
          </w:p>
        </w:tc>
        <w:tc>
          <w:tcPr>
            <w:tcW w:w="945" w:type="dxa"/>
            <w:vMerge w:val="continue"/>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7426C1B">
            <w:pPr>
              <w:rPr>
                <w:sz w:val="20"/>
                <w:szCs w:val="20"/>
              </w:rPr>
            </w:pPr>
          </w:p>
        </w:tc>
        <w:tc>
          <w:tcPr>
            <w:tcW w:w="88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7DFADD6F">
            <w:pPr>
              <w:widowControl/>
              <w:snapToGrid w:val="0"/>
              <w:spacing w:line="240" w:lineRule="atLeast"/>
              <w:ind w:left="165"/>
              <w:jc w:val="center"/>
              <w:textAlignment w:val="center"/>
              <w:rPr>
                <w:szCs w:val="21"/>
              </w:rPr>
            </w:pPr>
            <w:r>
              <w:rPr>
                <w:kern w:val="0"/>
                <w:szCs w:val="21"/>
                <w:lang w:bidi="ar"/>
              </w:rPr>
              <w:t>360</w:t>
            </w:r>
          </w:p>
        </w:tc>
        <w:tc>
          <w:tcPr>
            <w:tcW w:w="124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6FDE0642">
            <w:pPr>
              <w:widowControl/>
              <w:snapToGrid w:val="0"/>
              <w:spacing w:line="240" w:lineRule="atLeast"/>
              <w:ind w:left="165"/>
              <w:jc w:val="center"/>
              <w:textAlignment w:val="center"/>
              <w:rPr>
                <w:szCs w:val="21"/>
              </w:rPr>
            </w:pPr>
            <w:r>
              <w:rPr>
                <w:kern w:val="0"/>
                <w:szCs w:val="21"/>
                <w:lang w:bidi="ar"/>
              </w:rPr>
              <w:t xml:space="preserve">360.0 </w:t>
            </w:r>
          </w:p>
        </w:tc>
        <w:tc>
          <w:tcPr>
            <w:tcW w:w="84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47BB9F4">
            <w:pPr>
              <w:widowControl/>
              <w:snapToGrid w:val="0"/>
              <w:spacing w:line="240" w:lineRule="atLeast"/>
              <w:ind w:left="165"/>
              <w:jc w:val="center"/>
              <w:textAlignment w:val="center"/>
              <w:rPr>
                <w:szCs w:val="21"/>
              </w:rPr>
            </w:pPr>
            <w:r>
              <w:rPr>
                <w:kern w:val="0"/>
                <w:szCs w:val="21"/>
                <w:lang w:bidi="ar"/>
              </w:rPr>
              <w:t>0.2%</w:t>
            </w:r>
          </w:p>
        </w:tc>
        <w:tc>
          <w:tcPr>
            <w:tcW w:w="8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3F59557B">
            <w:pPr>
              <w:widowControl/>
              <w:snapToGrid w:val="0"/>
              <w:spacing w:line="240" w:lineRule="atLeast"/>
              <w:ind w:left="165"/>
              <w:jc w:val="center"/>
              <w:textAlignment w:val="center"/>
              <w:rPr>
                <w:szCs w:val="21"/>
              </w:rPr>
            </w:pPr>
            <w:r>
              <w:rPr>
                <w:kern w:val="0"/>
                <w:szCs w:val="21"/>
                <w:lang w:bidi="ar"/>
              </w:rPr>
              <w:t>60%</w:t>
            </w:r>
          </w:p>
        </w:tc>
        <w:tc>
          <w:tcPr>
            <w:tcW w:w="11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7D4AE8B1">
            <w:pPr>
              <w:widowControl/>
              <w:snapToGrid w:val="0"/>
              <w:spacing w:line="240" w:lineRule="atLeast"/>
              <w:ind w:left="165"/>
              <w:jc w:val="center"/>
              <w:textAlignment w:val="center"/>
              <w:rPr>
                <w:szCs w:val="21"/>
              </w:rPr>
            </w:pPr>
            <w:r>
              <w:rPr>
                <w:kern w:val="0"/>
                <w:szCs w:val="21"/>
                <w:lang w:bidi="ar"/>
              </w:rPr>
              <w:t>1</w:t>
            </w:r>
          </w:p>
        </w:tc>
        <w:tc>
          <w:tcPr>
            <w:tcW w:w="157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762A8DE">
            <w:pPr>
              <w:widowControl/>
              <w:snapToGrid w:val="0"/>
              <w:spacing w:line="240" w:lineRule="atLeast"/>
              <w:ind w:left="165"/>
              <w:jc w:val="center"/>
              <w:textAlignment w:val="center"/>
              <w:rPr>
                <w:szCs w:val="21"/>
              </w:rPr>
            </w:pPr>
            <w:r>
              <w:rPr>
                <w:kern w:val="0"/>
                <w:szCs w:val="21"/>
                <w:lang w:bidi="ar"/>
              </w:rPr>
              <w:t>1</w:t>
            </w:r>
          </w:p>
        </w:tc>
        <w:tc>
          <w:tcPr>
            <w:tcW w:w="2058"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4CEDD21">
            <w:pPr>
              <w:widowControl/>
              <w:snapToGrid w:val="0"/>
              <w:spacing w:line="240" w:lineRule="atLeast"/>
              <w:ind w:left="165"/>
              <w:jc w:val="center"/>
              <w:textAlignment w:val="center"/>
              <w:rPr>
                <w:szCs w:val="21"/>
              </w:rPr>
            </w:pPr>
            <w:r>
              <w:rPr>
                <w:kern w:val="0"/>
                <w:szCs w:val="21"/>
                <w:lang w:bidi="ar"/>
              </w:rPr>
              <w:t>0</w:t>
            </w:r>
          </w:p>
        </w:tc>
      </w:tr>
      <w:tr w14:paraId="4E44A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430" w:type="dxa"/>
            <w:gridSpan w:val="5"/>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9F24B10">
            <w:pPr>
              <w:widowControl/>
              <w:snapToGrid w:val="0"/>
              <w:spacing w:line="240" w:lineRule="atLeast"/>
              <w:ind w:left="165"/>
              <w:jc w:val="center"/>
              <w:textAlignment w:val="center"/>
              <w:rPr>
                <w:b/>
                <w:szCs w:val="21"/>
              </w:rPr>
            </w:pPr>
            <w:r>
              <w:rPr>
                <w:rFonts w:hint="eastAsia" w:ascii="宋体" w:hAnsi="宋体" w:cs="宋体"/>
                <w:b/>
                <w:kern w:val="0"/>
                <w:szCs w:val="21"/>
                <w:lang w:bidi="ar"/>
              </w:rPr>
              <w:t>二、新生儿疾病筛查</w:t>
            </w:r>
          </w:p>
        </w:tc>
        <w:tc>
          <w:tcPr>
            <w:tcW w:w="88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57826B6">
            <w:pPr>
              <w:widowControl/>
              <w:snapToGrid w:val="0"/>
              <w:spacing w:line="240" w:lineRule="atLeast"/>
              <w:ind w:left="165"/>
              <w:rPr>
                <w:b/>
                <w:szCs w:val="21"/>
              </w:rPr>
            </w:pPr>
          </w:p>
        </w:tc>
        <w:tc>
          <w:tcPr>
            <w:tcW w:w="124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3CE1500C">
            <w:pPr>
              <w:widowControl/>
              <w:snapToGrid w:val="0"/>
              <w:spacing w:line="240" w:lineRule="atLeast"/>
              <w:ind w:left="165"/>
              <w:rPr>
                <w:b/>
                <w:szCs w:val="21"/>
              </w:rPr>
            </w:pPr>
          </w:p>
        </w:tc>
        <w:tc>
          <w:tcPr>
            <w:tcW w:w="84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BDA60A5">
            <w:pPr>
              <w:widowControl/>
              <w:snapToGrid w:val="0"/>
              <w:spacing w:line="240" w:lineRule="atLeast"/>
              <w:ind w:left="165"/>
              <w:jc w:val="center"/>
              <w:rPr>
                <w:b/>
                <w:szCs w:val="21"/>
              </w:rPr>
            </w:pPr>
          </w:p>
        </w:tc>
        <w:tc>
          <w:tcPr>
            <w:tcW w:w="8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5392FE89">
            <w:pPr>
              <w:widowControl/>
              <w:snapToGrid w:val="0"/>
              <w:spacing w:line="240" w:lineRule="atLeast"/>
              <w:ind w:left="165"/>
              <w:jc w:val="center"/>
              <w:rPr>
                <w:szCs w:val="21"/>
              </w:rPr>
            </w:pPr>
          </w:p>
        </w:tc>
        <w:tc>
          <w:tcPr>
            <w:tcW w:w="11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35FDACBF">
            <w:pPr>
              <w:widowControl/>
              <w:snapToGrid w:val="0"/>
              <w:spacing w:line="240" w:lineRule="atLeast"/>
              <w:ind w:left="165"/>
              <w:jc w:val="center"/>
              <w:textAlignment w:val="center"/>
              <w:rPr>
                <w:b/>
                <w:szCs w:val="21"/>
              </w:rPr>
            </w:pPr>
            <w:r>
              <w:rPr>
                <w:b/>
                <w:kern w:val="0"/>
                <w:szCs w:val="21"/>
                <w:lang w:bidi="ar"/>
              </w:rPr>
              <w:t>214</w:t>
            </w:r>
          </w:p>
        </w:tc>
        <w:tc>
          <w:tcPr>
            <w:tcW w:w="157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883C45B">
            <w:pPr>
              <w:widowControl/>
              <w:snapToGrid w:val="0"/>
              <w:spacing w:line="240" w:lineRule="atLeast"/>
              <w:ind w:left="165"/>
              <w:jc w:val="center"/>
              <w:textAlignment w:val="center"/>
              <w:rPr>
                <w:b/>
                <w:szCs w:val="21"/>
              </w:rPr>
            </w:pPr>
            <w:r>
              <w:rPr>
                <w:b/>
                <w:kern w:val="0"/>
                <w:szCs w:val="21"/>
                <w:lang w:bidi="ar"/>
              </w:rPr>
              <w:t>130</w:t>
            </w:r>
          </w:p>
        </w:tc>
        <w:tc>
          <w:tcPr>
            <w:tcW w:w="2058"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04EDB2F">
            <w:pPr>
              <w:widowControl/>
              <w:snapToGrid w:val="0"/>
              <w:spacing w:line="240" w:lineRule="atLeast"/>
              <w:ind w:left="165"/>
              <w:jc w:val="center"/>
              <w:textAlignment w:val="center"/>
              <w:rPr>
                <w:b/>
                <w:szCs w:val="21"/>
              </w:rPr>
            </w:pPr>
            <w:r>
              <w:rPr>
                <w:b/>
                <w:kern w:val="0"/>
                <w:szCs w:val="21"/>
                <w:lang w:bidi="ar"/>
              </w:rPr>
              <w:t>84</w:t>
            </w:r>
          </w:p>
        </w:tc>
      </w:tr>
      <w:tr w14:paraId="6B19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restart"/>
            <w:tcBorders>
              <w:top w:val="nil"/>
              <w:left w:val="single" w:color="000000" w:sz="4" w:space="0"/>
              <w:bottom w:val="single" w:color="000000" w:sz="4" w:space="0"/>
              <w:right w:val="single" w:color="000000" w:sz="4" w:space="0"/>
            </w:tcBorders>
            <w:tcMar>
              <w:top w:w="10" w:type="dxa"/>
              <w:left w:w="10" w:type="dxa"/>
              <w:right w:w="10" w:type="dxa"/>
            </w:tcMar>
            <w:vAlign w:val="center"/>
          </w:tcPr>
          <w:p w14:paraId="6BBCF922">
            <w:pPr>
              <w:widowControl/>
              <w:snapToGrid w:val="0"/>
              <w:spacing w:line="240" w:lineRule="atLeast"/>
              <w:ind w:left="165"/>
              <w:jc w:val="left"/>
              <w:textAlignment w:val="center"/>
              <w:rPr>
                <w:szCs w:val="21"/>
              </w:rPr>
            </w:pPr>
            <w:r>
              <w:rPr>
                <w:kern w:val="0"/>
                <w:szCs w:val="21"/>
                <w:lang w:bidi="ar"/>
              </w:rPr>
              <w:t>1</w:t>
            </w:r>
            <w:r>
              <w:rPr>
                <w:rFonts w:hint="eastAsia" w:ascii="宋体" w:hAnsi="宋体" w:cs="宋体"/>
                <w:kern w:val="0"/>
                <w:szCs w:val="21"/>
                <w:lang w:bidi="ar"/>
              </w:rPr>
              <w:t>、先天性甲状腺功能减低症</w:t>
            </w:r>
          </w:p>
        </w:tc>
        <w:tc>
          <w:tcPr>
            <w:tcW w:w="992"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9FFA590">
            <w:pPr>
              <w:widowControl/>
              <w:snapToGrid w:val="0"/>
              <w:spacing w:line="240" w:lineRule="atLeast"/>
              <w:ind w:left="165"/>
              <w:jc w:val="center"/>
              <w:textAlignment w:val="center"/>
              <w:rPr>
                <w:szCs w:val="21"/>
              </w:rPr>
            </w:pPr>
            <w:r>
              <w:rPr>
                <w:rFonts w:hint="eastAsia" w:ascii="宋体" w:hAnsi="宋体" w:cs="宋体"/>
                <w:kern w:val="0"/>
                <w:szCs w:val="21"/>
                <w:lang w:bidi="ar"/>
              </w:rPr>
              <w:t>初筛</w:t>
            </w:r>
          </w:p>
        </w:tc>
        <w:tc>
          <w:tcPr>
            <w:tcW w:w="141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922C2A5">
            <w:pPr>
              <w:widowControl/>
              <w:snapToGrid w:val="0"/>
              <w:spacing w:line="240" w:lineRule="atLeast"/>
              <w:ind w:left="165"/>
              <w:jc w:val="center"/>
              <w:textAlignment w:val="center"/>
              <w:rPr>
                <w:szCs w:val="21"/>
              </w:rPr>
            </w:pPr>
            <w:r>
              <w:rPr>
                <w:rFonts w:hint="eastAsia" w:ascii="宋体" w:hAnsi="宋体" w:cs="宋体"/>
                <w:kern w:val="0"/>
                <w:szCs w:val="21"/>
                <w:lang w:bidi="ar"/>
              </w:rPr>
              <w:t>血清促甲状腺激素测定</w:t>
            </w:r>
          </w:p>
        </w:tc>
        <w:tc>
          <w:tcPr>
            <w:tcW w:w="292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73B9E654">
            <w:pPr>
              <w:widowControl/>
              <w:snapToGrid w:val="0"/>
              <w:spacing w:line="240" w:lineRule="atLeast"/>
              <w:ind w:left="165"/>
              <w:jc w:val="center"/>
              <w:textAlignment w:val="center"/>
              <w:rPr>
                <w:szCs w:val="21"/>
              </w:rPr>
            </w:pPr>
            <w:r>
              <w:rPr>
                <w:rFonts w:hint="eastAsia" w:ascii="宋体" w:hAnsi="宋体" w:cs="宋体"/>
                <w:kern w:val="0"/>
                <w:szCs w:val="21"/>
                <w:lang w:bidi="ar"/>
              </w:rPr>
              <w:t>初筛为所有新生儿</w:t>
            </w:r>
          </w:p>
        </w:tc>
        <w:tc>
          <w:tcPr>
            <w:tcW w:w="945" w:type="dxa"/>
            <w:vMerge w:val="restart"/>
            <w:tcBorders>
              <w:top w:val="nil"/>
              <w:left w:val="nil"/>
              <w:bottom w:val="single" w:color="auto" w:sz="4" w:space="0"/>
              <w:right w:val="single" w:color="000000" w:sz="4" w:space="0"/>
            </w:tcBorders>
            <w:tcMar>
              <w:top w:w="10" w:type="dxa"/>
              <w:left w:w="10" w:type="dxa"/>
              <w:right w:w="10" w:type="dxa"/>
            </w:tcMar>
            <w:vAlign w:val="center"/>
          </w:tcPr>
          <w:p w14:paraId="1B67F284">
            <w:pPr>
              <w:widowControl/>
              <w:snapToGrid w:val="0"/>
              <w:spacing w:line="240" w:lineRule="atLeast"/>
              <w:ind w:left="165"/>
              <w:jc w:val="center"/>
              <w:textAlignment w:val="center"/>
              <w:rPr>
                <w:szCs w:val="21"/>
              </w:rPr>
            </w:pPr>
            <w:r>
              <w:rPr>
                <w:rFonts w:hint="eastAsia" w:ascii="宋体" w:hAnsi="宋体" w:cs="宋体"/>
                <w:kern w:val="0"/>
                <w:szCs w:val="21"/>
                <w:lang w:bidi="ar"/>
              </w:rPr>
              <w:t>市新生儿遗传代谢病筛查中心</w:t>
            </w:r>
          </w:p>
        </w:tc>
        <w:tc>
          <w:tcPr>
            <w:tcW w:w="88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6DCCBDCA">
            <w:pPr>
              <w:widowControl/>
              <w:snapToGrid w:val="0"/>
              <w:spacing w:line="240" w:lineRule="atLeast"/>
              <w:ind w:left="165"/>
              <w:jc w:val="center"/>
              <w:textAlignment w:val="center"/>
              <w:rPr>
                <w:szCs w:val="21"/>
              </w:rPr>
            </w:pPr>
            <w:r>
              <w:rPr>
                <w:kern w:val="0"/>
                <w:szCs w:val="21"/>
                <w:lang w:bidi="ar"/>
              </w:rPr>
              <w:t xml:space="preserve">33.1 </w:t>
            </w:r>
          </w:p>
        </w:tc>
        <w:tc>
          <w:tcPr>
            <w:tcW w:w="124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8F7DE75">
            <w:pPr>
              <w:widowControl/>
              <w:snapToGrid w:val="0"/>
              <w:spacing w:line="240" w:lineRule="atLeast"/>
              <w:ind w:left="165"/>
              <w:jc w:val="center"/>
              <w:textAlignment w:val="center"/>
              <w:rPr>
                <w:szCs w:val="21"/>
              </w:rPr>
            </w:pPr>
            <w:r>
              <w:rPr>
                <w:kern w:val="0"/>
                <w:szCs w:val="21"/>
                <w:lang w:bidi="ar"/>
              </w:rPr>
              <w:t xml:space="preserve">29.8 </w:t>
            </w:r>
          </w:p>
        </w:tc>
        <w:tc>
          <w:tcPr>
            <w:tcW w:w="84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56DC0D77">
            <w:pPr>
              <w:widowControl/>
              <w:snapToGrid w:val="0"/>
              <w:spacing w:line="240" w:lineRule="atLeast"/>
              <w:ind w:left="165"/>
              <w:jc w:val="center"/>
              <w:textAlignment w:val="center"/>
              <w:rPr>
                <w:szCs w:val="21"/>
              </w:rPr>
            </w:pPr>
            <w:r>
              <w:rPr>
                <w:kern w:val="0"/>
                <w:szCs w:val="21"/>
                <w:lang w:bidi="ar"/>
              </w:rPr>
              <w:t>100%</w:t>
            </w:r>
          </w:p>
        </w:tc>
        <w:tc>
          <w:tcPr>
            <w:tcW w:w="8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EF4630C">
            <w:pPr>
              <w:widowControl/>
              <w:snapToGrid w:val="0"/>
              <w:spacing w:line="240" w:lineRule="atLeast"/>
              <w:ind w:left="165"/>
              <w:jc w:val="center"/>
              <w:textAlignment w:val="center"/>
              <w:rPr>
                <w:szCs w:val="21"/>
              </w:rPr>
            </w:pPr>
            <w:r>
              <w:rPr>
                <w:kern w:val="0"/>
                <w:szCs w:val="21"/>
                <w:lang w:bidi="ar"/>
              </w:rPr>
              <w:t>60%</w:t>
            </w:r>
          </w:p>
        </w:tc>
        <w:tc>
          <w:tcPr>
            <w:tcW w:w="11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58CDE62A">
            <w:pPr>
              <w:widowControl/>
              <w:snapToGrid w:val="0"/>
              <w:spacing w:line="240" w:lineRule="atLeast"/>
              <w:ind w:left="165"/>
              <w:jc w:val="center"/>
              <w:textAlignment w:val="center"/>
              <w:rPr>
                <w:szCs w:val="21"/>
              </w:rPr>
            </w:pPr>
            <w:r>
              <w:rPr>
                <w:kern w:val="0"/>
                <w:szCs w:val="21"/>
                <w:lang w:bidi="ar"/>
              </w:rPr>
              <w:t>30</w:t>
            </w:r>
          </w:p>
        </w:tc>
        <w:tc>
          <w:tcPr>
            <w:tcW w:w="157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B8A62AF">
            <w:pPr>
              <w:widowControl/>
              <w:snapToGrid w:val="0"/>
              <w:spacing w:line="240" w:lineRule="atLeast"/>
              <w:ind w:left="165"/>
              <w:jc w:val="center"/>
              <w:textAlignment w:val="center"/>
              <w:rPr>
                <w:szCs w:val="21"/>
              </w:rPr>
            </w:pPr>
            <w:r>
              <w:rPr>
                <w:kern w:val="0"/>
                <w:szCs w:val="21"/>
                <w:lang w:bidi="ar"/>
              </w:rPr>
              <w:t>19</w:t>
            </w:r>
          </w:p>
        </w:tc>
        <w:tc>
          <w:tcPr>
            <w:tcW w:w="2058"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710AD79B">
            <w:pPr>
              <w:widowControl/>
              <w:snapToGrid w:val="0"/>
              <w:spacing w:line="240" w:lineRule="atLeast"/>
              <w:ind w:left="165"/>
              <w:jc w:val="center"/>
              <w:textAlignment w:val="center"/>
              <w:rPr>
                <w:szCs w:val="21"/>
              </w:rPr>
            </w:pPr>
            <w:r>
              <w:rPr>
                <w:kern w:val="0"/>
                <w:szCs w:val="21"/>
                <w:lang w:bidi="ar"/>
              </w:rPr>
              <w:t>11</w:t>
            </w:r>
          </w:p>
        </w:tc>
      </w:tr>
      <w:tr w14:paraId="47D3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continue"/>
            <w:tcBorders>
              <w:top w:val="nil"/>
              <w:left w:val="single" w:color="000000" w:sz="4" w:space="0"/>
              <w:bottom w:val="single" w:color="000000" w:sz="4" w:space="0"/>
              <w:right w:val="single" w:color="000000" w:sz="4" w:space="0"/>
            </w:tcBorders>
            <w:tcMar>
              <w:top w:w="10" w:type="dxa"/>
              <w:left w:w="10" w:type="dxa"/>
              <w:right w:w="10" w:type="dxa"/>
            </w:tcMar>
            <w:vAlign w:val="center"/>
          </w:tcPr>
          <w:p w14:paraId="17605AB9">
            <w:pPr>
              <w:rPr>
                <w:sz w:val="20"/>
                <w:szCs w:val="20"/>
              </w:rPr>
            </w:pPr>
          </w:p>
        </w:tc>
        <w:tc>
          <w:tcPr>
            <w:tcW w:w="992"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28B9E7C">
            <w:pPr>
              <w:widowControl/>
              <w:snapToGrid w:val="0"/>
              <w:spacing w:line="240" w:lineRule="atLeast"/>
              <w:ind w:left="165"/>
              <w:jc w:val="center"/>
              <w:textAlignment w:val="center"/>
              <w:rPr>
                <w:szCs w:val="21"/>
              </w:rPr>
            </w:pPr>
            <w:r>
              <w:rPr>
                <w:rFonts w:hint="eastAsia" w:ascii="宋体" w:hAnsi="宋体" w:cs="宋体"/>
                <w:kern w:val="0"/>
                <w:szCs w:val="21"/>
                <w:lang w:bidi="ar"/>
              </w:rPr>
              <w:t>复筛</w:t>
            </w:r>
          </w:p>
        </w:tc>
        <w:tc>
          <w:tcPr>
            <w:tcW w:w="141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3380E17A">
            <w:pPr>
              <w:widowControl/>
              <w:snapToGrid w:val="0"/>
              <w:spacing w:line="240" w:lineRule="atLeast"/>
              <w:ind w:left="165"/>
              <w:jc w:val="center"/>
              <w:textAlignment w:val="center"/>
              <w:rPr>
                <w:kern w:val="0"/>
                <w:szCs w:val="21"/>
              </w:rPr>
            </w:pPr>
            <w:r>
              <w:rPr>
                <w:rFonts w:hint="eastAsia" w:ascii="宋体" w:hAnsi="宋体" w:cs="宋体"/>
                <w:kern w:val="0"/>
                <w:szCs w:val="21"/>
                <w:lang w:bidi="ar"/>
              </w:rPr>
              <w:t>甲状腺功能三项（</w:t>
            </w:r>
            <w:r>
              <w:rPr>
                <w:kern w:val="0"/>
                <w:szCs w:val="21"/>
                <w:lang w:bidi="ar"/>
              </w:rPr>
              <w:t>TSH,FT3,FT4,</w:t>
            </w:r>
            <w:r>
              <w:rPr>
                <w:rFonts w:hint="eastAsia" w:ascii="宋体" w:hAnsi="宋体" w:cs="宋体"/>
                <w:kern w:val="0"/>
                <w:szCs w:val="21"/>
                <w:lang w:bidi="ar"/>
              </w:rPr>
              <w:t>）</w:t>
            </w:r>
          </w:p>
        </w:tc>
        <w:tc>
          <w:tcPr>
            <w:tcW w:w="292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EEF1606">
            <w:pPr>
              <w:widowControl/>
              <w:snapToGrid w:val="0"/>
              <w:spacing w:line="240" w:lineRule="atLeast"/>
              <w:ind w:left="165"/>
              <w:jc w:val="center"/>
              <w:textAlignment w:val="center"/>
              <w:rPr>
                <w:szCs w:val="21"/>
              </w:rPr>
            </w:pPr>
            <w:r>
              <w:rPr>
                <w:rFonts w:hint="eastAsia" w:ascii="宋体" w:hAnsi="宋体" w:cs="宋体"/>
                <w:kern w:val="0"/>
                <w:szCs w:val="21"/>
                <w:lang w:bidi="ar"/>
              </w:rPr>
              <w:t>筛查阳性的新生儿（按初筛人群</w:t>
            </w:r>
            <w:r>
              <w:rPr>
                <w:kern w:val="0"/>
                <w:szCs w:val="21"/>
                <w:lang w:bidi="ar"/>
              </w:rPr>
              <w:t>2</w:t>
            </w:r>
            <w:r>
              <w:rPr>
                <w:rFonts w:hint="eastAsia" w:ascii="宋体" w:hAnsi="宋体" w:cs="宋体"/>
                <w:kern w:val="0"/>
                <w:szCs w:val="21"/>
                <w:lang w:bidi="ar"/>
              </w:rPr>
              <w:t>％计算）（甲低）</w:t>
            </w:r>
          </w:p>
        </w:tc>
        <w:tc>
          <w:tcPr>
            <w:tcW w:w="945" w:type="dxa"/>
            <w:vMerge w:val="continue"/>
            <w:tcBorders>
              <w:top w:val="nil"/>
              <w:left w:val="nil"/>
              <w:bottom w:val="single" w:color="auto" w:sz="4" w:space="0"/>
              <w:right w:val="single" w:color="000000" w:sz="4" w:space="0"/>
            </w:tcBorders>
            <w:tcMar>
              <w:top w:w="10" w:type="dxa"/>
              <w:left w:w="10" w:type="dxa"/>
              <w:right w:w="10" w:type="dxa"/>
            </w:tcMar>
            <w:vAlign w:val="center"/>
          </w:tcPr>
          <w:p w14:paraId="707247CE">
            <w:pPr>
              <w:rPr>
                <w:sz w:val="20"/>
                <w:szCs w:val="20"/>
              </w:rPr>
            </w:pPr>
          </w:p>
        </w:tc>
        <w:tc>
          <w:tcPr>
            <w:tcW w:w="88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3A889C3">
            <w:pPr>
              <w:widowControl/>
              <w:snapToGrid w:val="0"/>
              <w:spacing w:line="240" w:lineRule="atLeast"/>
              <w:ind w:left="165"/>
              <w:jc w:val="center"/>
              <w:textAlignment w:val="center"/>
              <w:rPr>
                <w:szCs w:val="21"/>
              </w:rPr>
            </w:pPr>
            <w:r>
              <w:rPr>
                <w:kern w:val="0"/>
                <w:szCs w:val="21"/>
                <w:lang w:bidi="ar"/>
              </w:rPr>
              <w:t xml:space="preserve">127.5 </w:t>
            </w:r>
          </w:p>
        </w:tc>
        <w:tc>
          <w:tcPr>
            <w:tcW w:w="124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7E063EAC">
            <w:pPr>
              <w:widowControl/>
              <w:snapToGrid w:val="0"/>
              <w:spacing w:line="240" w:lineRule="atLeast"/>
              <w:ind w:left="165"/>
              <w:jc w:val="center"/>
              <w:textAlignment w:val="center"/>
              <w:rPr>
                <w:szCs w:val="21"/>
              </w:rPr>
            </w:pPr>
            <w:r>
              <w:rPr>
                <w:kern w:val="0"/>
                <w:szCs w:val="21"/>
                <w:lang w:bidi="ar"/>
              </w:rPr>
              <w:t xml:space="preserve">114.8 </w:t>
            </w:r>
          </w:p>
        </w:tc>
        <w:tc>
          <w:tcPr>
            <w:tcW w:w="84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65BD314C">
            <w:pPr>
              <w:widowControl/>
              <w:snapToGrid w:val="0"/>
              <w:spacing w:line="240" w:lineRule="atLeast"/>
              <w:ind w:left="165"/>
              <w:jc w:val="center"/>
              <w:textAlignment w:val="center"/>
              <w:rPr>
                <w:szCs w:val="21"/>
              </w:rPr>
            </w:pPr>
            <w:r>
              <w:rPr>
                <w:kern w:val="0"/>
                <w:szCs w:val="21"/>
                <w:lang w:bidi="ar"/>
              </w:rPr>
              <w:t>2%</w:t>
            </w:r>
          </w:p>
        </w:tc>
        <w:tc>
          <w:tcPr>
            <w:tcW w:w="8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E44AA86">
            <w:pPr>
              <w:widowControl/>
              <w:snapToGrid w:val="0"/>
              <w:spacing w:line="240" w:lineRule="atLeast"/>
              <w:ind w:left="165"/>
              <w:jc w:val="center"/>
              <w:textAlignment w:val="center"/>
              <w:rPr>
                <w:szCs w:val="21"/>
              </w:rPr>
            </w:pPr>
            <w:r>
              <w:rPr>
                <w:kern w:val="0"/>
                <w:szCs w:val="21"/>
                <w:lang w:bidi="ar"/>
              </w:rPr>
              <w:t>60%</w:t>
            </w:r>
          </w:p>
        </w:tc>
        <w:tc>
          <w:tcPr>
            <w:tcW w:w="11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70926CEB">
            <w:pPr>
              <w:widowControl/>
              <w:snapToGrid w:val="0"/>
              <w:spacing w:line="240" w:lineRule="atLeast"/>
              <w:ind w:left="165"/>
              <w:jc w:val="center"/>
              <w:textAlignment w:val="center"/>
              <w:rPr>
                <w:szCs w:val="21"/>
              </w:rPr>
            </w:pPr>
            <w:r>
              <w:rPr>
                <w:kern w:val="0"/>
                <w:szCs w:val="21"/>
                <w:lang w:bidi="ar"/>
              </w:rPr>
              <w:t>2</w:t>
            </w:r>
          </w:p>
        </w:tc>
        <w:tc>
          <w:tcPr>
            <w:tcW w:w="157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5DB13161">
            <w:pPr>
              <w:widowControl/>
              <w:snapToGrid w:val="0"/>
              <w:spacing w:line="240" w:lineRule="atLeast"/>
              <w:ind w:left="165"/>
              <w:jc w:val="center"/>
              <w:textAlignment w:val="center"/>
              <w:rPr>
                <w:szCs w:val="21"/>
              </w:rPr>
            </w:pPr>
            <w:r>
              <w:rPr>
                <w:kern w:val="0"/>
                <w:szCs w:val="21"/>
                <w:lang w:bidi="ar"/>
              </w:rPr>
              <w:t>1</w:t>
            </w:r>
          </w:p>
        </w:tc>
        <w:tc>
          <w:tcPr>
            <w:tcW w:w="2058"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7BBD8059">
            <w:pPr>
              <w:widowControl/>
              <w:snapToGrid w:val="0"/>
              <w:spacing w:line="240" w:lineRule="atLeast"/>
              <w:ind w:left="165"/>
              <w:jc w:val="center"/>
              <w:textAlignment w:val="center"/>
              <w:rPr>
                <w:szCs w:val="21"/>
              </w:rPr>
            </w:pPr>
            <w:r>
              <w:rPr>
                <w:kern w:val="0"/>
                <w:szCs w:val="21"/>
                <w:lang w:bidi="ar"/>
              </w:rPr>
              <w:t>1</w:t>
            </w:r>
          </w:p>
        </w:tc>
      </w:tr>
      <w:tr w14:paraId="0605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restart"/>
            <w:tcBorders>
              <w:top w:val="nil"/>
              <w:left w:val="single" w:color="000000" w:sz="4" w:space="0"/>
              <w:bottom w:val="single" w:color="000000" w:sz="4" w:space="0"/>
              <w:right w:val="single" w:color="000000" w:sz="4" w:space="0"/>
            </w:tcBorders>
            <w:tcMar>
              <w:top w:w="10" w:type="dxa"/>
              <w:left w:w="10" w:type="dxa"/>
              <w:right w:w="10" w:type="dxa"/>
            </w:tcMar>
            <w:vAlign w:val="center"/>
          </w:tcPr>
          <w:p w14:paraId="3C153A77">
            <w:pPr>
              <w:widowControl/>
              <w:snapToGrid w:val="0"/>
              <w:spacing w:line="240" w:lineRule="atLeast"/>
              <w:ind w:left="165"/>
              <w:jc w:val="left"/>
              <w:textAlignment w:val="center"/>
              <w:rPr>
                <w:szCs w:val="21"/>
              </w:rPr>
            </w:pPr>
            <w:r>
              <w:rPr>
                <w:kern w:val="0"/>
                <w:szCs w:val="21"/>
                <w:lang w:bidi="ar"/>
              </w:rPr>
              <w:t>2</w:t>
            </w:r>
            <w:r>
              <w:rPr>
                <w:rFonts w:hint="eastAsia" w:ascii="宋体" w:hAnsi="宋体" w:cs="宋体"/>
                <w:kern w:val="0"/>
                <w:szCs w:val="21"/>
                <w:lang w:bidi="ar"/>
              </w:rPr>
              <w:t>、苯丙酮尿症</w:t>
            </w:r>
          </w:p>
        </w:tc>
        <w:tc>
          <w:tcPr>
            <w:tcW w:w="992"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A199D87">
            <w:pPr>
              <w:widowControl/>
              <w:snapToGrid w:val="0"/>
              <w:spacing w:line="240" w:lineRule="atLeast"/>
              <w:ind w:left="165"/>
              <w:jc w:val="center"/>
              <w:textAlignment w:val="center"/>
              <w:rPr>
                <w:szCs w:val="21"/>
              </w:rPr>
            </w:pPr>
            <w:r>
              <w:rPr>
                <w:rFonts w:hint="eastAsia" w:ascii="宋体" w:hAnsi="宋体" w:cs="宋体"/>
                <w:kern w:val="0"/>
                <w:szCs w:val="21"/>
                <w:lang w:bidi="ar"/>
              </w:rPr>
              <w:t>初筛</w:t>
            </w:r>
          </w:p>
        </w:tc>
        <w:tc>
          <w:tcPr>
            <w:tcW w:w="141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828753D">
            <w:pPr>
              <w:widowControl/>
              <w:snapToGrid w:val="0"/>
              <w:spacing w:line="240" w:lineRule="atLeast"/>
              <w:ind w:left="165"/>
              <w:jc w:val="center"/>
              <w:textAlignment w:val="center"/>
              <w:rPr>
                <w:kern w:val="0"/>
                <w:szCs w:val="21"/>
              </w:rPr>
            </w:pPr>
            <w:r>
              <w:rPr>
                <w:rFonts w:hint="eastAsia" w:ascii="宋体" w:hAnsi="宋体" w:cs="宋体"/>
                <w:kern w:val="0"/>
                <w:szCs w:val="21"/>
                <w:lang w:bidi="ar"/>
              </w:rPr>
              <w:t>苯丙氨酸测定</w:t>
            </w:r>
            <w:r>
              <w:rPr>
                <w:kern w:val="0"/>
                <w:szCs w:val="21"/>
                <w:lang w:bidi="ar"/>
              </w:rPr>
              <w:t>(PKU)</w:t>
            </w:r>
            <w:r>
              <w:rPr>
                <w:rFonts w:hint="eastAsia" w:ascii="宋体" w:hAnsi="宋体" w:cs="宋体"/>
                <w:kern w:val="0"/>
                <w:szCs w:val="21"/>
                <w:lang w:bidi="ar"/>
              </w:rPr>
              <w:t>定量</w:t>
            </w:r>
          </w:p>
        </w:tc>
        <w:tc>
          <w:tcPr>
            <w:tcW w:w="292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759CBE73">
            <w:pPr>
              <w:widowControl/>
              <w:snapToGrid w:val="0"/>
              <w:spacing w:line="240" w:lineRule="atLeast"/>
              <w:ind w:left="165"/>
              <w:jc w:val="center"/>
              <w:textAlignment w:val="center"/>
              <w:rPr>
                <w:szCs w:val="21"/>
              </w:rPr>
            </w:pPr>
            <w:r>
              <w:rPr>
                <w:rFonts w:hint="eastAsia" w:ascii="宋体" w:hAnsi="宋体" w:cs="宋体"/>
                <w:kern w:val="0"/>
                <w:szCs w:val="21"/>
                <w:lang w:bidi="ar"/>
              </w:rPr>
              <w:t>初筛为所有新生儿</w:t>
            </w:r>
          </w:p>
        </w:tc>
        <w:tc>
          <w:tcPr>
            <w:tcW w:w="945" w:type="dxa"/>
            <w:vMerge w:val="continue"/>
            <w:tcBorders>
              <w:top w:val="nil"/>
              <w:left w:val="nil"/>
              <w:bottom w:val="single" w:color="auto" w:sz="4" w:space="0"/>
              <w:right w:val="single" w:color="000000" w:sz="4" w:space="0"/>
            </w:tcBorders>
            <w:tcMar>
              <w:top w:w="10" w:type="dxa"/>
              <w:left w:w="10" w:type="dxa"/>
              <w:right w:w="10" w:type="dxa"/>
            </w:tcMar>
            <w:vAlign w:val="center"/>
          </w:tcPr>
          <w:p w14:paraId="62D2A3F7">
            <w:pPr>
              <w:rPr>
                <w:sz w:val="20"/>
                <w:szCs w:val="20"/>
              </w:rPr>
            </w:pPr>
          </w:p>
        </w:tc>
        <w:tc>
          <w:tcPr>
            <w:tcW w:w="88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387C2A2E">
            <w:pPr>
              <w:widowControl/>
              <w:snapToGrid w:val="0"/>
              <w:spacing w:line="240" w:lineRule="atLeast"/>
              <w:ind w:left="165"/>
              <w:jc w:val="center"/>
              <w:textAlignment w:val="center"/>
              <w:rPr>
                <w:szCs w:val="21"/>
              </w:rPr>
            </w:pPr>
            <w:r>
              <w:rPr>
                <w:kern w:val="0"/>
                <w:szCs w:val="21"/>
                <w:lang w:bidi="ar"/>
              </w:rPr>
              <w:t>23</w:t>
            </w:r>
          </w:p>
        </w:tc>
        <w:tc>
          <w:tcPr>
            <w:tcW w:w="124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1EC7A6B">
            <w:pPr>
              <w:widowControl/>
              <w:snapToGrid w:val="0"/>
              <w:spacing w:line="240" w:lineRule="atLeast"/>
              <w:ind w:left="165"/>
              <w:jc w:val="center"/>
              <w:textAlignment w:val="center"/>
              <w:rPr>
                <w:szCs w:val="21"/>
              </w:rPr>
            </w:pPr>
            <w:r>
              <w:rPr>
                <w:kern w:val="0"/>
                <w:szCs w:val="21"/>
                <w:lang w:bidi="ar"/>
              </w:rPr>
              <w:t xml:space="preserve">20.7 </w:t>
            </w:r>
          </w:p>
        </w:tc>
        <w:tc>
          <w:tcPr>
            <w:tcW w:w="84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7A9D2A8">
            <w:pPr>
              <w:widowControl/>
              <w:snapToGrid w:val="0"/>
              <w:spacing w:line="240" w:lineRule="atLeast"/>
              <w:ind w:left="165"/>
              <w:jc w:val="center"/>
              <w:textAlignment w:val="center"/>
              <w:rPr>
                <w:szCs w:val="21"/>
              </w:rPr>
            </w:pPr>
            <w:r>
              <w:rPr>
                <w:kern w:val="0"/>
                <w:szCs w:val="21"/>
                <w:lang w:bidi="ar"/>
              </w:rPr>
              <w:t>100%</w:t>
            </w:r>
          </w:p>
        </w:tc>
        <w:tc>
          <w:tcPr>
            <w:tcW w:w="8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2BC8ED4">
            <w:pPr>
              <w:widowControl/>
              <w:snapToGrid w:val="0"/>
              <w:spacing w:line="240" w:lineRule="atLeast"/>
              <w:ind w:left="165"/>
              <w:jc w:val="center"/>
              <w:textAlignment w:val="center"/>
              <w:rPr>
                <w:szCs w:val="21"/>
              </w:rPr>
            </w:pPr>
            <w:r>
              <w:rPr>
                <w:kern w:val="0"/>
                <w:szCs w:val="21"/>
                <w:lang w:bidi="ar"/>
              </w:rPr>
              <w:t>60%</w:t>
            </w:r>
          </w:p>
        </w:tc>
        <w:tc>
          <w:tcPr>
            <w:tcW w:w="11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A5382CD">
            <w:pPr>
              <w:widowControl/>
              <w:snapToGrid w:val="0"/>
              <w:spacing w:line="240" w:lineRule="atLeast"/>
              <w:ind w:left="165"/>
              <w:jc w:val="center"/>
              <w:textAlignment w:val="center"/>
              <w:rPr>
                <w:szCs w:val="21"/>
              </w:rPr>
            </w:pPr>
            <w:r>
              <w:rPr>
                <w:kern w:val="0"/>
                <w:szCs w:val="21"/>
                <w:lang w:bidi="ar"/>
              </w:rPr>
              <w:t>20</w:t>
            </w:r>
          </w:p>
        </w:tc>
        <w:tc>
          <w:tcPr>
            <w:tcW w:w="157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50226FBE">
            <w:pPr>
              <w:widowControl/>
              <w:snapToGrid w:val="0"/>
              <w:spacing w:line="240" w:lineRule="atLeast"/>
              <w:ind w:left="165"/>
              <w:jc w:val="center"/>
              <w:textAlignment w:val="center"/>
              <w:rPr>
                <w:szCs w:val="21"/>
              </w:rPr>
            </w:pPr>
            <w:r>
              <w:rPr>
                <w:kern w:val="0"/>
                <w:szCs w:val="21"/>
                <w:lang w:bidi="ar"/>
              </w:rPr>
              <w:t>12</w:t>
            </w:r>
          </w:p>
        </w:tc>
        <w:tc>
          <w:tcPr>
            <w:tcW w:w="2058"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7E1C9A1">
            <w:pPr>
              <w:widowControl/>
              <w:snapToGrid w:val="0"/>
              <w:spacing w:line="240" w:lineRule="atLeast"/>
              <w:ind w:left="165"/>
              <w:jc w:val="center"/>
              <w:textAlignment w:val="center"/>
              <w:rPr>
                <w:szCs w:val="21"/>
              </w:rPr>
            </w:pPr>
            <w:r>
              <w:rPr>
                <w:kern w:val="0"/>
                <w:szCs w:val="21"/>
                <w:lang w:bidi="ar"/>
              </w:rPr>
              <w:t>8</w:t>
            </w:r>
          </w:p>
        </w:tc>
      </w:tr>
      <w:tr w14:paraId="7032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7" w:hRule="atLeast"/>
          <w:jc w:val="center"/>
        </w:trPr>
        <w:tc>
          <w:tcPr>
            <w:tcW w:w="1151" w:type="dxa"/>
            <w:vMerge w:val="continue"/>
            <w:tcBorders>
              <w:top w:val="nil"/>
              <w:left w:val="single" w:color="000000" w:sz="4" w:space="0"/>
              <w:bottom w:val="single" w:color="000000" w:sz="4" w:space="0"/>
              <w:right w:val="single" w:color="000000" w:sz="4" w:space="0"/>
            </w:tcBorders>
            <w:tcMar>
              <w:top w:w="10" w:type="dxa"/>
              <w:left w:w="10" w:type="dxa"/>
              <w:right w:w="10" w:type="dxa"/>
            </w:tcMar>
            <w:vAlign w:val="center"/>
          </w:tcPr>
          <w:p w14:paraId="35BF42B0">
            <w:pPr>
              <w:rPr>
                <w:sz w:val="20"/>
                <w:szCs w:val="20"/>
              </w:rPr>
            </w:pPr>
          </w:p>
        </w:tc>
        <w:tc>
          <w:tcPr>
            <w:tcW w:w="992"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36ECBC1">
            <w:pPr>
              <w:widowControl/>
              <w:snapToGrid w:val="0"/>
              <w:spacing w:line="240" w:lineRule="atLeast"/>
              <w:ind w:left="165"/>
              <w:jc w:val="center"/>
              <w:textAlignment w:val="center"/>
              <w:rPr>
                <w:szCs w:val="21"/>
              </w:rPr>
            </w:pPr>
            <w:r>
              <w:rPr>
                <w:rFonts w:hint="eastAsia" w:ascii="宋体" w:hAnsi="宋体" w:cs="宋体"/>
                <w:kern w:val="0"/>
                <w:szCs w:val="21"/>
                <w:lang w:bidi="ar"/>
              </w:rPr>
              <w:t>复筛</w:t>
            </w:r>
          </w:p>
        </w:tc>
        <w:tc>
          <w:tcPr>
            <w:tcW w:w="141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32252A81">
            <w:pPr>
              <w:widowControl/>
              <w:snapToGrid w:val="0"/>
              <w:spacing w:line="240" w:lineRule="atLeast"/>
              <w:ind w:left="165"/>
              <w:jc w:val="center"/>
              <w:textAlignment w:val="center"/>
              <w:rPr>
                <w:kern w:val="0"/>
                <w:szCs w:val="21"/>
              </w:rPr>
            </w:pPr>
            <w:r>
              <w:rPr>
                <w:rFonts w:hint="eastAsia" w:ascii="宋体" w:hAnsi="宋体" w:cs="宋体"/>
                <w:kern w:val="0"/>
                <w:szCs w:val="21"/>
                <w:lang w:bidi="ar"/>
              </w:rPr>
              <w:t>串联质谱法</w:t>
            </w:r>
          </w:p>
        </w:tc>
        <w:tc>
          <w:tcPr>
            <w:tcW w:w="292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CD1AD41">
            <w:pPr>
              <w:widowControl/>
              <w:snapToGrid w:val="0"/>
              <w:spacing w:line="240" w:lineRule="atLeast"/>
              <w:ind w:left="165"/>
              <w:jc w:val="center"/>
              <w:textAlignment w:val="center"/>
              <w:rPr>
                <w:szCs w:val="21"/>
              </w:rPr>
            </w:pPr>
            <w:r>
              <w:rPr>
                <w:rFonts w:hint="eastAsia" w:ascii="宋体" w:hAnsi="宋体" w:cs="宋体"/>
                <w:kern w:val="0"/>
                <w:szCs w:val="21"/>
                <w:lang w:bidi="ar"/>
              </w:rPr>
              <w:t>筛查阳性的新生儿（按初筛人群</w:t>
            </w:r>
            <w:r>
              <w:rPr>
                <w:kern w:val="0"/>
                <w:szCs w:val="21"/>
                <w:lang w:bidi="ar"/>
              </w:rPr>
              <w:t>0.3</w:t>
            </w:r>
            <w:r>
              <w:rPr>
                <w:rFonts w:hint="eastAsia" w:ascii="宋体" w:hAnsi="宋体" w:cs="宋体"/>
                <w:kern w:val="0"/>
                <w:szCs w:val="21"/>
                <w:lang w:bidi="ar"/>
              </w:rPr>
              <w:t>％计算）（苯丙酮尿症等）</w:t>
            </w:r>
          </w:p>
        </w:tc>
        <w:tc>
          <w:tcPr>
            <w:tcW w:w="945" w:type="dxa"/>
            <w:vMerge w:val="continue"/>
            <w:tcBorders>
              <w:top w:val="nil"/>
              <w:left w:val="nil"/>
              <w:bottom w:val="single" w:color="auto" w:sz="4" w:space="0"/>
              <w:right w:val="single" w:color="000000" w:sz="4" w:space="0"/>
            </w:tcBorders>
            <w:tcMar>
              <w:top w:w="10" w:type="dxa"/>
              <w:left w:w="10" w:type="dxa"/>
              <w:right w:w="10" w:type="dxa"/>
            </w:tcMar>
            <w:vAlign w:val="center"/>
          </w:tcPr>
          <w:p w14:paraId="65AB5DC8">
            <w:pPr>
              <w:rPr>
                <w:sz w:val="20"/>
                <w:szCs w:val="20"/>
              </w:rPr>
            </w:pPr>
          </w:p>
        </w:tc>
        <w:tc>
          <w:tcPr>
            <w:tcW w:w="88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97718AF">
            <w:pPr>
              <w:widowControl/>
              <w:snapToGrid w:val="0"/>
              <w:spacing w:line="240" w:lineRule="atLeast"/>
              <w:ind w:left="165"/>
              <w:jc w:val="center"/>
              <w:textAlignment w:val="center"/>
              <w:rPr>
                <w:szCs w:val="21"/>
              </w:rPr>
            </w:pPr>
            <w:r>
              <w:rPr>
                <w:kern w:val="0"/>
                <w:szCs w:val="21"/>
                <w:lang w:bidi="ar"/>
              </w:rPr>
              <w:t xml:space="preserve">241.8 </w:t>
            </w:r>
          </w:p>
        </w:tc>
        <w:tc>
          <w:tcPr>
            <w:tcW w:w="124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5FBC4F06">
            <w:pPr>
              <w:widowControl/>
              <w:snapToGrid w:val="0"/>
              <w:spacing w:line="240" w:lineRule="atLeast"/>
              <w:ind w:left="165"/>
              <w:jc w:val="center"/>
              <w:textAlignment w:val="center"/>
              <w:rPr>
                <w:szCs w:val="21"/>
              </w:rPr>
            </w:pPr>
            <w:r>
              <w:rPr>
                <w:kern w:val="0"/>
                <w:szCs w:val="21"/>
                <w:lang w:bidi="ar"/>
              </w:rPr>
              <w:t xml:space="preserve">217.6 </w:t>
            </w:r>
          </w:p>
        </w:tc>
        <w:tc>
          <w:tcPr>
            <w:tcW w:w="84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7EA2A71A">
            <w:pPr>
              <w:widowControl/>
              <w:snapToGrid w:val="0"/>
              <w:spacing w:line="240" w:lineRule="atLeast"/>
              <w:ind w:left="165"/>
              <w:jc w:val="center"/>
              <w:textAlignment w:val="center"/>
              <w:rPr>
                <w:szCs w:val="21"/>
              </w:rPr>
            </w:pPr>
            <w:r>
              <w:rPr>
                <w:kern w:val="0"/>
                <w:szCs w:val="21"/>
                <w:lang w:bidi="ar"/>
              </w:rPr>
              <w:t>0.30%</w:t>
            </w:r>
          </w:p>
        </w:tc>
        <w:tc>
          <w:tcPr>
            <w:tcW w:w="8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3DE354DE">
            <w:pPr>
              <w:widowControl/>
              <w:snapToGrid w:val="0"/>
              <w:spacing w:line="240" w:lineRule="atLeast"/>
              <w:ind w:left="165"/>
              <w:jc w:val="center"/>
              <w:textAlignment w:val="center"/>
              <w:rPr>
                <w:szCs w:val="21"/>
              </w:rPr>
            </w:pPr>
            <w:r>
              <w:rPr>
                <w:kern w:val="0"/>
                <w:szCs w:val="21"/>
                <w:lang w:bidi="ar"/>
              </w:rPr>
              <w:t>60%</w:t>
            </w:r>
          </w:p>
        </w:tc>
        <w:tc>
          <w:tcPr>
            <w:tcW w:w="11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F775AB3">
            <w:pPr>
              <w:widowControl/>
              <w:snapToGrid w:val="0"/>
              <w:spacing w:line="240" w:lineRule="atLeast"/>
              <w:ind w:left="165"/>
              <w:jc w:val="center"/>
              <w:textAlignment w:val="center"/>
              <w:rPr>
                <w:szCs w:val="21"/>
              </w:rPr>
            </w:pPr>
            <w:r>
              <w:rPr>
                <w:kern w:val="0"/>
                <w:szCs w:val="21"/>
                <w:lang w:bidi="ar"/>
              </w:rPr>
              <w:t>1</w:t>
            </w:r>
          </w:p>
        </w:tc>
        <w:tc>
          <w:tcPr>
            <w:tcW w:w="157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B556170">
            <w:pPr>
              <w:widowControl/>
              <w:snapToGrid w:val="0"/>
              <w:spacing w:line="240" w:lineRule="atLeast"/>
              <w:ind w:left="165"/>
              <w:jc w:val="center"/>
              <w:textAlignment w:val="center"/>
              <w:rPr>
                <w:szCs w:val="21"/>
              </w:rPr>
            </w:pPr>
            <w:r>
              <w:rPr>
                <w:kern w:val="0"/>
                <w:szCs w:val="21"/>
                <w:lang w:bidi="ar"/>
              </w:rPr>
              <w:t>1</w:t>
            </w:r>
          </w:p>
        </w:tc>
        <w:tc>
          <w:tcPr>
            <w:tcW w:w="2058"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6611730">
            <w:pPr>
              <w:widowControl/>
              <w:snapToGrid w:val="0"/>
              <w:spacing w:line="240" w:lineRule="atLeast"/>
              <w:ind w:left="165"/>
              <w:jc w:val="center"/>
              <w:textAlignment w:val="center"/>
              <w:rPr>
                <w:szCs w:val="21"/>
              </w:rPr>
            </w:pPr>
            <w:r>
              <w:rPr>
                <w:kern w:val="0"/>
                <w:szCs w:val="21"/>
                <w:lang w:bidi="ar"/>
              </w:rPr>
              <w:t>0</w:t>
            </w:r>
          </w:p>
        </w:tc>
      </w:tr>
      <w:tr w14:paraId="7CA0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restart"/>
            <w:tcBorders>
              <w:top w:val="nil"/>
              <w:left w:val="single" w:color="000000" w:sz="4" w:space="0"/>
              <w:bottom w:val="single" w:color="000000" w:sz="4" w:space="0"/>
              <w:right w:val="single" w:color="000000" w:sz="4" w:space="0"/>
            </w:tcBorders>
            <w:tcMar>
              <w:top w:w="10" w:type="dxa"/>
              <w:left w:w="10" w:type="dxa"/>
              <w:right w:w="10" w:type="dxa"/>
            </w:tcMar>
            <w:vAlign w:val="center"/>
          </w:tcPr>
          <w:p w14:paraId="3CF704E7">
            <w:pPr>
              <w:widowControl/>
              <w:snapToGrid w:val="0"/>
              <w:spacing w:line="240" w:lineRule="atLeast"/>
              <w:ind w:left="165"/>
              <w:jc w:val="left"/>
              <w:textAlignment w:val="center"/>
              <w:rPr>
                <w:szCs w:val="21"/>
              </w:rPr>
            </w:pPr>
            <w:r>
              <w:rPr>
                <w:kern w:val="0"/>
                <w:szCs w:val="21"/>
                <w:lang w:bidi="ar"/>
              </w:rPr>
              <w:t>3</w:t>
            </w:r>
            <w:r>
              <w:rPr>
                <w:rFonts w:hint="eastAsia" w:ascii="宋体" w:hAnsi="宋体" w:cs="宋体"/>
                <w:kern w:val="0"/>
                <w:szCs w:val="21"/>
                <w:lang w:bidi="ar"/>
              </w:rPr>
              <w:t>、</w:t>
            </w:r>
            <w:r>
              <w:rPr>
                <w:kern w:val="0"/>
                <w:szCs w:val="21"/>
                <w:lang w:bidi="ar"/>
              </w:rPr>
              <w:t>G6PD</w:t>
            </w:r>
            <w:r>
              <w:rPr>
                <w:rFonts w:hint="eastAsia" w:ascii="宋体" w:hAnsi="宋体" w:cs="宋体"/>
                <w:kern w:val="0"/>
                <w:szCs w:val="21"/>
                <w:lang w:bidi="ar"/>
              </w:rPr>
              <w:t>缺乏症</w:t>
            </w:r>
          </w:p>
        </w:tc>
        <w:tc>
          <w:tcPr>
            <w:tcW w:w="992"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60195082">
            <w:pPr>
              <w:widowControl/>
              <w:snapToGrid w:val="0"/>
              <w:spacing w:line="240" w:lineRule="atLeast"/>
              <w:ind w:left="165"/>
              <w:jc w:val="center"/>
              <w:textAlignment w:val="center"/>
              <w:rPr>
                <w:szCs w:val="21"/>
              </w:rPr>
            </w:pPr>
            <w:r>
              <w:rPr>
                <w:rFonts w:hint="eastAsia" w:ascii="宋体" w:hAnsi="宋体" w:cs="宋体"/>
                <w:kern w:val="0"/>
                <w:szCs w:val="21"/>
                <w:lang w:bidi="ar"/>
              </w:rPr>
              <w:t>初筛</w:t>
            </w:r>
          </w:p>
        </w:tc>
        <w:tc>
          <w:tcPr>
            <w:tcW w:w="141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34CC158">
            <w:pPr>
              <w:widowControl/>
              <w:snapToGrid w:val="0"/>
              <w:spacing w:line="240" w:lineRule="atLeast"/>
              <w:ind w:left="165"/>
              <w:jc w:val="center"/>
              <w:textAlignment w:val="center"/>
              <w:rPr>
                <w:kern w:val="0"/>
                <w:szCs w:val="21"/>
              </w:rPr>
            </w:pPr>
            <w:r>
              <w:rPr>
                <w:rFonts w:hint="eastAsia" w:ascii="宋体" w:hAnsi="宋体" w:cs="宋体"/>
                <w:kern w:val="0"/>
                <w:szCs w:val="21"/>
                <w:lang w:bidi="ar"/>
              </w:rPr>
              <w:t>葡萄糖</w:t>
            </w:r>
            <w:r>
              <w:rPr>
                <w:kern w:val="0"/>
                <w:szCs w:val="21"/>
                <w:lang w:bidi="ar"/>
              </w:rPr>
              <w:t>6-</w:t>
            </w:r>
            <w:r>
              <w:rPr>
                <w:rFonts w:hint="eastAsia" w:ascii="宋体" w:hAnsi="宋体" w:cs="宋体"/>
                <w:kern w:val="0"/>
                <w:szCs w:val="21"/>
                <w:lang w:bidi="ar"/>
              </w:rPr>
              <w:t>磷酸脱氢酶</w:t>
            </w:r>
          </w:p>
        </w:tc>
        <w:tc>
          <w:tcPr>
            <w:tcW w:w="292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314A04D7">
            <w:pPr>
              <w:widowControl/>
              <w:snapToGrid w:val="0"/>
              <w:spacing w:line="240" w:lineRule="atLeast"/>
              <w:ind w:left="165"/>
              <w:jc w:val="center"/>
              <w:textAlignment w:val="center"/>
              <w:rPr>
                <w:szCs w:val="21"/>
              </w:rPr>
            </w:pPr>
            <w:r>
              <w:rPr>
                <w:rFonts w:hint="eastAsia" w:ascii="宋体" w:hAnsi="宋体" w:cs="宋体"/>
                <w:kern w:val="0"/>
                <w:szCs w:val="21"/>
                <w:lang w:bidi="ar"/>
              </w:rPr>
              <w:t>初筛为所有新生儿</w:t>
            </w:r>
          </w:p>
        </w:tc>
        <w:tc>
          <w:tcPr>
            <w:tcW w:w="945" w:type="dxa"/>
            <w:vMerge w:val="continue"/>
            <w:tcBorders>
              <w:top w:val="nil"/>
              <w:left w:val="nil"/>
              <w:bottom w:val="single" w:color="auto" w:sz="4" w:space="0"/>
              <w:right w:val="single" w:color="000000" w:sz="4" w:space="0"/>
            </w:tcBorders>
            <w:tcMar>
              <w:top w:w="10" w:type="dxa"/>
              <w:left w:w="10" w:type="dxa"/>
              <w:right w:w="10" w:type="dxa"/>
            </w:tcMar>
            <w:vAlign w:val="center"/>
          </w:tcPr>
          <w:p w14:paraId="2454AAF7">
            <w:pPr>
              <w:rPr>
                <w:sz w:val="20"/>
                <w:szCs w:val="20"/>
              </w:rPr>
            </w:pPr>
          </w:p>
        </w:tc>
        <w:tc>
          <w:tcPr>
            <w:tcW w:w="88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27E5D55">
            <w:pPr>
              <w:widowControl/>
              <w:snapToGrid w:val="0"/>
              <w:spacing w:line="240" w:lineRule="atLeast"/>
              <w:ind w:left="165"/>
              <w:jc w:val="center"/>
              <w:textAlignment w:val="center"/>
              <w:rPr>
                <w:szCs w:val="21"/>
              </w:rPr>
            </w:pPr>
            <w:r>
              <w:rPr>
                <w:kern w:val="0"/>
                <w:szCs w:val="21"/>
                <w:lang w:bidi="ar"/>
              </w:rPr>
              <w:t>9.9</w:t>
            </w:r>
          </w:p>
        </w:tc>
        <w:tc>
          <w:tcPr>
            <w:tcW w:w="124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3DDB4D9D">
            <w:pPr>
              <w:widowControl/>
              <w:snapToGrid w:val="0"/>
              <w:spacing w:line="240" w:lineRule="atLeast"/>
              <w:ind w:left="165"/>
              <w:jc w:val="center"/>
              <w:textAlignment w:val="center"/>
              <w:rPr>
                <w:szCs w:val="21"/>
              </w:rPr>
            </w:pPr>
            <w:r>
              <w:rPr>
                <w:kern w:val="0"/>
                <w:szCs w:val="21"/>
                <w:lang w:bidi="ar"/>
              </w:rPr>
              <w:t xml:space="preserve">8.9 </w:t>
            </w:r>
          </w:p>
        </w:tc>
        <w:tc>
          <w:tcPr>
            <w:tcW w:w="84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91FD722">
            <w:pPr>
              <w:widowControl/>
              <w:snapToGrid w:val="0"/>
              <w:spacing w:line="240" w:lineRule="atLeast"/>
              <w:ind w:left="165"/>
              <w:jc w:val="center"/>
              <w:textAlignment w:val="center"/>
              <w:rPr>
                <w:szCs w:val="21"/>
              </w:rPr>
            </w:pPr>
            <w:r>
              <w:rPr>
                <w:kern w:val="0"/>
                <w:szCs w:val="21"/>
                <w:lang w:bidi="ar"/>
              </w:rPr>
              <w:t>100%</w:t>
            </w:r>
          </w:p>
        </w:tc>
        <w:tc>
          <w:tcPr>
            <w:tcW w:w="8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77B4978">
            <w:pPr>
              <w:widowControl/>
              <w:snapToGrid w:val="0"/>
              <w:spacing w:line="240" w:lineRule="atLeast"/>
              <w:ind w:left="165"/>
              <w:jc w:val="center"/>
              <w:textAlignment w:val="center"/>
              <w:rPr>
                <w:szCs w:val="21"/>
              </w:rPr>
            </w:pPr>
            <w:r>
              <w:rPr>
                <w:kern w:val="0"/>
                <w:szCs w:val="21"/>
                <w:lang w:bidi="ar"/>
              </w:rPr>
              <w:t>60%</w:t>
            </w:r>
          </w:p>
        </w:tc>
        <w:tc>
          <w:tcPr>
            <w:tcW w:w="11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64E5D8FA">
            <w:pPr>
              <w:widowControl/>
              <w:snapToGrid w:val="0"/>
              <w:spacing w:line="240" w:lineRule="atLeast"/>
              <w:ind w:left="165"/>
              <w:jc w:val="center"/>
              <w:textAlignment w:val="center"/>
              <w:rPr>
                <w:szCs w:val="21"/>
              </w:rPr>
            </w:pPr>
            <w:r>
              <w:rPr>
                <w:kern w:val="0"/>
                <w:szCs w:val="21"/>
                <w:lang w:bidi="ar"/>
              </w:rPr>
              <w:t>9</w:t>
            </w:r>
          </w:p>
        </w:tc>
        <w:tc>
          <w:tcPr>
            <w:tcW w:w="157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30984E02">
            <w:pPr>
              <w:widowControl/>
              <w:snapToGrid w:val="0"/>
              <w:spacing w:line="240" w:lineRule="atLeast"/>
              <w:ind w:left="165"/>
              <w:jc w:val="center"/>
              <w:textAlignment w:val="center"/>
              <w:rPr>
                <w:szCs w:val="21"/>
              </w:rPr>
            </w:pPr>
            <w:r>
              <w:rPr>
                <w:kern w:val="0"/>
                <w:szCs w:val="21"/>
                <w:lang w:bidi="ar"/>
              </w:rPr>
              <w:t>5</w:t>
            </w:r>
          </w:p>
        </w:tc>
        <w:tc>
          <w:tcPr>
            <w:tcW w:w="2058"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7B203792">
            <w:pPr>
              <w:widowControl/>
              <w:snapToGrid w:val="0"/>
              <w:spacing w:line="240" w:lineRule="atLeast"/>
              <w:ind w:left="165"/>
              <w:jc w:val="center"/>
              <w:textAlignment w:val="center"/>
              <w:rPr>
                <w:szCs w:val="21"/>
              </w:rPr>
            </w:pPr>
            <w:r>
              <w:rPr>
                <w:kern w:val="0"/>
                <w:szCs w:val="21"/>
                <w:lang w:bidi="ar"/>
              </w:rPr>
              <w:t>4</w:t>
            </w:r>
          </w:p>
        </w:tc>
      </w:tr>
      <w:tr w14:paraId="637F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atLeast"/>
          <w:jc w:val="center"/>
        </w:trPr>
        <w:tc>
          <w:tcPr>
            <w:tcW w:w="1151" w:type="dxa"/>
            <w:vMerge w:val="continue"/>
            <w:tcBorders>
              <w:top w:val="nil"/>
              <w:left w:val="single" w:color="000000" w:sz="4" w:space="0"/>
              <w:bottom w:val="single" w:color="000000" w:sz="4" w:space="0"/>
              <w:right w:val="single" w:color="000000" w:sz="4" w:space="0"/>
            </w:tcBorders>
            <w:tcMar>
              <w:top w:w="10" w:type="dxa"/>
              <w:left w:w="10" w:type="dxa"/>
              <w:right w:w="10" w:type="dxa"/>
            </w:tcMar>
            <w:vAlign w:val="center"/>
          </w:tcPr>
          <w:p w14:paraId="5DF81078">
            <w:pPr>
              <w:rPr>
                <w:sz w:val="20"/>
                <w:szCs w:val="20"/>
              </w:rPr>
            </w:pPr>
          </w:p>
        </w:tc>
        <w:tc>
          <w:tcPr>
            <w:tcW w:w="992"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4E1783E">
            <w:pPr>
              <w:widowControl/>
              <w:snapToGrid w:val="0"/>
              <w:spacing w:line="240" w:lineRule="atLeast"/>
              <w:ind w:left="165"/>
              <w:jc w:val="center"/>
              <w:textAlignment w:val="center"/>
              <w:rPr>
                <w:szCs w:val="21"/>
              </w:rPr>
            </w:pPr>
            <w:r>
              <w:rPr>
                <w:rFonts w:hint="eastAsia" w:ascii="宋体" w:hAnsi="宋体" w:cs="宋体"/>
                <w:kern w:val="0"/>
                <w:szCs w:val="21"/>
                <w:lang w:bidi="ar"/>
              </w:rPr>
              <w:t>复筛</w:t>
            </w:r>
          </w:p>
        </w:tc>
        <w:tc>
          <w:tcPr>
            <w:tcW w:w="141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BA521B8">
            <w:pPr>
              <w:widowControl/>
              <w:snapToGrid w:val="0"/>
              <w:spacing w:line="240" w:lineRule="atLeast"/>
              <w:ind w:left="165"/>
              <w:jc w:val="center"/>
              <w:textAlignment w:val="center"/>
              <w:rPr>
                <w:szCs w:val="21"/>
              </w:rPr>
            </w:pPr>
            <w:r>
              <w:rPr>
                <w:rFonts w:hint="eastAsia" w:ascii="宋体" w:hAnsi="宋体" w:cs="宋体"/>
                <w:kern w:val="0"/>
                <w:szCs w:val="21"/>
                <w:lang w:bidi="ar"/>
              </w:rPr>
              <w:t>比值法</w:t>
            </w:r>
          </w:p>
        </w:tc>
        <w:tc>
          <w:tcPr>
            <w:tcW w:w="292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7B9C3901">
            <w:pPr>
              <w:widowControl/>
              <w:snapToGrid w:val="0"/>
              <w:spacing w:line="240" w:lineRule="atLeast"/>
              <w:ind w:left="165"/>
              <w:jc w:val="center"/>
              <w:textAlignment w:val="center"/>
              <w:rPr>
                <w:szCs w:val="21"/>
              </w:rPr>
            </w:pPr>
            <w:r>
              <w:rPr>
                <w:rFonts w:hint="eastAsia" w:ascii="宋体" w:hAnsi="宋体" w:cs="宋体"/>
                <w:kern w:val="0"/>
                <w:szCs w:val="21"/>
                <w:lang w:bidi="ar"/>
              </w:rPr>
              <w:t>筛查阳性的新生儿（按初筛人群</w:t>
            </w:r>
            <w:r>
              <w:rPr>
                <w:kern w:val="0"/>
                <w:szCs w:val="21"/>
                <w:lang w:bidi="ar"/>
              </w:rPr>
              <w:t>5</w:t>
            </w:r>
            <w:r>
              <w:rPr>
                <w:rFonts w:hint="eastAsia" w:ascii="宋体" w:hAnsi="宋体" w:cs="宋体"/>
                <w:kern w:val="0"/>
                <w:szCs w:val="21"/>
                <w:lang w:bidi="ar"/>
              </w:rPr>
              <w:t>％计算）（</w:t>
            </w:r>
            <w:r>
              <w:rPr>
                <w:color w:val="000000"/>
                <w:sz w:val="24"/>
                <w:lang w:bidi="ar"/>
              </w:rPr>
              <w:t>G6PD</w:t>
            </w:r>
            <w:r>
              <w:rPr>
                <w:rFonts w:hint="eastAsia" w:ascii="宋体" w:hAnsi="宋体" w:cs="宋体"/>
                <w:color w:val="000000"/>
                <w:sz w:val="24"/>
                <w:lang w:bidi="ar"/>
              </w:rPr>
              <w:t>）</w:t>
            </w:r>
          </w:p>
        </w:tc>
        <w:tc>
          <w:tcPr>
            <w:tcW w:w="945" w:type="dxa"/>
            <w:vMerge w:val="continue"/>
            <w:tcBorders>
              <w:top w:val="nil"/>
              <w:left w:val="nil"/>
              <w:bottom w:val="single" w:color="auto" w:sz="4" w:space="0"/>
              <w:right w:val="single" w:color="000000" w:sz="4" w:space="0"/>
            </w:tcBorders>
            <w:tcMar>
              <w:top w:w="10" w:type="dxa"/>
              <w:left w:w="10" w:type="dxa"/>
              <w:right w:w="10" w:type="dxa"/>
            </w:tcMar>
            <w:vAlign w:val="center"/>
          </w:tcPr>
          <w:p w14:paraId="67E2DA25">
            <w:pPr>
              <w:rPr>
                <w:sz w:val="20"/>
                <w:szCs w:val="20"/>
              </w:rPr>
            </w:pPr>
          </w:p>
        </w:tc>
        <w:tc>
          <w:tcPr>
            <w:tcW w:w="88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3AF83128">
            <w:pPr>
              <w:widowControl/>
              <w:snapToGrid w:val="0"/>
              <w:spacing w:line="240" w:lineRule="atLeast"/>
              <w:ind w:left="165"/>
              <w:jc w:val="center"/>
              <w:textAlignment w:val="center"/>
              <w:rPr>
                <w:szCs w:val="21"/>
              </w:rPr>
            </w:pPr>
            <w:r>
              <w:rPr>
                <w:kern w:val="0"/>
                <w:szCs w:val="21"/>
                <w:lang w:bidi="ar"/>
              </w:rPr>
              <w:t>9.2</w:t>
            </w:r>
          </w:p>
        </w:tc>
        <w:tc>
          <w:tcPr>
            <w:tcW w:w="124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1FDB732">
            <w:pPr>
              <w:widowControl/>
              <w:snapToGrid w:val="0"/>
              <w:spacing w:line="240" w:lineRule="atLeast"/>
              <w:ind w:left="165"/>
              <w:jc w:val="center"/>
              <w:textAlignment w:val="center"/>
              <w:rPr>
                <w:szCs w:val="21"/>
              </w:rPr>
            </w:pPr>
            <w:r>
              <w:rPr>
                <w:kern w:val="0"/>
                <w:szCs w:val="21"/>
                <w:lang w:bidi="ar"/>
              </w:rPr>
              <w:t xml:space="preserve">8.3 </w:t>
            </w:r>
          </w:p>
        </w:tc>
        <w:tc>
          <w:tcPr>
            <w:tcW w:w="84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5F1BC893">
            <w:pPr>
              <w:widowControl/>
              <w:snapToGrid w:val="0"/>
              <w:spacing w:line="240" w:lineRule="atLeast"/>
              <w:ind w:left="165"/>
              <w:jc w:val="center"/>
              <w:textAlignment w:val="center"/>
              <w:rPr>
                <w:szCs w:val="21"/>
              </w:rPr>
            </w:pPr>
            <w:r>
              <w:rPr>
                <w:kern w:val="0"/>
                <w:szCs w:val="21"/>
                <w:lang w:bidi="ar"/>
              </w:rPr>
              <w:t>5.0%</w:t>
            </w:r>
          </w:p>
        </w:tc>
        <w:tc>
          <w:tcPr>
            <w:tcW w:w="8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3E8541D5">
            <w:pPr>
              <w:widowControl/>
              <w:snapToGrid w:val="0"/>
              <w:spacing w:line="240" w:lineRule="atLeast"/>
              <w:ind w:left="165"/>
              <w:jc w:val="center"/>
              <w:textAlignment w:val="center"/>
              <w:rPr>
                <w:szCs w:val="21"/>
              </w:rPr>
            </w:pPr>
            <w:r>
              <w:rPr>
                <w:kern w:val="0"/>
                <w:szCs w:val="21"/>
                <w:lang w:bidi="ar"/>
              </w:rPr>
              <w:t>60%</w:t>
            </w:r>
          </w:p>
        </w:tc>
        <w:tc>
          <w:tcPr>
            <w:tcW w:w="11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380DCB7">
            <w:pPr>
              <w:widowControl/>
              <w:snapToGrid w:val="0"/>
              <w:spacing w:line="240" w:lineRule="atLeast"/>
              <w:ind w:left="165"/>
              <w:jc w:val="center"/>
              <w:textAlignment w:val="center"/>
              <w:rPr>
                <w:szCs w:val="21"/>
              </w:rPr>
            </w:pPr>
            <w:r>
              <w:rPr>
                <w:kern w:val="0"/>
                <w:szCs w:val="21"/>
                <w:lang w:bidi="ar"/>
              </w:rPr>
              <w:t>1</w:t>
            </w:r>
          </w:p>
        </w:tc>
        <w:tc>
          <w:tcPr>
            <w:tcW w:w="157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F4888EE">
            <w:pPr>
              <w:widowControl/>
              <w:snapToGrid w:val="0"/>
              <w:spacing w:line="240" w:lineRule="atLeast"/>
              <w:ind w:left="165"/>
              <w:jc w:val="center"/>
              <w:textAlignment w:val="center"/>
              <w:rPr>
                <w:szCs w:val="21"/>
              </w:rPr>
            </w:pPr>
            <w:r>
              <w:rPr>
                <w:kern w:val="0"/>
                <w:szCs w:val="21"/>
                <w:lang w:bidi="ar"/>
              </w:rPr>
              <w:t>1</w:t>
            </w:r>
          </w:p>
        </w:tc>
        <w:tc>
          <w:tcPr>
            <w:tcW w:w="2058"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34847F3D">
            <w:pPr>
              <w:widowControl/>
              <w:snapToGrid w:val="0"/>
              <w:spacing w:line="240" w:lineRule="atLeast"/>
              <w:ind w:left="165"/>
              <w:jc w:val="center"/>
              <w:textAlignment w:val="center"/>
              <w:rPr>
                <w:szCs w:val="21"/>
              </w:rPr>
            </w:pPr>
            <w:r>
              <w:rPr>
                <w:kern w:val="0"/>
                <w:szCs w:val="21"/>
                <w:lang w:bidi="ar"/>
              </w:rPr>
              <w:t>0</w:t>
            </w:r>
          </w:p>
        </w:tc>
      </w:tr>
      <w:tr w14:paraId="5E3A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restart"/>
            <w:tcBorders>
              <w:top w:val="nil"/>
              <w:left w:val="single" w:color="000000" w:sz="4" w:space="0"/>
              <w:bottom w:val="single" w:color="000000" w:sz="4" w:space="0"/>
              <w:right w:val="single" w:color="000000" w:sz="4" w:space="0"/>
            </w:tcBorders>
            <w:tcMar>
              <w:top w:w="10" w:type="dxa"/>
              <w:left w:w="10" w:type="dxa"/>
              <w:right w:w="10" w:type="dxa"/>
            </w:tcMar>
            <w:vAlign w:val="center"/>
          </w:tcPr>
          <w:p w14:paraId="748A1D68">
            <w:pPr>
              <w:widowControl/>
              <w:snapToGrid w:val="0"/>
              <w:spacing w:line="240" w:lineRule="atLeast"/>
              <w:ind w:left="165"/>
              <w:jc w:val="left"/>
              <w:textAlignment w:val="center"/>
              <w:rPr>
                <w:szCs w:val="21"/>
              </w:rPr>
            </w:pPr>
            <w:r>
              <w:rPr>
                <w:kern w:val="0"/>
                <w:szCs w:val="21"/>
                <w:lang w:bidi="ar"/>
              </w:rPr>
              <w:t>4</w:t>
            </w:r>
            <w:r>
              <w:rPr>
                <w:rFonts w:hint="eastAsia" w:ascii="宋体" w:hAnsi="宋体" w:cs="宋体"/>
                <w:kern w:val="0"/>
                <w:szCs w:val="21"/>
                <w:lang w:bidi="ar"/>
              </w:rPr>
              <w:t>、先天性肾上腺皮质增生症</w:t>
            </w:r>
          </w:p>
        </w:tc>
        <w:tc>
          <w:tcPr>
            <w:tcW w:w="992"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B449F7E">
            <w:pPr>
              <w:widowControl/>
              <w:snapToGrid w:val="0"/>
              <w:spacing w:line="240" w:lineRule="atLeast"/>
              <w:ind w:left="165"/>
              <w:jc w:val="center"/>
              <w:textAlignment w:val="center"/>
              <w:rPr>
                <w:szCs w:val="21"/>
              </w:rPr>
            </w:pPr>
            <w:r>
              <w:rPr>
                <w:rFonts w:hint="eastAsia" w:ascii="宋体" w:hAnsi="宋体" w:cs="宋体"/>
                <w:kern w:val="0"/>
                <w:szCs w:val="21"/>
                <w:lang w:bidi="ar"/>
              </w:rPr>
              <w:t>初筛</w:t>
            </w:r>
          </w:p>
        </w:tc>
        <w:tc>
          <w:tcPr>
            <w:tcW w:w="141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78E86D99">
            <w:pPr>
              <w:widowControl/>
              <w:snapToGrid w:val="0"/>
              <w:spacing w:line="240" w:lineRule="atLeast"/>
              <w:ind w:left="165"/>
              <w:jc w:val="center"/>
              <w:textAlignment w:val="center"/>
              <w:rPr>
                <w:szCs w:val="21"/>
              </w:rPr>
            </w:pPr>
            <w:r>
              <w:rPr>
                <w:kern w:val="0"/>
                <w:szCs w:val="21"/>
                <w:lang w:bidi="ar"/>
              </w:rPr>
              <w:t>17α</w:t>
            </w:r>
            <w:r>
              <w:rPr>
                <w:rFonts w:hint="eastAsia" w:ascii="宋体" w:hAnsi="宋体" w:cs="宋体"/>
                <w:kern w:val="0"/>
                <w:szCs w:val="21"/>
                <w:lang w:bidi="ar"/>
              </w:rPr>
              <w:t>羟孕酮测定</w:t>
            </w:r>
          </w:p>
        </w:tc>
        <w:tc>
          <w:tcPr>
            <w:tcW w:w="292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24AF522">
            <w:pPr>
              <w:widowControl/>
              <w:snapToGrid w:val="0"/>
              <w:spacing w:line="240" w:lineRule="atLeast"/>
              <w:ind w:left="165"/>
              <w:jc w:val="center"/>
              <w:textAlignment w:val="center"/>
              <w:rPr>
                <w:szCs w:val="21"/>
              </w:rPr>
            </w:pPr>
            <w:r>
              <w:rPr>
                <w:rFonts w:hint="eastAsia" w:ascii="宋体" w:hAnsi="宋体" w:cs="宋体"/>
                <w:kern w:val="0"/>
                <w:szCs w:val="21"/>
                <w:lang w:bidi="ar"/>
              </w:rPr>
              <w:t>初筛为所有新生儿</w:t>
            </w:r>
          </w:p>
        </w:tc>
        <w:tc>
          <w:tcPr>
            <w:tcW w:w="945" w:type="dxa"/>
            <w:vMerge w:val="continue"/>
            <w:tcBorders>
              <w:top w:val="nil"/>
              <w:left w:val="nil"/>
              <w:bottom w:val="single" w:color="auto" w:sz="4" w:space="0"/>
              <w:right w:val="single" w:color="000000" w:sz="4" w:space="0"/>
            </w:tcBorders>
            <w:tcMar>
              <w:top w:w="10" w:type="dxa"/>
              <w:left w:w="10" w:type="dxa"/>
              <w:right w:w="10" w:type="dxa"/>
            </w:tcMar>
            <w:vAlign w:val="center"/>
          </w:tcPr>
          <w:p w14:paraId="67429359">
            <w:pPr>
              <w:rPr>
                <w:sz w:val="20"/>
                <w:szCs w:val="20"/>
              </w:rPr>
            </w:pPr>
          </w:p>
        </w:tc>
        <w:tc>
          <w:tcPr>
            <w:tcW w:w="88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6AA057C1">
            <w:pPr>
              <w:widowControl/>
              <w:snapToGrid w:val="0"/>
              <w:spacing w:line="240" w:lineRule="atLeast"/>
              <w:ind w:left="165"/>
              <w:jc w:val="center"/>
              <w:textAlignment w:val="center"/>
              <w:rPr>
                <w:szCs w:val="21"/>
              </w:rPr>
            </w:pPr>
            <w:r>
              <w:rPr>
                <w:kern w:val="0"/>
                <w:szCs w:val="21"/>
                <w:lang w:bidi="ar"/>
              </w:rPr>
              <w:t>47.2</w:t>
            </w:r>
          </w:p>
        </w:tc>
        <w:tc>
          <w:tcPr>
            <w:tcW w:w="124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A102A21">
            <w:pPr>
              <w:widowControl/>
              <w:snapToGrid w:val="0"/>
              <w:spacing w:line="240" w:lineRule="atLeast"/>
              <w:ind w:left="165"/>
              <w:jc w:val="center"/>
              <w:textAlignment w:val="center"/>
              <w:rPr>
                <w:szCs w:val="21"/>
              </w:rPr>
            </w:pPr>
            <w:r>
              <w:rPr>
                <w:kern w:val="0"/>
                <w:szCs w:val="21"/>
                <w:lang w:bidi="ar"/>
              </w:rPr>
              <w:t xml:space="preserve">42.5 </w:t>
            </w:r>
          </w:p>
        </w:tc>
        <w:tc>
          <w:tcPr>
            <w:tcW w:w="84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3FFA76FF">
            <w:pPr>
              <w:widowControl/>
              <w:snapToGrid w:val="0"/>
              <w:spacing w:line="240" w:lineRule="atLeast"/>
              <w:ind w:left="165"/>
              <w:jc w:val="center"/>
              <w:textAlignment w:val="center"/>
              <w:rPr>
                <w:szCs w:val="21"/>
              </w:rPr>
            </w:pPr>
            <w:r>
              <w:rPr>
                <w:kern w:val="0"/>
                <w:szCs w:val="21"/>
                <w:lang w:bidi="ar"/>
              </w:rPr>
              <w:t>100%</w:t>
            </w:r>
          </w:p>
        </w:tc>
        <w:tc>
          <w:tcPr>
            <w:tcW w:w="8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319AEF0">
            <w:pPr>
              <w:widowControl/>
              <w:snapToGrid w:val="0"/>
              <w:spacing w:line="240" w:lineRule="atLeast"/>
              <w:ind w:left="165"/>
              <w:jc w:val="center"/>
              <w:textAlignment w:val="center"/>
              <w:rPr>
                <w:szCs w:val="21"/>
              </w:rPr>
            </w:pPr>
            <w:r>
              <w:rPr>
                <w:kern w:val="0"/>
                <w:szCs w:val="21"/>
                <w:lang w:bidi="ar"/>
              </w:rPr>
              <w:t>60%</w:t>
            </w:r>
          </w:p>
        </w:tc>
        <w:tc>
          <w:tcPr>
            <w:tcW w:w="11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6185F31">
            <w:pPr>
              <w:widowControl/>
              <w:snapToGrid w:val="0"/>
              <w:spacing w:line="240" w:lineRule="atLeast"/>
              <w:ind w:left="165"/>
              <w:jc w:val="center"/>
              <w:textAlignment w:val="center"/>
              <w:rPr>
                <w:szCs w:val="21"/>
              </w:rPr>
            </w:pPr>
            <w:r>
              <w:rPr>
                <w:kern w:val="0"/>
                <w:szCs w:val="21"/>
                <w:lang w:bidi="ar"/>
              </w:rPr>
              <w:t>42</w:t>
            </w:r>
          </w:p>
        </w:tc>
        <w:tc>
          <w:tcPr>
            <w:tcW w:w="157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7061332D">
            <w:pPr>
              <w:widowControl/>
              <w:snapToGrid w:val="0"/>
              <w:spacing w:line="240" w:lineRule="atLeast"/>
              <w:ind w:left="165"/>
              <w:jc w:val="center"/>
              <w:textAlignment w:val="center"/>
              <w:rPr>
                <w:szCs w:val="21"/>
              </w:rPr>
            </w:pPr>
            <w:r>
              <w:rPr>
                <w:kern w:val="0"/>
                <w:szCs w:val="21"/>
                <w:lang w:bidi="ar"/>
              </w:rPr>
              <w:t>26</w:t>
            </w:r>
          </w:p>
        </w:tc>
        <w:tc>
          <w:tcPr>
            <w:tcW w:w="2058"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EF09237">
            <w:pPr>
              <w:widowControl/>
              <w:snapToGrid w:val="0"/>
              <w:spacing w:line="240" w:lineRule="atLeast"/>
              <w:ind w:left="165"/>
              <w:jc w:val="center"/>
              <w:textAlignment w:val="center"/>
              <w:rPr>
                <w:szCs w:val="21"/>
              </w:rPr>
            </w:pPr>
            <w:r>
              <w:rPr>
                <w:kern w:val="0"/>
                <w:szCs w:val="21"/>
                <w:lang w:bidi="ar"/>
              </w:rPr>
              <w:t>16</w:t>
            </w:r>
          </w:p>
        </w:tc>
      </w:tr>
      <w:tr w14:paraId="6AB7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atLeast"/>
          <w:jc w:val="center"/>
        </w:trPr>
        <w:tc>
          <w:tcPr>
            <w:tcW w:w="1151" w:type="dxa"/>
            <w:vMerge w:val="continue"/>
            <w:tcBorders>
              <w:top w:val="nil"/>
              <w:left w:val="single" w:color="000000" w:sz="4" w:space="0"/>
              <w:bottom w:val="single" w:color="000000" w:sz="4" w:space="0"/>
              <w:right w:val="single" w:color="000000" w:sz="4" w:space="0"/>
            </w:tcBorders>
            <w:tcMar>
              <w:top w:w="10" w:type="dxa"/>
              <w:left w:w="10" w:type="dxa"/>
              <w:right w:w="10" w:type="dxa"/>
            </w:tcMar>
            <w:vAlign w:val="center"/>
          </w:tcPr>
          <w:p w14:paraId="3E67A75B">
            <w:pPr>
              <w:rPr>
                <w:sz w:val="20"/>
                <w:szCs w:val="20"/>
              </w:rPr>
            </w:pPr>
          </w:p>
        </w:tc>
        <w:tc>
          <w:tcPr>
            <w:tcW w:w="992"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577E0000">
            <w:pPr>
              <w:widowControl/>
              <w:snapToGrid w:val="0"/>
              <w:spacing w:line="240" w:lineRule="atLeast"/>
              <w:ind w:left="165"/>
              <w:jc w:val="center"/>
              <w:textAlignment w:val="center"/>
              <w:rPr>
                <w:szCs w:val="21"/>
              </w:rPr>
            </w:pPr>
            <w:r>
              <w:rPr>
                <w:rFonts w:hint="eastAsia" w:ascii="宋体" w:hAnsi="宋体" w:cs="宋体"/>
                <w:kern w:val="0"/>
                <w:szCs w:val="21"/>
                <w:lang w:bidi="ar"/>
              </w:rPr>
              <w:t>复筛</w:t>
            </w:r>
          </w:p>
        </w:tc>
        <w:tc>
          <w:tcPr>
            <w:tcW w:w="141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38AECB56">
            <w:pPr>
              <w:widowControl/>
              <w:snapToGrid w:val="0"/>
              <w:spacing w:line="240" w:lineRule="atLeast"/>
              <w:ind w:left="165"/>
              <w:jc w:val="center"/>
              <w:textAlignment w:val="center"/>
              <w:rPr>
                <w:szCs w:val="21"/>
              </w:rPr>
            </w:pPr>
            <w:r>
              <w:rPr>
                <w:kern w:val="0"/>
                <w:szCs w:val="21"/>
                <w:lang w:bidi="ar"/>
              </w:rPr>
              <w:t>17α</w:t>
            </w:r>
            <w:r>
              <w:rPr>
                <w:rFonts w:hint="eastAsia" w:ascii="宋体" w:hAnsi="宋体" w:cs="宋体"/>
                <w:kern w:val="0"/>
                <w:szCs w:val="21"/>
                <w:lang w:bidi="ar"/>
              </w:rPr>
              <w:t>羟孕酮，皮质醇，睾酮，雄烯二酮，脱氢表雄酮</w:t>
            </w:r>
          </w:p>
        </w:tc>
        <w:tc>
          <w:tcPr>
            <w:tcW w:w="292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6CC2F5F">
            <w:pPr>
              <w:widowControl/>
              <w:snapToGrid w:val="0"/>
              <w:spacing w:line="240" w:lineRule="atLeast"/>
              <w:ind w:left="165"/>
              <w:jc w:val="center"/>
              <w:textAlignment w:val="center"/>
              <w:rPr>
                <w:szCs w:val="21"/>
              </w:rPr>
            </w:pPr>
            <w:r>
              <w:rPr>
                <w:rFonts w:hint="eastAsia" w:ascii="宋体" w:hAnsi="宋体" w:cs="宋体"/>
                <w:kern w:val="0"/>
                <w:szCs w:val="21"/>
                <w:lang w:bidi="ar"/>
              </w:rPr>
              <w:t>筛查阳性的新生儿（按初筛人群</w:t>
            </w:r>
            <w:r>
              <w:rPr>
                <w:kern w:val="0"/>
                <w:szCs w:val="21"/>
                <w:lang w:bidi="ar"/>
              </w:rPr>
              <w:t>2</w:t>
            </w:r>
            <w:r>
              <w:rPr>
                <w:rFonts w:hint="eastAsia" w:ascii="宋体" w:hAnsi="宋体" w:cs="宋体"/>
                <w:kern w:val="0"/>
                <w:szCs w:val="21"/>
                <w:lang w:bidi="ar"/>
              </w:rPr>
              <w:t>％计算）（甲低）（</w:t>
            </w:r>
            <w:r>
              <w:rPr>
                <w:kern w:val="0"/>
                <w:szCs w:val="21"/>
                <w:lang w:bidi="ar"/>
              </w:rPr>
              <w:t>CAH</w:t>
            </w:r>
            <w:r>
              <w:rPr>
                <w:rFonts w:hint="eastAsia" w:ascii="宋体" w:hAnsi="宋体" w:cs="宋体"/>
                <w:kern w:val="0"/>
                <w:szCs w:val="21"/>
                <w:lang w:bidi="ar"/>
              </w:rPr>
              <w:t>）</w:t>
            </w:r>
          </w:p>
        </w:tc>
        <w:tc>
          <w:tcPr>
            <w:tcW w:w="945" w:type="dxa"/>
            <w:vMerge w:val="continue"/>
            <w:tcBorders>
              <w:top w:val="nil"/>
              <w:left w:val="nil"/>
              <w:bottom w:val="single" w:color="auto" w:sz="4" w:space="0"/>
              <w:right w:val="single" w:color="000000" w:sz="4" w:space="0"/>
            </w:tcBorders>
            <w:tcMar>
              <w:top w:w="10" w:type="dxa"/>
              <w:left w:w="10" w:type="dxa"/>
              <w:right w:w="10" w:type="dxa"/>
            </w:tcMar>
            <w:vAlign w:val="center"/>
          </w:tcPr>
          <w:p w14:paraId="2E716FF7">
            <w:pPr>
              <w:rPr>
                <w:sz w:val="20"/>
                <w:szCs w:val="20"/>
              </w:rPr>
            </w:pPr>
          </w:p>
        </w:tc>
        <w:tc>
          <w:tcPr>
            <w:tcW w:w="88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5F292265">
            <w:pPr>
              <w:widowControl/>
              <w:snapToGrid w:val="0"/>
              <w:spacing w:line="240" w:lineRule="atLeast"/>
              <w:ind w:left="165"/>
              <w:jc w:val="center"/>
              <w:textAlignment w:val="center"/>
              <w:rPr>
                <w:szCs w:val="21"/>
              </w:rPr>
            </w:pPr>
            <w:r>
              <w:rPr>
                <w:kern w:val="0"/>
                <w:szCs w:val="21"/>
                <w:lang w:bidi="ar"/>
              </w:rPr>
              <w:t>107.5</w:t>
            </w:r>
          </w:p>
        </w:tc>
        <w:tc>
          <w:tcPr>
            <w:tcW w:w="124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5CA7C363">
            <w:pPr>
              <w:widowControl/>
              <w:snapToGrid w:val="0"/>
              <w:spacing w:line="240" w:lineRule="atLeast"/>
              <w:ind w:left="165"/>
              <w:jc w:val="center"/>
              <w:textAlignment w:val="center"/>
              <w:rPr>
                <w:szCs w:val="21"/>
              </w:rPr>
            </w:pPr>
            <w:r>
              <w:rPr>
                <w:kern w:val="0"/>
                <w:szCs w:val="21"/>
                <w:lang w:bidi="ar"/>
              </w:rPr>
              <w:t xml:space="preserve">96.8 </w:t>
            </w:r>
          </w:p>
        </w:tc>
        <w:tc>
          <w:tcPr>
            <w:tcW w:w="84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77EF41B3">
            <w:pPr>
              <w:widowControl/>
              <w:snapToGrid w:val="0"/>
              <w:spacing w:line="240" w:lineRule="atLeast"/>
              <w:ind w:left="165"/>
              <w:jc w:val="center"/>
              <w:textAlignment w:val="center"/>
              <w:rPr>
                <w:szCs w:val="21"/>
              </w:rPr>
            </w:pPr>
            <w:r>
              <w:rPr>
                <w:kern w:val="0"/>
                <w:szCs w:val="21"/>
                <w:lang w:bidi="ar"/>
              </w:rPr>
              <w:t>2%</w:t>
            </w:r>
          </w:p>
        </w:tc>
        <w:tc>
          <w:tcPr>
            <w:tcW w:w="8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8E8F986">
            <w:pPr>
              <w:widowControl/>
              <w:snapToGrid w:val="0"/>
              <w:spacing w:line="240" w:lineRule="atLeast"/>
              <w:ind w:left="165"/>
              <w:jc w:val="center"/>
              <w:textAlignment w:val="center"/>
              <w:rPr>
                <w:szCs w:val="21"/>
              </w:rPr>
            </w:pPr>
            <w:r>
              <w:rPr>
                <w:kern w:val="0"/>
                <w:szCs w:val="21"/>
                <w:lang w:bidi="ar"/>
              </w:rPr>
              <w:t>60%</w:t>
            </w:r>
          </w:p>
        </w:tc>
        <w:tc>
          <w:tcPr>
            <w:tcW w:w="11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748A990F">
            <w:pPr>
              <w:widowControl/>
              <w:snapToGrid w:val="0"/>
              <w:spacing w:line="240" w:lineRule="atLeast"/>
              <w:ind w:left="165"/>
              <w:jc w:val="center"/>
              <w:textAlignment w:val="center"/>
              <w:rPr>
                <w:szCs w:val="21"/>
              </w:rPr>
            </w:pPr>
            <w:r>
              <w:rPr>
                <w:kern w:val="0"/>
                <w:szCs w:val="21"/>
                <w:lang w:bidi="ar"/>
              </w:rPr>
              <w:t>2</w:t>
            </w:r>
          </w:p>
        </w:tc>
        <w:tc>
          <w:tcPr>
            <w:tcW w:w="157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0D32FBF">
            <w:pPr>
              <w:widowControl/>
              <w:snapToGrid w:val="0"/>
              <w:spacing w:line="240" w:lineRule="atLeast"/>
              <w:ind w:left="165"/>
              <w:jc w:val="center"/>
              <w:textAlignment w:val="center"/>
              <w:rPr>
                <w:szCs w:val="21"/>
              </w:rPr>
            </w:pPr>
            <w:r>
              <w:rPr>
                <w:kern w:val="0"/>
                <w:szCs w:val="21"/>
                <w:lang w:bidi="ar"/>
              </w:rPr>
              <w:t>1</w:t>
            </w:r>
          </w:p>
        </w:tc>
        <w:tc>
          <w:tcPr>
            <w:tcW w:w="2058"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59AE8A4">
            <w:pPr>
              <w:widowControl/>
              <w:snapToGrid w:val="0"/>
              <w:spacing w:line="240" w:lineRule="atLeast"/>
              <w:ind w:left="165"/>
              <w:jc w:val="center"/>
              <w:textAlignment w:val="center"/>
              <w:rPr>
                <w:szCs w:val="21"/>
              </w:rPr>
            </w:pPr>
            <w:r>
              <w:rPr>
                <w:kern w:val="0"/>
                <w:szCs w:val="21"/>
                <w:lang w:bidi="ar"/>
              </w:rPr>
              <w:t>1</w:t>
            </w:r>
          </w:p>
        </w:tc>
      </w:tr>
      <w:tr w14:paraId="6B6B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restart"/>
            <w:tcBorders>
              <w:top w:val="nil"/>
              <w:left w:val="single" w:color="000000" w:sz="4" w:space="0"/>
              <w:bottom w:val="single" w:color="000000" w:sz="4" w:space="0"/>
              <w:right w:val="single" w:color="000000" w:sz="4" w:space="0"/>
            </w:tcBorders>
            <w:tcMar>
              <w:top w:w="10" w:type="dxa"/>
              <w:left w:w="10" w:type="dxa"/>
              <w:right w:w="10" w:type="dxa"/>
            </w:tcMar>
            <w:vAlign w:val="center"/>
          </w:tcPr>
          <w:p w14:paraId="2F7CFA0C">
            <w:pPr>
              <w:widowControl/>
              <w:snapToGrid w:val="0"/>
              <w:spacing w:line="240" w:lineRule="atLeast"/>
              <w:ind w:left="165"/>
              <w:jc w:val="left"/>
              <w:textAlignment w:val="center"/>
              <w:rPr>
                <w:szCs w:val="21"/>
              </w:rPr>
            </w:pPr>
            <w:r>
              <w:rPr>
                <w:kern w:val="0"/>
                <w:szCs w:val="21"/>
                <w:lang w:bidi="ar"/>
              </w:rPr>
              <w:t>5</w:t>
            </w:r>
            <w:r>
              <w:rPr>
                <w:rFonts w:hint="eastAsia" w:ascii="宋体" w:hAnsi="宋体" w:cs="宋体"/>
                <w:kern w:val="0"/>
                <w:szCs w:val="21"/>
                <w:lang w:bidi="ar"/>
              </w:rPr>
              <w:t>、新生儿听力筛查</w:t>
            </w:r>
          </w:p>
        </w:tc>
        <w:tc>
          <w:tcPr>
            <w:tcW w:w="992"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0A7885E">
            <w:pPr>
              <w:widowControl/>
              <w:snapToGrid w:val="0"/>
              <w:spacing w:line="240" w:lineRule="atLeast"/>
              <w:ind w:left="165"/>
              <w:jc w:val="center"/>
              <w:textAlignment w:val="center"/>
              <w:rPr>
                <w:szCs w:val="21"/>
              </w:rPr>
            </w:pPr>
            <w:r>
              <w:rPr>
                <w:rFonts w:hint="eastAsia" w:ascii="宋体" w:hAnsi="宋体" w:cs="宋体"/>
                <w:kern w:val="0"/>
                <w:szCs w:val="21"/>
                <w:lang w:bidi="ar"/>
              </w:rPr>
              <w:t>初筛</w:t>
            </w:r>
          </w:p>
        </w:tc>
        <w:tc>
          <w:tcPr>
            <w:tcW w:w="141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514ECA5">
            <w:pPr>
              <w:widowControl/>
              <w:snapToGrid w:val="0"/>
              <w:spacing w:line="240" w:lineRule="atLeast"/>
              <w:ind w:left="165"/>
              <w:jc w:val="center"/>
              <w:textAlignment w:val="center"/>
              <w:rPr>
                <w:szCs w:val="21"/>
              </w:rPr>
            </w:pPr>
            <w:r>
              <w:rPr>
                <w:rFonts w:hint="eastAsia" w:ascii="宋体" w:hAnsi="宋体" w:cs="宋体"/>
                <w:kern w:val="0"/>
                <w:szCs w:val="21"/>
                <w:lang w:bidi="ar"/>
              </w:rPr>
              <w:t>耳声发射检查</w:t>
            </w:r>
          </w:p>
        </w:tc>
        <w:tc>
          <w:tcPr>
            <w:tcW w:w="292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23838D5">
            <w:pPr>
              <w:widowControl/>
              <w:snapToGrid w:val="0"/>
              <w:spacing w:line="240" w:lineRule="atLeast"/>
              <w:ind w:left="165"/>
              <w:jc w:val="center"/>
              <w:textAlignment w:val="center"/>
              <w:rPr>
                <w:szCs w:val="21"/>
              </w:rPr>
            </w:pPr>
            <w:r>
              <w:rPr>
                <w:rFonts w:hint="eastAsia" w:ascii="宋体" w:hAnsi="宋体" w:cs="宋体"/>
                <w:kern w:val="0"/>
                <w:szCs w:val="21"/>
                <w:lang w:bidi="ar"/>
              </w:rPr>
              <w:t>初筛为所有新生儿</w:t>
            </w:r>
          </w:p>
        </w:tc>
        <w:tc>
          <w:tcPr>
            <w:tcW w:w="945" w:type="dxa"/>
            <w:vMerge w:val="restart"/>
            <w:tcBorders>
              <w:top w:val="nil"/>
              <w:left w:val="nil"/>
              <w:bottom w:val="single" w:color="000000" w:sz="4" w:space="0"/>
              <w:right w:val="single" w:color="000000" w:sz="4" w:space="0"/>
            </w:tcBorders>
            <w:tcMar>
              <w:top w:w="10" w:type="dxa"/>
              <w:left w:w="10" w:type="dxa"/>
              <w:right w:w="10" w:type="dxa"/>
            </w:tcMar>
            <w:vAlign w:val="center"/>
          </w:tcPr>
          <w:p w14:paraId="0695AA2E">
            <w:pPr>
              <w:widowControl/>
              <w:snapToGrid w:val="0"/>
              <w:spacing w:line="240" w:lineRule="atLeast"/>
              <w:ind w:left="165"/>
              <w:jc w:val="center"/>
              <w:textAlignment w:val="center"/>
              <w:rPr>
                <w:szCs w:val="21"/>
              </w:rPr>
            </w:pPr>
            <w:r>
              <w:rPr>
                <w:rFonts w:hint="eastAsia" w:ascii="宋体" w:hAnsi="宋体" w:cs="宋体"/>
                <w:kern w:val="0"/>
                <w:szCs w:val="21"/>
                <w:lang w:bidi="ar"/>
              </w:rPr>
              <w:t>各市新生儿听力筛查机构</w:t>
            </w:r>
          </w:p>
        </w:tc>
        <w:tc>
          <w:tcPr>
            <w:tcW w:w="88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B476B68">
            <w:pPr>
              <w:widowControl/>
              <w:snapToGrid w:val="0"/>
              <w:spacing w:line="240" w:lineRule="atLeast"/>
              <w:ind w:left="165"/>
              <w:jc w:val="center"/>
              <w:textAlignment w:val="center"/>
              <w:rPr>
                <w:szCs w:val="21"/>
              </w:rPr>
            </w:pPr>
            <w:r>
              <w:rPr>
                <w:kern w:val="0"/>
                <w:szCs w:val="21"/>
                <w:lang w:bidi="ar"/>
              </w:rPr>
              <w:t xml:space="preserve">84.2 </w:t>
            </w:r>
          </w:p>
        </w:tc>
        <w:tc>
          <w:tcPr>
            <w:tcW w:w="124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3F7D4647">
            <w:pPr>
              <w:widowControl/>
              <w:snapToGrid w:val="0"/>
              <w:spacing w:line="240" w:lineRule="atLeast"/>
              <w:ind w:left="165"/>
              <w:jc w:val="center"/>
              <w:textAlignment w:val="center"/>
              <w:rPr>
                <w:szCs w:val="21"/>
              </w:rPr>
            </w:pPr>
            <w:r>
              <w:rPr>
                <w:kern w:val="0"/>
                <w:szCs w:val="21"/>
                <w:lang w:bidi="ar"/>
              </w:rPr>
              <w:t xml:space="preserve">75.8 </w:t>
            </w:r>
          </w:p>
        </w:tc>
        <w:tc>
          <w:tcPr>
            <w:tcW w:w="84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6DD7F61F">
            <w:pPr>
              <w:widowControl/>
              <w:snapToGrid w:val="0"/>
              <w:spacing w:line="240" w:lineRule="atLeast"/>
              <w:ind w:left="165"/>
              <w:jc w:val="center"/>
              <w:textAlignment w:val="center"/>
              <w:rPr>
                <w:szCs w:val="21"/>
              </w:rPr>
            </w:pPr>
            <w:r>
              <w:rPr>
                <w:kern w:val="0"/>
                <w:szCs w:val="21"/>
                <w:lang w:bidi="ar"/>
              </w:rPr>
              <w:t>100%</w:t>
            </w:r>
          </w:p>
        </w:tc>
        <w:tc>
          <w:tcPr>
            <w:tcW w:w="8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70177536">
            <w:pPr>
              <w:widowControl/>
              <w:snapToGrid w:val="0"/>
              <w:spacing w:line="240" w:lineRule="atLeast"/>
              <w:ind w:left="165"/>
              <w:jc w:val="center"/>
              <w:textAlignment w:val="center"/>
              <w:rPr>
                <w:szCs w:val="21"/>
              </w:rPr>
            </w:pPr>
            <w:r>
              <w:rPr>
                <w:kern w:val="0"/>
                <w:szCs w:val="21"/>
                <w:lang w:bidi="ar"/>
              </w:rPr>
              <w:t>60%</w:t>
            </w:r>
          </w:p>
        </w:tc>
        <w:tc>
          <w:tcPr>
            <w:tcW w:w="11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74B56C7E">
            <w:pPr>
              <w:widowControl/>
              <w:snapToGrid w:val="0"/>
              <w:spacing w:line="240" w:lineRule="atLeast"/>
              <w:ind w:left="165"/>
              <w:jc w:val="center"/>
              <w:textAlignment w:val="center"/>
              <w:rPr>
                <w:szCs w:val="21"/>
              </w:rPr>
            </w:pPr>
            <w:r>
              <w:rPr>
                <w:kern w:val="0"/>
                <w:szCs w:val="21"/>
                <w:lang w:bidi="ar"/>
              </w:rPr>
              <w:t>76</w:t>
            </w:r>
          </w:p>
        </w:tc>
        <w:tc>
          <w:tcPr>
            <w:tcW w:w="157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76135514">
            <w:pPr>
              <w:widowControl/>
              <w:snapToGrid w:val="0"/>
              <w:spacing w:line="240" w:lineRule="atLeast"/>
              <w:ind w:left="165"/>
              <w:jc w:val="center"/>
              <w:textAlignment w:val="center"/>
              <w:rPr>
                <w:szCs w:val="21"/>
              </w:rPr>
            </w:pPr>
            <w:r>
              <w:rPr>
                <w:kern w:val="0"/>
                <w:szCs w:val="21"/>
                <w:lang w:bidi="ar"/>
              </w:rPr>
              <w:t>46</w:t>
            </w:r>
          </w:p>
        </w:tc>
        <w:tc>
          <w:tcPr>
            <w:tcW w:w="2058"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1D51720">
            <w:pPr>
              <w:widowControl/>
              <w:snapToGrid w:val="0"/>
              <w:spacing w:line="240" w:lineRule="atLeast"/>
              <w:ind w:left="165"/>
              <w:jc w:val="center"/>
              <w:textAlignment w:val="center"/>
              <w:rPr>
                <w:szCs w:val="21"/>
              </w:rPr>
            </w:pPr>
            <w:r>
              <w:rPr>
                <w:kern w:val="0"/>
                <w:szCs w:val="21"/>
                <w:lang w:bidi="ar"/>
              </w:rPr>
              <w:t>30</w:t>
            </w:r>
          </w:p>
        </w:tc>
      </w:tr>
      <w:tr w14:paraId="4394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continue"/>
            <w:tcBorders>
              <w:top w:val="nil"/>
              <w:left w:val="single" w:color="000000" w:sz="4" w:space="0"/>
              <w:bottom w:val="single" w:color="000000" w:sz="4" w:space="0"/>
              <w:right w:val="single" w:color="000000" w:sz="4" w:space="0"/>
            </w:tcBorders>
            <w:tcMar>
              <w:top w:w="10" w:type="dxa"/>
              <w:left w:w="10" w:type="dxa"/>
              <w:right w:w="10" w:type="dxa"/>
            </w:tcMar>
            <w:vAlign w:val="center"/>
          </w:tcPr>
          <w:p w14:paraId="6113ADF4">
            <w:pPr>
              <w:rPr>
                <w:sz w:val="20"/>
                <w:szCs w:val="20"/>
              </w:rPr>
            </w:pPr>
          </w:p>
        </w:tc>
        <w:tc>
          <w:tcPr>
            <w:tcW w:w="992"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EE5EC9E">
            <w:pPr>
              <w:widowControl/>
              <w:snapToGrid w:val="0"/>
              <w:spacing w:line="240" w:lineRule="atLeast"/>
              <w:ind w:left="165"/>
              <w:jc w:val="center"/>
              <w:textAlignment w:val="center"/>
              <w:rPr>
                <w:szCs w:val="21"/>
              </w:rPr>
            </w:pPr>
            <w:r>
              <w:rPr>
                <w:rFonts w:hint="eastAsia" w:ascii="宋体" w:hAnsi="宋体" w:cs="宋体"/>
                <w:kern w:val="0"/>
                <w:szCs w:val="21"/>
                <w:lang w:bidi="ar"/>
              </w:rPr>
              <w:t>复筛</w:t>
            </w:r>
          </w:p>
        </w:tc>
        <w:tc>
          <w:tcPr>
            <w:tcW w:w="141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8820BBC">
            <w:pPr>
              <w:widowControl/>
              <w:snapToGrid w:val="0"/>
              <w:spacing w:line="240" w:lineRule="atLeast"/>
              <w:ind w:left="165"/>
              <w:jc w:val="center"/>
              <w:textAlignment w:val="center"/>
              <w:rPr>
                <w:szCs w:val="21"/>
              </w:rPr>
            </w:pPr>
            <w:r>
              <w:rPr>
                <w:rFonts w:hint="eastAsia" w:ascii="宋体" w:hAnsi="宋体" w:cs="宋体"/>
                <w:kern w:val="0"/>
                <w:szCs w:val="21"/>
                <w:lang w:bidi="ar"/>
              </w:rPr>
              <w:t>耳声发射检查</w:t>
            </w:r>
            <w:r>
              <w:rPr>
                <w:kern w:val="0"/>
                <w:szCs w:val="21"/>
                <w:lang w:bidi="ar"/>
              </w:rPr>
              <w:t>OAE+</w:t>
            </w:r>
            <w:r>
              <w:rPr>
                <w:rFonts w:hint="eastAsia" w:ascii="宋体" w:hAnsi="宋体" w:cs="宋体"/>
                <w:kern w:val="0"/>
                <w:szCs w:val="21"/>
                <w:lang w:bidi="ar"/>
              </w:rPr>
              <w:t>自动听性脑干反应</w:t>
            </w:r>
            <w:r>
              <w:rPr>
                <w:kern w:val="0"/>
                <w:szCs w:val="21"/>
                <w:lang w:bidi="ar"/>
              </w:rPr>
              <w:t>AABR</w:t>
            </w:r>
          </w:p>
        </w:tc>
        <w:tc>
          <w:tcPr>
            <w:tcW w:w="292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5675E6D4">
            <w:pPr>
              <w:widowControl/>
              <w:snapToGrid w:val="0"/>
              <w:spacing w:line="240" w:lineRule="atLeast"/>
              <w:ind w:left="165"/>
              <w:jc w:val="center"/>
              <w:textAlignment w:val="center"/>
              <w:rPr>
                <w:szCs w:val="21"/>
              </w:rPr>
            </w:pPr>
            <w:r>
              <w:rPr>
                <w:rFonts w:hint="eastAsia" w:ascii="宋体" w:hAnsi="宋体" w:cs="宋体"/>
                <w:kern w:val="0"/>
                <w:szCs w:val="21"/>
                <w:lang w:bidi="ar"/>
              </w:rPr>
              <w:t>筛查阳性的新生儿（按初筛人群</w:t>
            </w:r>
            <w:r>
              <w:rPr>
                <w:kern w:val="0"/>
                <w:szCs w:val="21"/>
                <w:lang w:bidi="ar"/>
              </w:rPr>
              <w:t>5</w:t>
            </w:r>
            <w:r>
              <w:rPr>
                <w:rFonts w:hint="eastAsia" w:ascii="宋体" w:hAnsi="宋体" w:cs="宋体"/>
                <w:kern w:val="0"/>
                <w:szCs w:val="21"/>
                <w:lang w:bidi="ar"/>
              </w:rPr>
              <w:t>％计算）（听力筛查）</w:t>
            </w:r>
          </w:p>
        </w:tc>
        <w:tc>
          <w:tcPr>
            <w:tcW w:w="945" w:type="dxa"/>
            <w:vMerge w:val="continue"/>
            <w:tcBorders>
              <w:top w:val="nil"/>
              <w:left w:val="nil"/>
              <w:bottom w:val="single" w:color="000000" w:sz="4" w:space="0"/>
              <w:right w:val="single" w:color="000000" w:sz="4" w:space="0"/>
            </w:tcBorders>
            <w:tcMar>
              <w:top w:w="10" w:type="dxa"/>
              <w:left w:w="10" w:type="dxa"/>
              <w:right w:w="10" w:type="dxa"/>
            </w:tcMar>
            <w:vAlign w:val="center"/>
          </w:tcPr>
          <w:p w14:paraId="15E88209">
            <w:pPr>
              <w:rPr>
                <w:sz w:val="20"/>
                <w:szCs w:val="20"/>
              </w:rPr>
            </w:pPr>
          </w:p>
        </w:tc>
        <w:tc>
          <w:tcPr>
            <w:tcW w:w="88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5D31AF81">
            <w:pPr>
              <w:widowControl/>
              <w:snapToGrid w:val="0"/>
              <w:spacing w:line="240" w:lineRule="atLeast"/>
              <w:ind w:left="165"/>
              <w:jc w:val="center"/>
              <w:textAlignment w:val="center"/>
              <w:rPr>
                <w:szCs w:val="21"/>
              </w:rPr>
            </w:pPr>
            <w:r>
              <w:rPr>
                <w:kern w:val="0"/>
                <w:szCs w:val="21"/>
                <w:lang w:bidi="ar"/>
              </w:rPr>
              <w:t xml:space="preserve">299.5 </w:t>
            </w:r>
          </w:p>
        </w:tc>
        <w:tc>
          <w:tcPr>
            <w:tcW w:w="124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65242D05">
            <w:pPr>
              <w:widowControl/>
              <w:snapToGrid w:val="0"/>
              <w:spacing w:line="240" w:lineRule="atLeast"/>
              <w:ind w:left="165"/>
              <w:jc w:val="center"/>
              <w:textAlignment w:val="center"/>
              <w:rPr>
                <w:szCs w:val="21"/>
              </w:rPr>
            </w:pPr>
            <w:r>
              <w:rPr>
                <w:kern w:val="0"/>
                <w:szCs w:val="21"/>
                <w:lang w:bidi="ar"/>
              </w:rPr>
              <w:t xml:space="preserve">269.6 </w:t>
            </w:r>
          </w:p>
        </w:tc>
        <w:tc>
          <w:tcPr>
            <w:tcW w:w="84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4B53BBD5">
            <w:pPr>
              <w:widowControl/>
              <w:snapToGrid w:val="0"/>
              <w:spacing w:line="240" w:lineRule="atLeast"/>
              <w:ind w:left="165"/>
              <w:jc w:val="center"/>
              <w:textAlignment w:val="center"/>
              <w:rPr>
                <w:szCs w:val="21"/>
              </w:rPr>
            </w:pPr>
            <w:r>
              <w:rPr>
                <w:kern w:val="0"/>
                <w:szCs w:val="21"/>
                <w:lang w:bidi="ar"/>
              </w:rPr>
              <w:t>5%</w:t>
            </w:r>
          </w:p>
        </w:tc>
        <w:tc>
          <w:tcPr>
            <w:tcW w:w="8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F492AFF">
            <w:pPr>
              <w:widowControl/>
              <w:snapToGrid w:val="0"/>
              <w:spacing w:line="240" w:lineRule="atLeast"/>
              <w:ind w:left="165"/>
              <w:jc w:val="center"/>
              <w:textAlignment w:val="center"/>
              <w:rPr>
                <w:szCs w:val="21"/>
              </w:rPr>
            </w:pPr>
            <w:r>
              <w:rPr>
                <w:kern w:val="0"/>
                <w:szCs w:val="21"/>
                <w:lang w:bidi="ar"/>
              </w:rPr>
              <w:t>60%</w:t>
            </w:r>
          </w:p>
        </w:tc>
        <w:tc>
          <w:tcPr>
            <w:tcW w:w="11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607B5E33">
            <w:pPr>
              <w:widowControl/>
              <w:snapToGrid w:val="0"/>
              <w:spacing w:line="240" w:lineRule="atLeast"/>
              <w:ind w:left="165"/>
              <w:jc w:val="center"/>
              <w:textAlignment w:val="center"/>
              <w:rPr>
                <w:szCs w:val="21"/>
              </w:rPr>
            </w:pPr>
            <w:r>
              <w:rPr>
                <w:kern w:val="0"/>
                <w:szCs w:val="21"/>
                <w:lang w:bidi="ar"/>
              </w:rPr>
              <w:t>14</w:t>
            </w:r>
          </w:p>
        </w:tc>
        <w:tc>
          <w:tcPr>
            <w:tcW w:w="157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42425CC">
            <w:pPr>
              <w:widowControl/>
              <w:snapToGrid w:val="0"/>
              <w:spacing w:line="240" w:lineRule="atLeast"/>
              <w:ind w:left="165"/>
              <w:jc w:val="center"/>
              <w:textAlignment w:val="center"/>
              <w:rPr>
                <w:szCs w:val="21"/>
              </w:rPr>
            </w:pPr>
            <w:r>
              <w:rPr>
                <w:kern w:val="0"/>
                <w:szCs w:val="21"/>
                <w:lang w:bidi="ar"/>
              </w:rPr>
              <w:t>8</w:t>
            </w:r>
          </w:p>
        </w:tc>
        <w:tc>
          <w:tcPr>
            <w:tcW w:w="2058"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11CE055">
            <w:pPr>
              <w:widowControl/>
              <w:snapToGrid w:val="0"/>
              <w:spacing w:line="240" w:lineRule="atLeast"/>
              <w:ind w:left="165"/>
              <w:jc w:val="center"/>
              <w:textAlignment w:val="center"/>
              <w:rPr>
                <w:szCs w:val="21"/>
              </w:rPr>
            </w:pPr>
            <w:r>
              <w:rPr>
                <w:kern w:val="0"/>
                <w:szCs w:val="21"/>
                <w:lang w:bidi="ar"/>
              </w:rPr>
              <w:t>6</w:t>
            </w:r>
          </w:p>
        </w:tc>
      </w:tr>
      <w:tr w14:paraId="5A86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restart"/>
            <w:tcBorders>
              <w:top w:val="nil"/>
              <w:left w:val="single" w:color="000000" w:sz="4" w:space="0"/>
              <w:bottom w:val="single" w:color="000000" w:sz="4" w:space="0"/>
              <w:right w:val="single" w:color="000000" w:sz="4" w:space="0"/>
            </w:tcBorders>
            <w:tcMar>
              <w:top w:w="10" w:type="dxa"/>
              <w:left w:w="10" w:type="dxa"/>
              <w:right w:w="10" w:type="dxa"/>
            </w:tcMar>
            <w:vAlign w:val="center"/>
          </w:tcPr>
          <w:p w14:paraId="1C256243">
            <w:pPr>
              <w:widowControl/>
              <w:snapToGrid w:val="0"/>
              <w:spacing w:line="240" w:lineRule="atLeast"/>
              <w:ind w:left="165"/>
              <w:jc w:val="left"/>
              <w:textAlignment w:val="center"/>
              <w:rPr>
                <w:rFonts w:hint="eastAsia" w:ascii="宋体" w:hAnsi="宋体" w:cs="宋体"/>
                <w:szCs w:val="21"/>
              </w:rPr>
            </w:pPr>
            <w:r>
              <w:rPr>
                <w:kern w:val="0"/>
                <w:szCs w:val="21"/>
                <w:lang w:bidi="ar"/>
              </w:rPr>
              <w:t>6</w:t>
            </w:r>
            <w:r>
              <w:rPr>
                <w:rFonts w:hint="eastAsia" w:ascii="宋体" w:hAnsi="宋体" w:cs="宋体"/>
                <w:kern w:val="0"/>
                <w:szCs w:val="21"/>
                <w:lang w:bidi="ar"/>
              </w:rPr>
              <w:t>、早产儿视网膜病变</w:t>
            </w:r>
          </w:p>
        </w:tc>
        <w:tc>
          <w:tcPr>
            <w:tcW w:w="992"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53E5DA5">
            <w:pPr>
              <w:widowControl/>
              <w:snapToGrid w:val="0"/>
              <w:spacing w:line="240" w:lineRule="atLeast"/>
              <w:ind w:left="165"/>
              <w:jc w:val="center"/>
              <w:textAlignment w:val="center"/>
              <w:rPr>
                <w:szCs w:val="21"/>
              </w:rPr>
            </w:pPr>
            <w:r>
              <w:rPr>
                <w:rFonts w:hint="eastAsia" w:ascii="宋体" w:hAnsi="宋体" w:cs="宋体"/>
                <w:kern w:val="0"/>
                <w:szCs w:val="21"/>
                <w:lang w:bidi="ar"/>
              </w:rPr>
              <w:t>初筛</w:t>
            </w:r>
          </w:p>
        </w:tc>
        <w:tc>
          <w:tcPr>
            <w:tcW w:w="141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2EE48437">
            <w:pPr>
              <w:widowControl/>
              <w:snapToGrid w:val="0"/>
              <w:spacing w:line="240" w:lineRule="atLeast"/>
              <w:ind w:left="165"/>
              <w:jc w:val="center"/>
              <w:textAlignment w:val="center"/>
              <w:rPr>
                <w:szCs w:val="21"/>
              </w:rPr>
            </w:pPr>
            <w:r>
              <w:rPr>
                <w:rFonts w:hint="eastAsia" w:ascii="宋体" w:hAnsi="宋体" w:cs="宋体"/>
                <w:kern w:val="0"/>
                <w:szCs w:val="21"/>
                <w:lang w:bidi="ar"/>
              </w:rPr>
              <w:t>新生儿视网膜筛查</w:t>
            </w:r>
          </w:p>
        </w:tc>
        <w:tc>
          <w:tcPr>
            <w:tcW w:w="292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EE47CB9">
            <w:pPr>
              <w:widowControl/>
              <w:snapToGrid w:val="0"/>
              <w:spacing w:line="240" w:lineRule="atLeast"/>
              <w:ind w:left="165"/>
              <w:jc w:val="center"/>
              <w:textAlignment w:val="center"/>
              <w:rPr>
                <w:kern w:val="0"/>
                <w:szCs w:val="21"/>
              </w:rPr>
            </w:pPr>
            <w:r>
              <w:rPr>
                <w:rFonts w:hint="eastAsia" w:ascii="宋体" w:hAnsi="宋体" w:cs="宋体"/>
                <w:kern w:val="0"/>
                <w:szCs w:val="21"/>
                <w:lang w:bidi="ar"/>
              </w:rPr>
              <w:t>所有早产儿（按早产率</w:t>
            </w:r>
            <w:r>
              <w:rPr>
                <w:kern w:val="0"/>
                <w:szCs w:val="21"/>
                <w:lang w:bidi="ar"/>
              </w:rPr>
              <w:t>4.85%</w:t>
            </w:r>
            <w:r>
              <w:rPr>
                <w:rFonts w:hint="eastAsia" w:ascii="宋体" w:hAnsi="宋体" w:cs="宋体"/>
                <w:kern w:val="0"/>
                <w:szCs w:val="21"/>
                <w:lang w:bidi="ar"/>
              </w:rPr>
              <w:t>计算）</w:t>
            </w:r>
          </w:p>
        </w:tc>
        <w:tc>
          <w:tcPr>
            <w:tcW w:w="945" w:type="dxa"/>
            <w:vMerge w:val="restart"/>
            <w:tcBorders>
              <w:top w:val="nil"/>
              <w:left w:val="nil"/>
              <w:bottom w:val="single" w:color="000000" w:sz="4" w:space="0"/>
              <w:right w:val="single" w:color="000000" w:sz="4" w:space="0"/>
            </w:tcBorders>
            <w:tcMar>
              <w:top w:w="10" w:type="dxa"/>
              <w:left w:w="10" w:type="dxa"/>
              <w:right w:w="10" w:type="dxa"/>
            </w:tcMar>
            <w:vAlign w:val="center"/>
          </w:tcPr>
          <w:p w14:paraId="600988CE">
            <w:pPr>
              <w:widowControl/>
              <w:snapToGrid w:val="0"/>
              <w:spacing w:line="240" w:lineRule="atLeast"/>
              <w:ind w:left="165"/>
              <w:jc w:val="center"/>
              <w:textAlignment w:val="center"/>
              <w:rPr>
                <w:szCs w:val="21"/>
              </w:rPr>
            </w:pPr>
            <w:r>
              <w:rPr>
                <w:rFonts w:hint="eastAsia" w:ascii="宋体" w:hAnsi="宋体" w:cs="宋体"/>
                <w:kern w:val="0"/>
                <w:szCs w:val="21"/>
                <w:lang w:bidi="ar"/>
              </w:rPr>
              <w:t>有条件的县级以上定点新生儿筛查机构</w:t>
            </w:r>
          </w:p>
        </w:tc>
        <w:tc>
          <w:tcPr>
            <w:tcW w:w="88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6B461804">
            <w:pPr>
              <w:widowControl/>
              <w:snapToGrid w:val="0"/>
              <w:spacing w:line="240" w:lineRule="atLeast"/>
              <w:ind w:left="165"/>
              <w:jc w:val="center"/>
              <w:textAlignment w:val="center"/>
              <w:rPr>
                <w:szCs w:val="21"/>
              </w:rPr>
            </w:pPr>
            <w:r>
              <w:rPr>
                <w:kern w:val="0"/>
                <w:szCs w:val="21"/>
                <w:lang w:bidi="ar"/>
              </w:rPr>
              <w:t>323</w:t>
            </w:r>
          </w:p>
        </w:tc>
        <w:tc>
          <w:tcPr>
            <w:tcW w:w="124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6C917498">
            <w:pPr>
              <w:widowControl/>
              <w:snapToGrid w:val="0"/>
              <w:spacing w:line="240" w:lineRule="atLeast"/>
              <w:ind w:left="165"/>
              <w:jc w:val="center"/>
              <w:textAlignment w:val="center"/>
              <w:rPr>
                <w:szCs w:val="21"/>
              </w:rPr>
            </w:pPr>
            <w:r>
              <w:rPr>
                <w:kern w:val="0"/>
                <w:szCs w:val="21"/>
                <w:lang w:bidi="ar"/>
              </w:rPr>
              <w:t xml:space="preserve">290.7 </w:t>
            </w:r>
          </w:p>
        </w:tc>
        <w:tc>
          <w:tcPr>
            <w:tcW w:w="84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6DC32798">
            <w:pPr>
              <w:widowControl/>
              <w:snapToGrid w:val="0"/>
              <w:spacing w:line="240" w:lineRule="atLeast"/>
              <w:ind w:left="165"/>
              <w:jc w:val="center"/>
              <w:textAlignment w:val="center"/>
              <w:rPr>
                <w:szCs w:val="21"/>
              </w:rPr>
            </w:pPr>
            <w:r>
              <w:rPr>
                <w:kern w:val="0"/>
                <w:szCs w:val="21"/>
                <w:lang w:bidi="ar"/>
              </w:rPr>
              <w:t>4.85%</w:t>
            </w:r>
          </w:p>
        </w:tc>
        <w:tc>
          <w:tcPr>
            <w:tcW w:w="8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73540E54">
            <w:pPr>
              <w:widowControl/>
              <w:snapToGrid w:val="0"/>
              <w:spacing w:line="240" w:lineRule="atLeast"/>
              <w:ind w:left="165"/>
              <w:jc w:val="center"/>
              <w:textAlignment w:val="center"/>
              <w:rPr>
                <w:szCs w:val="21"/>
              </w:rPr>
            </w:pPr>
            <w:r>
              <w:rPr>
                <w:kern w:val="0"/>
                <w:szCs w:val="21"/>
                <w:lang w:bidi="ar"/>
              </w:rPr>
              <w:t>60%</w:t>
            </w:r>
          </w:p>
        </w:tc>
        <w:tc>
          <w:tcPr>
            <w:tcW w:w="11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5F299571">
            <w:pPr>
              <w:widowControl/>
              <w:snapToGrid w:val="0"/>
              <w:spacing w:line="240" w:lineRule="atLeast"/>
              <w:ind w:left="165"/>
              <w:jc w:val="center"/>
              <w:textAlignment w:val="center"/>
              <w:rPr>
                <w:szCs w:val="21"/>
              </w:rPr>
            </w:pPr>
            <w:r>
              <w:rPr>
                <w:kern w:val="0"/>
                <w:szCs w:val="21"/>
                <w:lang w:bidi="ar"/>
              </w:rPr>
              <w:t>14</w:t>
            </w:r>
          </w:p>
        </w:tc>
        <w:tc>
          <w:tcPr>
            <w:tcW w:w="157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5F570978">
            <w:pPr>
              <w:widowControl/>
              <w:snapToGrid w:val="0"/>
              <w:spacing w:line="240" w:lineRule="atLeast"/>
              <w:ind w:left="165"/>
              <w:jc w:val="center"/>
              <w:textAlignment w:val="center"/>
              <w:rPr>
                <w:szCs w:val="21"/>
              </w:rPr>
            </w:pPr>
            <w:r>
              <w:rPr>
                <w:kern w:val="0"/>
                <w:szCs w:val="21"/>
                <w:lang w:bidi="ar"/>
              </w:rPr>
              <w:t>8</w:t>
            </w:r>
          </w:p>
        </w:tc>
        <w:tc>
          <w:tcPr>
            <w:tcW w:w="2058"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6AEE9341">
            <w:pPr>
              <w:widowControl/>
              <w:snapToGrid w:val="0"/>
              <w:spacing w:line="240" w:lineRule="atLeast"/>
              <w:ind w:left="165"/>
              <w:jc w:val="center"/>
              <w:textAlignment w:val="center"/>
              <w:rPr>
                <w:szCs w:val="21"/>
              </w:rPr>
            </w:pPr>
            <w:r>
              <w:rPr>
                <w:kern w:val="0"/>
                <w:szCs w:val="21"/>
                <w:lang w:bidi="ar"/>
              </w:rPr>
              <w:t>6</w:t>
            </w:r>
          </w:p>
        </w:tc>
      </w:tr>
      <w:tr w14:paraId="7ACD1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continue"/>
            <w:tcBorders>
              <w:top w:val="nil"/>
              <w:left w:val="single" w:color="000000" w:sz="4" w:space="0"/>
              <w:bottom w:val="single" w:color="000000" w:sz="4" w:space="0"/>
              <w:right w:val="single" w:color="000000" w:sz="4" w:space="0"/>
            </w:tcBorders>
            <w:tcMar>
              <w:top w:w="10" w:type="dxa"/>
              <w:left w:w="10" w:type="dxa"/>
              <w:right w:w="10" w:type="dxa"/>
            </w:tcMar>
            <w:vAlign w:val="center"/>
          </w:tcPr>
          <w:p w14:paraId="237B65CB">
            <w:pPr>
              <w:rPr>
                <w:sz w:val="20"/>
                <w:szCs w:val="20"/>
              </w:rPr>
            </w:pPr>
          </w:p>
        </w:tc>
        <w:tc>
          <w:tcPr>
            <w:tcW w:w="992"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6BB6CFB3">
            <w:pPr>
              <w:widowControl/>
              <w:snapToGrid w:val="0"/>
              <w:spacing w:line="240" w:lineRule="atLeast"/>
              <w:ind w:left="165"/>
              <w:jc w:val="center"/>
              <w:textAlignment w:val="center"/>
              <w:rPr>
                <w:szCs w:val="21"/>
              </w:rPr>
            </w:pPr>
            <w:r>
              <w:rPr>
                <w:rFonts w:hint="eastAsia" w:ascii="宋体" w:hAnsi="宋体" w:cs="宋体"/>
                <w:kern w:val="0"/>
                <w:szCs w:val="21"/>
                <w:lang w:bidi="ar"/>
              </w:rPr>
              <w:t>复筛</w:t>
            </w:r>
          </w:p>
        </w:tc>
        <w:tc>
          <w:tcPr>
            <w:tcW w:w="141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5134966E">
            <w:pPr>
              <w:widowControl/>
              <w:snapToGrid w:val="0"/>
              <w:spacing w:line="240" w:lineRule="atLeast"/>
              <w:ind w:left="165"/>
              <w:jc w:val="center"/>
              <w:textAlignment w:val="center"/>
              <w:rPr>
                <w:szCs w:val="21"/>
              </w:rPr>
            </w:pPr>
            <w:r>
              <w:rPr>
                <w:rFonts w:hint="eastAsia" w:ascii="宋体" w:hAnsi="宋体" w:cs="宋体"/>
                <w:kern w:val="0"/>
                <w:szCs w:val="21"/>
                <w:lang w:bidi="ar"/>
              </w:rPr>
              <w:t>视网膜病变复筛</w:t>
            </w:r>
            <w:r>
              <w:rPr>
                <w:kern w:val="0"/>
                <w:szCs w:val="21"/>
                <w:lang w:bidi="ar"/>
              </w:rPr>
              <w:t>/</w:t>
            </w:r>
            <w:r>
              <w:rPr>
                <w:rFonts w:hint="eastAsia" w:ascii="宋体" w:hAnsi="宋体" w:cs="宋体"/>
                <w:kern w:val="0"/>
                <w:szCs w:val="21"/>
                <w:lang w:bidi="ar"/>
              </w:rPr>
              <w:t>诊断</w:t>
            </w:r>
          </w:p>
        </w:tc>
        <w:tc>
          <w:tcPr>
            <w:tcW w:w="292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35C48BF9">
            <w:pPr>
              <w:widowControl/>
              <w:snapToGrid w:val="0"/>
              <w:spacing w:line="240" w:lineRule="atLeast"/>
              <w:ind w:left="165"/>
              <w:jc w:val="center"/>
              <w:textAlignment w:val="center"/>
              <w:rPr>
                <w:kern w:val="0"/>
                <w:szCs w:val="21"/>
              </w:rPr>
            </w:pPr>
            <w:r>
              <w:rPr>
                <w:rFonts w:hint="eastAsia" w:ascii="宋体" w:hAnsi="宋体" w:cs="宋体"/>
                <w:kern w:val="0"/>
                <w:szCs w:val="21"/>
                <w:lang w:bidi="ar"/>
              </w:rPr>
              <w:t>初筛阳性新生儿（按所有新生儿</w:t>
            </w:r>
            <w:r>
              <w:rPr>
                <w:kern w:val="0"/>
                <w:szCs w:val="21"/>
                <w:lang w:bidi="ar"/>
              </w:rPr>
              <w:t>1%</w:t>
            </w:r>
            <w:r>
              <w:rPr>
                <w:rFonts w:hint="eastAsia" w:ascii="宋体" w:hAnsi="宋体" w:cs="宋体"/>
                <w:kern w:val="0"/>
                <w:szCs w:val="21"/>
                <w:lang w:bidi="ar"/>
              </w:rPr>
              <w:t>计算）</w:t>
            </w:r>
          </w:p>
        </w:tc>
        <w:tc>
          <w:tcPr>
            <w:tcW w:w="945" w:type="dxa"/>
            <w:vMerge w:val="continue"/>
            <w:tcBorders>
              <w:top w:val="nil"/>
              <w:left w:val="nil"/>
              <w:bottom w:val="single" w:color="000000" w:sz="4" w:space="0"/>
              <w:right w:val="single" w:color="000000" w:sz="4" w:space="0"/>
            </w:tcBorders>
            <w:tcMar>
              <w:top w:w="10" w:type="dxa"/>
              <w:left w:w="10" w:type="dxa"/>
              <w:right w:w="10" w:type="dxa"/>
            </w:tcMar>
            <w:vAlign w:val="center"/>
          </w:tcPr>
          <w:p w14:paraId="1269761F">
            <w:pPr>
              <w:rPr>
                <w:sz w:val="20"/>
                <w:szCs w:val="20"/>
              </w:rPr>
            </w:pPr>
          </w:p>
        </w:tc>
        <w:tc>
          <w:tcPr>
            <w:tcW w:w="887"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348F9DAA">
            <w:pPr>
              <w:widowControl/>
              <w:snapToGrid w:val="0"/>
              <w:spacing w:line="240" w:lineRule="atLeast"/>
              <w:ind w:left="165"/>
              <w:jc w:val="center"/>
              <w:textAlignment w:val="center"/>
              <w:rPr>
                <w:szCs w:val="21"/>
              </w:rPr>
            </w:pPr>
            <w:r>
              <w:rPr>
                <w:kern w:val="0"/>
                <w:szCs w:val="21"/>
                <w:lang w:bidi="ar"/>
              </w:rPr>
              <w:t>323</w:t>
            </w:r>
          </w:p>
        </w:tc>
        <w:tc>
          <w:tcPr>
            <w:tcW w:w="124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5E28DB6">
            <w:pPr>
              <w:widowControl/>
              <w:snapToGrid w:val="0"/>
              <w:spacing w:line="240" w:lineRule="atLeast"/>
              <w:ind w:left="165"/>
              <w:jc w:val="center"/>
              <w:textAlignment w:val="center"/>
              <w:rPr>
                <w:szCs w:val="21"/>
              </w:rPr>
            </w:pPr>
            <w:r>
              <w:rPr>
                <w:kern w:val="0"/>
                <w:szCs w:val="21"/>
                <w:lang w:bidi="ar"/>
              </w:rPr>
              <w:t xml:space="preserve">290.7 </w:t>
            </w:r>
          </w:p>
        </w:tc>
        <w:tc>
          <w:tcPr>
            <w:tcW w:w="84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5E80DEC">
            <w:pPr>
              <w:widowControl/>
              <w:snapToGrid w:val="0"/>
              <w:spacing w:line="240" w:lineRule="atLeast"/>
              <w:ind w:left="165"/>
              <w:jc w:val="center"/>
              <w:textAlignment w:val="center"/>
              <w:rPr>
                <w:szCs w:val="21"/>
              </w:rPr>
            </w:pPr>
            <w:r>
              <w:rPr>
                <w:kern w:val="0"/>
                <w:szCs w:val="21"/>
                <w:lang w:bidi="ar"/>
              </w:rPr>
              <w:t>1%</w:t>
            </w:r>
          </w:p>
        </w:tc>
        <w:tc>
          <w:tcPr>
            <w:tcW w:w="8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775A50EA">
            <w:pPr>
              <w:widowControl/>
              <w:snapToGrid w:val="0"/>
              <w:spacing w:line="240" w:lineRule="atLeast"/>
              <w:ind w:left="165"/>
              <w:jc w:val="center"/>
              <w:textAlignment w:val="center"/>
              <w:rPr>
                <w:szCs w:val="21"/>
              </w:rPr>
            </w:pPr>
            <w:r>
              <w:rPr>
                <w:kern w:val="0"/>
                <w:szCs w:val="21"/>
                <w:lang w:bidi="ar"/>
              </w:rPr>
              <w:t>60%</w:t>
            </w:r>
          </w:p>
        </w:tc>
        <w:tc>
          <w:tcPr>
            <w:tcW w:w="1170"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5F4F1948">
            <w:pPr>
              <w:widowControl/>
              <w:snapToGrid w:val="0"/>
              <w:spacing w:line="240" w:lineRule="atLeast"/>
              <w:ind w:left="165"/>
              <w:jc w:val="center"/>
              <w:textAlignment w:val="center"/>
              <w:rPr>
                <w:szCs w:val="21"/>
              </w:rPr>
            </w:pPr>
            <w:r>
              <w:rPr>
                <w:kern w:val="0"/>
                <w:szCs w:val="21"/>
                <w:lang w:bidi="ar"/>
              </w:rPr>
              <w:t>3</w:t>
            </w:r>
          </w:p>
        </w:tc>
        <w:tc>
          <w:tcPr>
            <w:tcW w:w="1575"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1A805D91">
            <w:pPr>
              <w:widowControl/>
              <w:snapToGrid w:val="0"/>
              <w:spacing w:line="240" w:lineRule="atLeast"/>
              <w:ind w:left="165"/>
              <w:jc w:val="center"/>
              <w:textAlignment w:val="center"/>
              <w:rPr>
                <w:szCs w:val="21"/>
              </w:rPr>
            </w:pPr>
            <w:r>
              <w:rPr>
                <w:kern w:val="0"/>
                <w:szCs w:val="21"/>
                <w:lang w:bidi="ar"/>
              </w:rPr>
              <w:t>2</w:t>
            </w:r>
          </w:p>
        </w:tc>
        <w:tc>
          <w:tcPr>
            <w:tcW w:w="2058"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E70A109">
            <w:pPr>
              <w:widowControl/>
              <w:snapToGrid w:val="0"/>
              <w:spacing w:line="240" w:lineRule="atLeast"/>
              <w:ind w:left="165"/>
              <w:jc w:val="center"/>
              <w:textAlignment w:val="center"/>
              <w:rPr>
                <w:szCs w:val="21"/>
              </w:rPr>
            </w:pPr>
            <w:r>
              <w:rPr>
                <w:kern w:val="0"/>
                <w:szCs w:val="21"/>
                <w:lang w:bidi="ar"/>
              </w:rPr>
              <w:t>1</w:t>
            </w:r>
          </w:p>
        </w:tc>
      </w:tr>
      <w:tr w14:paraId="2590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6" w:hRule="atLeast"/>
          <w:jc w:val="center"/>
        </w:trPr>
        <w:tc>
          <w:tcPr>
            <w:tcW w:w="16075" w:type="dxa"/>
            <w:gridSpan w:val="12"/>
            <w:tcBorders>
              <w:top w:val="single" w:color="000000" w:sz="4" w:space="0"/>
              <w:left w:val="nil"/>
              <w:bottom w:val="nil"/>
              <w:right w:val="nil"/>
            </w:tcBorders>
            <w:tcMar>
              <w:top w:w="10" w:type="dxa"/>
              <w:left w:w="10" w:type="dxa"/>
              <w:right w:w="10" w:type="dxa"/>
            </w:tcMar>
            <w:vAlign w:val="center"/>
          </w:tcPr>
          <w:p w14:paraId="5F7FABA6">
            <w:pPr>
              <w:widowControl/>
              <w:numPr>
                <w:ilvl w:val="0"/>
                <w:numId w:val="2"/>
              </w:numPr>
              <w:snapToGrid w:val="0"/>
              <w:spacing w:line="240" w:lineRule="atLeast"/>
              <w:ind w:left="165"/>
              <w:jc w:val="left"/>
              <w:textAlignment w:val="center"/>
              <w:rPr>
                <w:rFonts w:hint="eastAsia" w:ascii="方正仿宋简体" w:hAnsi="方正仿宋简体" w:eastAsia="方正仿宋简体" w:cs="方正仿宋简体"/>
                <w:kern w:val="0"/>
                <w:sz w:val="24"/>
                <w:szCs w:val="24"/>
                <w:lang w:bidi="ar"/>
              </w:rPr>
            </w:pPr>
            <w:r>
              <w:rPr>
                <w:rFonts w:hint="eastAsia" w:ascii="方正仿宋简体" w:hAnsi="方正仿宋简体" w:eastAsia="方正仿宋简体" w:cs="方正仿宋简体"/>
                <w:kern w:val="0"/>
                <w:sz w:val="24"/>
                <w:szCs w:val="24"/>
                <w:lang w:bidi="ar"/>
              </w:rPr>
              <w:t>产前诊断定额补助1850元/胎参考广东省卫生计生委广东省财政厅关于印发广东省地中海贫血预防控制项目实施方案的通知（粤卫函[2017]698号）确定的标准。</w:t>
            </w:r>
          </w:p>
          <w:p w14:paraId="5425C99E">
            <w:pPr>
              <w:widowControl/>
              <w:numPr>
                <w:ilvl w:val="0"/>
                <w:numId w:val="2"/>
              </w:numPr>
              <w:snapToGrid w:val="0"/>
              <w:spacing w:line="240" w:lineRule="atLeast"/>
              <w:ind w:left="165" w:leftChars="0" w:firstLine="0" w:firstLineChars="0"/>
              <w:jc w:val="left"/>
              <w:textAlignment w:val="center"/>
              <w:rPr>
                <w:rFonts w:hint="eastAsia" w:ascii="方正仿宋简体" w:hAnsi="方正仿宋简体" w:eastAsia="方正仿宋简体" w:cs="方正仿宋简体"/>
                <w:kern w:val="0"/>
                <w:sz w:val="24"/>
                <w:szCs w:val="24"/>
                <w:lang w:bidi="ar"/>
              </w:rPr>
            </w:pPr>
            <w:r>
              <w:rPr>
                <w:rFonts w:hint="eastAsia" w:ascii="方正仿宋简体" w:hAnsi="方正仿宋简体" w:eastAsia="方正仿宋简体" w:cs="方正仿宋简体"/>
                <w:kern w:val="0"/>
                <w:sz w:val="24"/>
                <w:szCs w:val="24"/>
                <w:lang w:bidi="ar"/>
              </w:rPr>
              <w:t>NIPT为财政定额补助项目，600元/例，不足部分个人自付或医保补助。</w:t>
            </w:r>
          </w:p>
          <w:p w14:paraId="773FC6F9">
            <w:pPr>
              <w:widowControl/>
              <w:numPr>
                <w:ilvl w:val="0"/>
                <w:numId w:val="2"/>
              </w:numPr>
              <w:snapToGrid w:val="0"/>
              <w:spacing w:line="240" w:lineRule="atLeast"/>
              <w:ind w:left="165" w:leftChars="0" w:firstLine="0" w:firstLineChars="0"/>
              <w:jc w:val="left"/>
              <w:textAlignment w:val="center"/>
              <w:rPr>
                <w:rFonts w:hint="eastAsia" w:ascii="方正仿宋简体" w:hAnsi="方正仿宋简体" w:eastAsia="方正仿宋简体" w:cs="方正仿宋简体"/>
                <w:kern w:val="0"/>
                <w:sz w:val="24"/>
                <w:szCs w:val="24"/>
                <w:lang w:bidi="ar"/>
              </w:rPr>
            </w:pPr>
            <w:r>
              <w:rPr>
                <w:rFonts w:hint="eastAsia" w:ascii="方正仿宋简体" w:hAnsi="方正仿宋简体" w:eastAsia="方正仿宋简体" w:cs="方正仿宋简体"/>
                <w:kern w:val="0"/>
                <w:sz w:val="24"/>
                <w:szCs w:val="24"/>
                <w:lang w:bidi="ar"/>
              </w:rPr>
              <w:t>III级产前超声检查财政定额补助390元/例、先天性心脏病的胎儿心脏彩超检查财政定额补助360元/例。</w:t>
            </w:r>
          </w:p>
          <w:p w14:paraId="7443DB17">
            <w:pPr>
              <w:widowControl/>
              <w:numPr>
                <w:ilvl w:val="0"/>
                <w:numId w:val="2"/>
              </w:numPr>
              <w:snapToGrid w:val="0"/>
              <w:spacing w:line="240" w:lineRule="atLeast"/>
              <w:ind w:left="165" w:leftChars="0" w:firstLine="0" w:firstLineChars="0"/>
              <w:jc w:val="left"/>
              <w:textAlignment w:val="center"/>
              <w:rPr>
                <w:rFonts w:hint="eastAsia" w:ascii="方正仿宋简体" w:hAnsi="方正仿宋简体" w:eastAsia="方正仿宋简体" w:cs="方正仿宋简体"/>
                <w:kern w:val="0"/>
                <w:sz w:val="24"/>
                <w:szCs w:val="24"/>
                <w:lang w:bidi="ar"/>
              </w:rPr>
            </w:pPr>
            <w:r>
              <w:rPr>
                <w:rFonts w:hint="eastAsia" w:ascii="方正仿宋简体" w:hAnsi="方正仿宋简体" w:eastAsia="方正仿宋简体" w:cs="方正仿宋简体"/>
                <w:kern w:val="0"/>
                <w:sz w:val="24"/>
                <w:szCs w:val="24"/>
                <w:lang w:bidi="ar"/>
              </w:rPr>
              <w:t>其他筛查项目按照广州地区二级医疗机构或者三级医疗机构承担的收费标准的90%确定结算标准。</w:t>
            </w:r>
          </w:p>
          <w:p w14:paraId="2B49A43B">
            <w:pPr>
              <w:widowControl/>
              <w:numPr>
                <w:ilvl w:val="0"/>
                <w:numId w:val="2"/>
              </w:numPr>
              <w:snapToGrid w:val="0"/>
              <w:spacing w:line="240" w:lineRule="atLeast"/>
              <w:ind w:left="165" w:leftChars="0" w:firstLine="0" w:firstLineChars="0"/>
              <w:jc w:val="left"/>
              <w:textAlignment w:val="center"/>
              <w:rPr>
                <w:rFonts w:hint="eastAsia" w:ascii="方正仿宋简体" w:hAnsi="方正仿宋简体" w:eastAsia="方正仿宋简体" w:cs="方正仿宋简体"/>
                <w:kern w:val="0"/>
                <w:sz w:val="24"/>
                <w:szCs w:val="24"/>
                <w:highlight w:val="none"/>
                <w:lang w:bidi="ar"/>
              </w:rPr>
            </w:pPr>
            <w:r>
              <w:rPr>
                <w:rFonts w:hint="eastAsia" w:ascii="方正仿宋简体" w:hAnsi="方正仿宋简体" w:eastAsia="方正仿宋简体" w:cs="方正仿宋简体"/>
                <w:kern w:val="0"/>
                <w:sz w:val="24"/>
                <w:szCs w:val="24"/>
                <w:highlight w:val="none"/>
                <w:lang w:eastAsia="zh-CN" w:bidi="ar"/>
              </w:rPr>
              <w:t>台开恩地区</w:t>
            </w:r>
            <w:r>
              <w:rPr>
                <w:rFonts w:hint="eastAsia" w:ascii="方正仿宋简体" w:hAnsi="方正仿宋简体" w:eastAsia="方正仿宋简体" w:cs="方正仿宋简体"/>
                <w:kern w:val="0"/>
                <w:sz w:val="24"/>
                <w:szCs w:val="24"/>
                <w:highlight w:val="none"/>
                <w:lang w:bidi="ar"/>
              </w:rPr>
              <w:t>按照省、市、县财政需方补助经费6：2：2分担原则。</w:t>
            </w:r>
            <w:r>
              <w:rPr>
                <w:rFonts w:hint="eastAsia" w:ascii="方正仿宋简体" w:hAnsi="方正仿宋简体" w:eastAsia="方正仿宋简体" w:cs="方正仿宋简体"/>
                <w:kern w:val="0"/>
                <w:sz w:val="24"/>
                <w:szCs w:val="24"/>
                <w:highlight w:val="none"/>
                <w:lang w:eastAsia="zh-CN" w:bidi="ar"/>
              </w:rPr>
              <w:t>非台开恩地区</w:t>
            </w:r>
            <w:r>
              <w:rPr>
                <w:rFonts w:hint="eastAsia" w:ascii="方正仿宋简体" w:hAnsi="方正仿宋简体" w:eastAsia="方正仿宋简体" w:cs="方正仿宋简体"/>
                <w:kern w:val="0"/>
                <w:sz w:val="24"/>
                <w:szCs w:val="24"/>
                <w:highlight w:val="none"/>
                <w:lang w:bidi="ar"/>
              </w:rPr>
              <w:t>市级财政100%承担符合补助要求的所有孕产妇产前诊断项目和新生儿遗传代谢性疾病筛查项目</w:t>
            </w:r>
            <w:r>
              <w:rPr>
                <w:rFonts w:hint="eastAsia" w:ascii="方正仿宋简体" w:hAnsi="方正仿宋简体" w:eastAsia="方正仿宋简体" w:cs="方正仿宋简体"/>
                <w:kern w:val="0"/>
                <w:sz w:val="24"/>
                <w:szCs w:val="24"/>
                <w:highlight w:val="none"/>
                <w:lang w:eastAsia="zh-CN" w:bidi="ar"/>
              </w:rPr>
              <w:t>；县级财政</w:t>
            </w:r>
            <w:r>
              <w:rPr>
                <w:rFonts w:hint="eastAsia" w:ascii="方正仿宋简体" w:hAnsi="方正仿宋简体" w:eastAsia="方正仿宋简体" w:cs="方正仿宋简体"/>
                <w:kern w:val="0"/>
                <w:sz w:val="24"/>
                <w:szCs w:val="24"/>
                <w:highlight w:val="none"/>
                <w:lang w:val="en-US" w:eastAsia="zh-CN" w:bidi="ar"/>
              </w:rPr>
              <w:t>100%承担</w:t>
            </w:r>
            <w:r>
              <w:rPr>
                <w:rFonts w:hint="eastAsia" w:ascii="方正仿宋简体" w:hAnsi="方正仿宋简体" w:eastAsia="方正仿宋简体" w:cs="方正仿宋简体"/>
                <w:kern w:val="0"/>
                <w:sz w:val="24"/>
                <w:szCs w:val="24"/>
                <w:highlight w:val="none"/>
                <w:lang w:bidi="ar"/>
              </w:rPr>
              <w:t>产前筛查项目、新生儿听力筛查、早产儿视网膜筛查</w:t>
            </w:r>
            <w:r>
              <w:rPr>
                <w:rFonts w:hint="eastAsia" w:ascii="方正仿宋简体" w:hAnsi="方正仿宋简体" w:eastAsia="方正仿宋简体" w:cs="方正仿宋简体"/>
                <w:kern w:val="0"/>
                <w:sz w:val="24"/>
                <w:szCs w:val="24"/>
                <w:highlight w:val="none"/>
                <w:lang w:eastAsia="zh-CN" w:bidi="ar"/>
              </w:rPr>
              <w:t>项目</w:t>
            </w:r>
            <w:r>
              <w:rPr>
                <w:rFonts w:hint="eastAsia" w:ascii="方正仿宋简体" w:hAnsi="方正仿宋简体" w:eastAsia="方正仿宋简体" w:cs="方正仿宋简体"/>
                <w:kern w:val="0"/>
                <w:sz w:val="24"/>
                <w:szCs w:val="24"/>
                <w:highlight w:val="none"/>
                <w:lang w:bidi="ar"/>
              </w:rPr>
              <w:t>。</w:t>
            </w:r>
          </w:p>
          <w:p w14:paraId="4C750207">
            <w:pPr>
              <w:widowControl/>
              <w:numPr>
                <w:ilvl w:val="0"/>
                <w:numId w:val="2"/>
              </w:numPr>
              <w:snapToGrid w:val="0"/>
              <w:spacing w:line="240" w:lineRule="atLeast"/>
              <w:ind w:left="165" w:leftChars="0" w:firstLine="0" w:firstLineChars="0"/>
              <w:jc w:val="left"/>
              <w:textAlignment w:val="center"/>
              <w:rPr>
                <w:rFonts w:hint="eastAsia" w:ascii="方正仿宋简体" w:hAnsi="方正仿宋简体" w:eastAsia="方正仿宋简体" w:cs="方正仿宋简体"/>
                <w:kern w:val="0"/>
                <w:sz w:val="24"/>
                <w:szCs w:val="24"/>
                <w:highlight w:val="none"/>
                <w:lang w:bidi="ar"/>
              </w:rPr>
            </w:pPr>
            <w:r>
              <w:rPr>
                <w:rFonts w:hint="eastAsia" w:ascii="方正仿宋简体" w:hAnsi="方正仿宋简体" w:eastAsia="方正仿宋简体" w:cs="方正仿宋简体"/>
                <w:kern w:val="0"/>
                <w:sz w:val="24"/>
                <w:szCs w:val="24"/>
                <w:highlight w:val="none"/>
                <w:lang w:eastAsia="zh-CN" w:bidi="ar"/>
              </w:rPr>
              <w:t>市级财政按照105元/例的标准补助一定任务数的新生儿先天性心脏病筛查项目。</w:t>
            </w:r>
          </w:p>
          <w:p w14:paraId="6020637D">
            <w:pPr>
              <w:widowControl/>
              <w:numPr>
                <w:ilvl w:val="0"/>
                <w:numId w:val="0"/>
              </w:numPr>
              <w:snapToGrid w:val="0"/>
              <w:spacing w:line="240" w:lineRule="atLeast"/>
              <w:ind w:left="165" w:leftChars="0"/>
              <w:jc w:val="left"/>
              <w:textAlignment w:val="center"/>
              <w:rPr>
                <w:szCs w:val="21"/>
              </w:rPr>
            </w:pPr>
            <w:r>
              <w:rPr>
                <w:rFonts w:hint="eastAsia" w:ascii="方正仿宋简体" w:hAnsi="方正仿宋简体" w:eastAsia="方正仿宋简体" w:cs="方正仿宋简体"/>
                <w:kern w:val="0"/>
                <w:sz w:val="24"/>
                <w:szCs w:val="24"/>
                <w:lang w:eastAsia="zh-CN" w:bidi="ar"/>
              </w:rPr>
              <w:t>七</w:t>
            </w:r>
            <w:r>
              <w:rPr>
                <w:rFonts w:hint="eastAsia" w:ascii="方正仿宋简体" w:hAnsi="方正仿宋简体" w:eastAsia="方正仿宋简体" w:cs="方正仿宋简体"/>
                <w:kern w:val="0"/>
                <w:sz w:val="24"/>
                <w:szCs w:val="24"/>
                <w:lang w:bidi="ar"/>
              </w:rPr>
              <w:t>、检查内容为参考项目，各地可以</w:t>
            </w:r>
            <w:r>
              <w:rPr>
                <w:rFonts w:hint="eastAsia" w:ascii="方正仿宋简体" w:hAnsi="方正仿宋简体" w:eastAsia="方正仿宋简体" w:cs="方正仿宋简体"/>
                <w:kern w:val="0"/>
                <w:sz w:val="24"/>
                <w:szCs w:val="24"/>
                <w:lang w:eastAsia="zh-CN" w:bidi="ar"/>
              </w:rPr>
              <w:t>根据实际增加，增加项目由各县（市、区）财政承担</w:t>
            </w:r>
            <w:r>
              <w:rPr>
                <w:rFonts w:hint="eastAsia" w:ascii="方正仿宋简体" w:hAnsi="方正仿宋简体" w:eastAsia="方正仿宋简体" w:cs="方正仿宋简体"/>
                <w:kern w:val="0"/>
                <w:sz w:val="24"/>
                <w:szCs w:val="24"/>
                <w:lang w:bidi="ar"/>
              </w:rPr>
              <w:t>，省</w:t>
            </w:r>
            <w:r>
              <w:rPr>
                <w:rFonts w:hint="eastAsia" w:ascii="方正仿宋简体" w:hAnsi="方正仿宋简体" w:eastAsia="方正仿宋简体" w:cs="方正仿宋简体"/>
                <w:kern w:val="0"/>
                <w:sz w:val="24"/>
                <w:szCs w:val="24"/>
                <w:lang w:eastAsia="zh-CN" w:bidi="ar"/>
              </w:rPr>
              <w:t>、市</w:t>
            </w:r>
            <w:r>
              <w:rPr>
                <w:rFonts w:hint="eastAsia" w:ascii="方正仿宋简体" w:hAnsi="方正仿宋简体" w:eastAsia="方正仿宋简体" w:cs="方正仿宋简体"/>
                <w:kern w:val="0"/>
                <w:sz w:val="24"/>
                <w:szCs w:val="24"/>
                <w:lang w:bidi="ar"/>
              </w:rPr>
              <w:t>财政按照【检查项目】*【财政人均结算标准】*【省财政结算比例】进行结算。</w:t>
            </w:r>
            <w:r>
              <w:rPr>
                <w:rFonts w:hint="eastAsia" w:ascii="宋体" w:hAnsi="宋体" w:cs="宋体"/>
                <w:kern w:val="0"/>
                <w:sz w:val="20"/>
                <w:szCs w:val="20"/>
                <w:lang w:bidi="ar"/>
              </w:rPr>
              <w:t xml:space="preserve"> </w:t>
            </w:r>
          </w:p>
        </w:tc>
      </w:tr>
    </w:tbl>
    <w:p w14:paraId="68F9EF86">
      <w:pPr>
        <w:keepNext w:val="0"/>
        <w:keepLines w:val="0"/>
        <w:pageBreakBefore w:val="0"/>
        <w:kinsoku/>
        <w:wordWrap/>
        <w:overflowPunct/>
        <w:topLinePunct w:val="0"/>
        <w:autoSpaceDE/>
        <w:autoSpaceDN/>
        <w:bidi w:val="0"/>
        <w:spacing w:line="600" w:lineRule="exact"/>
        <w:textAlignment w:val="auto"/>
        <w:rPr>
          <w:rFonts w:hint="eastAsia" w:ascii="方正仿宋简体" w:hAnsi="方正仿宋简体" w:eastAsia="方正仿宋简体" w:cs="方正仿宋简体"/>
          <w:snapToGrid w:val="0"/>
          <w:color w:val="auto"/>
          <w:kern w:val="0"/>
          <w:sz w:val="32"/>
          <w:szCs w:val="32"/>
          <w:highlight w:val="none"/>
          <w:lang w:eastAsia="zh-CN"/>
        </w:rPr>
      </w:pPr>
    </w:p>
    <w:p w14:paraId="143E6B80">
      <w:pPr>
        <w:keepNext w:val="0"/>
        <w:keepLines w:val="0"/>
        <w:pageBreakBefore w:val="0"/>
        <w:kinsoku/>
        <w:wordWrap/>
        <w:overflowPunct/>
        <w:topLinePunct w:val="0"/>
        <w:autoSpaceDE/>
        <w:autoSpaceDN/>
        <w:bidi w:val="0"/>
        <w:spacing w:line="600" w:lineRule="exact"/>
        <w:textAlignment w:val="auto"/>
        <w:rPr>
          <w:rFonts w:hint="eastAsia" w:ascii="方正仿宋简体" w:hAnsi="方正仿宋简体" w:eastAsia="方正仿宋简体" w:cs="方正仿宋简体"/>
          <w:snapToGrid w:val="0"/>
          <w:color w:val="auto"/>
          <w:kern w:val="0"/>
          <w:sz w:val="32"/>
          <w:szCs w:val="32"/>
          <w:highlight w:val="none"/>
          <w:lang w:eastAsia="zh-CN"/>
        </w:rPr>
      </w:pPr>
    </w:p>
    <w:p w14:paraId="571814AF">
      <w:pPr>
        <w:keepNext w:val="0"/>
        <w:keepLines w:val="0"/>
        <w:pageBreakBefore w:val="0"/>
        <w:kinsoku/>
        <w:wordWrap/>
        <w:overflowPunct/>
        <w:topLinePunct w:val="0"/>
        <w:autoSpaceDE/>
        <w:autoSpaceDN/>
        <w:bidi w:val="0"/>
        <w:spacing w:line="600" w:lineRule="exact"/>
        <w:textAlignment w:val="auto"/>
        <w:rPr>
          <w:rFonts w:hint="eastAsia" w:ascii="方正仿宋简体" w:hAnsi="方正仿宋简体" w:eastAsia="方正仿宋简体" w:cs="方正仿宋简体"/>
          <w:snapToGrid w:val="0"/>
          <w:color w:val="auto"/>
          <w:kern w:val="0"/>
          <w:sz w:val="32"/>
          <w:szCs w:val="32"/>
          <w:highlight w:val="none"/>
          <w:lang w:eastAsia="zh-CN"/>
        </w:rPr>
      </w:pPr>
    </w:p>
    <w:p w14:paraId="51E5793A">
      <w:pPr>
        <w:keepNext w:val="0"/>
        <w:keepLines w:val="0"/>
        <w:pageBreakBefore w:val="0"/>
        <w:kinsoku/>
        <w:wordWrap/>
        <w:overflowPunct/>
        <w:topLinePunct w:val="0"/>
        <w:autoSpaceDE/>
        <w:autoSpaceDN/>
        <w:bidi w:val="0"/>
        <w:spacing w:line="600" w:lineRule="exact"/>
        <w:textAlignment w:val="auto"/>
        <w:rPr>
          <w:rFonts w:hint="eastAsia" w:ascii="方正仿宋简体" w:hAnsi="方正仿宋简体" w:eastAsia="方正仿宋简体" w:cs="方正仿宋简体"/>
          <w:snapToGrid w:val="0"/>
          <w:color w:val="auto"/>
          <w:kern w:val="0"/>
          <w:sz w:val="32"/>
          <w:szCs w:val="32"/>
          <w:highlight w:val="none"/>
          <w:lang w:eastAsia="zh-CN"/>
        </w:rPr>
        <w:sectPr>
          <w:pgSz w:w="16838" w:h="11906" w:orient="landscape"/>
          <w:pgMar w:top="1587" w:right="1587" w:bottom="1587" w:left="1587" w:header="851" w:footer="113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092F5F8B">
      <w:pPr>
        <w:keepNext w:val="0"/>
        <w:keepLines w:val="0"/>
        <w:pageBreakBefore w:val="0"/>
        <w:widowControl w:val="0"/>
        <w:kinsoku/>
        <w:wordWrap/>
        <w:overflowPunct/>
        <w:topLinePunct w:val="0"/>
        <w:autoSpaceDE/>
        <w:autoSpaceDN/>
        <w:bidi w:val="0"/>
        <w:adjustRightInd/>
        <w:snapToGrid/>
        <w:spacing w:before="157" w:beforeLines="50" w:after="157" w:afterLines="50" w:line="576" w:lineRule="exact"/>
        <w:jc w:val="left"/>
        <w:textAlignment w:val="auto"/>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rPr>
        <w:t>附件</w:t>
      </w:r>
      <w:r>
        <w:rPr>
          <w:rFonts w:hint="eastAsia" w:ascii="黑体" w:hAnsi="黑体" w:eastAsia="黑体" w:cs="黑体"/>
          <w:snapToGrid w:val="0"/>
          <w:kern w:val="0"/>
          <w:sz w:val="32"/>
          <w:szCs w:val="32"/>
          <w:lang w:val="en-US" w:eastAsia="zh-CN"/>
        </w:rPr>
        <w:t>2</w:t>
      </w:r>
    </w:p>
    <w:p w14:paraId="0E6D446C">
      <w:pPr>
        <w:spacing w:line="576" w:lineRule="exact"/>
        <w:jc w:val="center"/>
        <w:rPr>
          <w:rFonts w:ascii="方正小标宋简体" w:hAnsi="方正小标宋简体" w:eastAsia="方正小标宋简体" w:cs="方正小标宋简体"/>
          <w:b w:val="0"/>
          <w:bCs w:val="0"/>
          <w:sz w:val="36"/>
          <w:szCs w:val="36"/>
        </w:rPr>
      </w:pPr>
      <w:r>
        <w:rPr>
          <w:b w:val="0"/>
          <w:bCs w:val="0"/>
          <w:sz w:val="36"/>
          <w:szCs w:val="36"/>
        </w:rPr>
        <mc:AlternateContent>
          <mc:Choice Requires="wps">
            <w:drawing>
              <wp:anchor distT="0" distB="0" distL="114300" distR="114300" simplePos="0" relativeHeight="251671552" behindDoc="0" locked="0" layoutInCell="1" allowOverlap="1">
                <wp:simplePos x="0" y="0"/>
                <wp:positionH relativeFrom="column">
                  <wp:posOffset>2886710</wp:posOffset>
                </wp:positionH>
                <wp:positionV relativeFrom="paragraph">
                  <wp:posOffset>4217035</wp:posOffset>
                </wp:positionV>
                <wp:extent cx="8890" cy="238760"/>
                <wp:effectExtent l="50165" t="635" r="55245" b="8255"/>
                <wp:wrapNone/>
                <wp:docPr id="3" name="自选图形 11"/>
                <wp:cNvGraphicFramePr/>
                <a:graphic xmlns:a="http://schemas.openxmlformats.org/drawingml/2006/main">
                  <a:graphicData uri="http://schemas.microsoft.com/office/word/2010/wordprocessingShape">
                    <wps:wsp>
                      <wps:cNvCnPr/>
                      <wps:spPr>
                        <a:xfrm flipH="1">
                          <a:off x="0" y="0"/>
                          <a:ext cx="8890" cy="238760"/>
                        </a:xfrm>
                        <a:prstGeom prst="straightConnector1">
                          <a:avLst/>
                        </a:prstGeom>
                        <a:ln w="19050" cap="flat" cmpd="sng">
                          <a:solidFill>
                            <a:srgbClr val="000000"/>
                          </a:solidFill>
                          <a:prstDash val="solid"/>
                          <a:headEnd type="none" w="med" len="med"/>
                          <a:tailEnd type="arrow" w="med" len="med"/>
                        </a:ln>
                      </wps:spPr>
                      <wps:bodyPr/>
                    </wps:wsp>
                  </a:graphicData>
                </a:graphic>
              </wp:anchor>
            </w:drawing>
          </mc:Choice>
          <mc:Fallback>
            <w:pict>
              <v:shape id="自选图形 11" o:spid="_x0000_s1026" o:spt="32" type="#_x0000_t32" style="position:absolute;left:0pt;flip:x;margin-left:227.3pt;margin-top:332.05pt;height:18.8pt;width:0.7pt;z-index:251671552;mso-width-relative:page;mso-height-relative:page;" filled="f" stroked="t" coordsize="21600,21600" o:gfxdata="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0DwHJdkAAAALAQAADwAAAAAAAAABACAAAAAiAAAA&#10;ZHJzL2Rvd25yZXYueG1sUEsBAhQAFAAAAAgAh07iQPCn1+YGAgAA8gMAAA4AAAAAAAAAAQAgAAAA&#10;KAEAAGRycy9lMm9Eb2MueG1sUEsFBgAAAAAGAAYAWQEAAKAFAAAAAA==&#10;">
                <v:fill on="f" focussize="0,0"/>
                <v:stroke weight="1.5pt" color="#000000" joinstyle="round" endarrow="open"/>
                <v:imagedata o:title=""/>
                <o:lock v:ext="edit" aspectratio="f"/>
              </v:shape>
            </w:pict>
          </mc:Fallback>
        </mc:AlternateContent>
      </w:r>
      <w:r>
        <w:rPr>
          <w:b w:val="0"/>
          <w:bCs w:val="0"/>
          <w:sz w:val="36"/>
          <w:szCs w:val="36"/>
        </w:rPr>
        <mc:AlternateContent>
          <mc:Choice Requires="wps">
            <w:drawing>
              <wp:anchor distT="0" distB="0" distL="114300" distR="114300" simplePos="0" relativeHeight="251665408" behindDoc="0" locked="0" layoutInCell="1" allowOverlap="1">
                <wp:simplePos x="0" y="0"/>
                <wp:positionH relativeFrom="column">
                  <wp:posOffset>-464820</wp:posOffset>
                </wp:positionH>
                <wp:positionV relativeFrom="paragraph">
                  <wp:posOffset>4474845</wp:posOffset>
                </wp:positionV>
                <wp:extent cx="6557010" cy="1530350"/>
                <wp:effectExtent l="9525" t="9525" r="24765" b="22225"/>
                <wp:wrapNone/>
                <wp:docPr id="14" name="圆角矩形 6"/>
                <wp:cNvGraphicFramePr/>
                <a:graphic xmlns:a="http://schemas.openxmlformats.org/drawingml/2006/main">
                  <a:graphicData uri="http://schemas.microsoft.com/office/word/2010/wordprocessingShape">
                    <wps:wsp>
                      <wps:cNvSpPr/>
                      <wps:spPr>
                        <a:xfrm>
                          <a:off x="0" y="0"/>
                          <a:ext cx="6557010" cy="1530350"/>
                        </a:xfrm>
                        <a:prstGeom prst="roundRect">
                          <a:avLst/>
                        </a:prstGeom>
                        <a:solidFill>
                          <a:srgbClr val="FFFFFF"/>
                        </a:solidFill>
                        <a:ln w="19050" cap="flat" cmpd="sng" algn="ctr">
                          <a:solidFill>
                            <a:srgbClr val="000000"/>
                          </a:solidFill>
                          <a:prstDash val="solid"/>
                        </a:ln>
                        <a:effectLst/>
                      </wps:spPr>
                      <wps:txbx>
                        <w:txbxContent>
                          <w:p w14:paraId="2D9106E3">
                            <w:pPr>
                              <w:spacing w:line="400" w:lineRule="exact"/>
                              <w:jc w:val="center"/>
                              <w:rPr>
                                <w:rFonts w:hint="eastAsia" w:ascii="方正小标宋简体" w:hAnsi="方正小标宋简体" w:eastAsia="方正小标宋简体" w:cs="方正小标宋简体"/>
                                <w:b/>
                                <w:bCs/>
                                <w:color w:val="auto"/>
                                <w:sz w:val="36"/>
                                <w:szCs w:val="36"/>
                                <w:highlight w:val="none"/>
                                <w:lang w:eastAsia="zh-CN"/>
                              </w:rPr>
                            </w:pPr>
                            <w:r>
                              <w:rPr>
                                <w:rFonts w:hint="eastAsia" w:ascii="方正小标宋简体" w:hAnsi="方正小标宋简体" w:eastAsia="方正小标宋简体" w:cs="方正小标宋简体"/>
                                <w:b/>
                                <w:bCs/>
                                <w:color w:val="auto"/>
                                <w:sz w:val="36"/>
                                <w:szCs w:val="36"/>
                                <w:highlight w:val="none"/>
                              </w:rPr>
                              <w:t>月度经费</w:t>
                            </w:r>
                            <w:r>
                              <w:rPr>
                                <w:rFonts w:hint="eastAsia" w:ascii="方正小标宋简体" w:hAnsi="方正小标宋简体" w:eastAsia="方正小标宋简体" w:cs="方正小标宋简体"/>
                                <w:b/>
                                <w:bCs/>
                                <w:color w:val="auto"/>
                                <w:sz w:val="36"/>
                                <w:szCs w:val="36"/>
                                <w:highlight w:val="none"/>
                                <w:lang w:eastAsia="zh-CN"/>
                              </w:rPr>
                              <w:t>汇总、结算</w:t>
                            </w:r>
                          </w:p>
                          <w:p w14:paraId="6ECE805B">
                            <w:pPr>
                              <w:spacing w:line="400" w:lineRule="exact"/>
                              <w:jc w:val="left"/>
                              <w:rPr>
                                <w:rFonts w:ascii="宋体" w:hAnsi="宋体" w:cs="宋体"/>
                                <w:color w:val="auto"/>
                                <w:sz w:val="24"/>
                                <w:szCs w:val="24"/>
                              </w:rPr>
                            </w:pPr>
                            <w:r>
                              <w:rPr>
                                <w:rFonts w:hint="eastAsia" w:ascii="宋体" w:hAnsi="宋体" w:cs="宋体"/>
                                <w:sz w:val="24"/>
                                <w:szCs w:val="24"/>
                              </w:rPr>
                              <w:t>各定点服务机构结合上一月院内实际发生数与市系统补助清单数，完成《江门市出生缺陷防控及地贫防控项目经费使用情况月报表》上报，其中市直定点服务机构根据服务对象常住地罗列各市（区）服务人群补助清单及补助金额情况，完成《江门市市直医疗单位出生缺陷防控及地贫防控项目经费使用情况月报表》。</w:t>
                            </w:r>
                            <w:r>
                              <w:rPr>
                                <w:rFonts w:hint="eastAsia" w:ascii="宋体" w:hAnsi="宋体" w:cs="宋体"/>
                                <w:color w:val="auto"/>
                                <w:sz w:val="24"/>
                                <w:szCs w:val="24"/>
                                <w:u w:val="single"/>
                              </w:rPr>
                              <w:t>（每月</w:t>
                            </w:r>
                            <w:r>
                              <w:rPr>
                                <w:rFonts w:hint="eastAsia" w:ascii="宋体" w:hAnsi="宋体" w:cs="宋体"/>
                                <w:color w:val="auto"/>
                                <w:sz w:val="24"/>
                                <w:szCs w:val="24"/>
                                <w:u w:val="single"/>
                                <w:lang w:val="en-US" w:eastAsia="zh-CN"/>
                              </w:rPr>
                              <w:t>10</w:t>
                            </w:r>
                            <w:r>
                              <w:rPr>
                                <w:rFonts w:hint="eastAsia" w:ascii="宋体" w:hAnsi="宋体" w:cs="宋体"/>
                                <w:color w:val="auto"/>
                                <w:sz w:val="24"/>
                                <w:szCs w:val="24"/>
                                <w:u w:val="single"/>
                              </w:rPr>
                              <w:t>日前）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6" o:spid="_x0000_s1026" o:spt="2" style="position:absolute;left:0pt;margin-left:-36.6pt;margin-top:352.35pt;height:120.5pt;width:516.3pt;z-index:251665408;v-text-anchor:middle;mso-width-relative:page;mso-height-relative:page;" fillcolor="#FFFFFF" filled="t" stroked="t" coordsize="21600,21600" arcsize="0.166666666666667" o:gfxdata="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MzuYevbAAAACwEAAA8AAAAA&#10;AAAAAQAgAAAAIgAAAGRycy9kb3ducmV2LnhtbFBLAQIUABQAAAAIAIdO4kCRhnJhgwIAAAMFAAAO&#10;AAAAAAAAAAEAIAAAACoBAABkcnMvZTJvRG9jLnhtbFBLBQYAAAAABgAGAFkBAAAfBgAAAAA=&#10;">
                <v:fill on="t" focussize="0,0"/>
                <v:stroke weight="1.5pt" color="#000000" joinstyle="round"/>
                <v:imagedata o:title=""/>
                <o:lock v:ext="edit" aspectratio="f"/>
                <v:textbox>
                  <w:txbxContent>
                    <w:p w14:paraId="2D9106E3">
                      <w:pPr>
                        <w:spacing w:line="400" w:lineRule="exact"/>
                        <w:jc w:val="center"/>
                        <w:rPr>
                          <w:rFonts w:hint="eastAsia" w:ascii="方正小标宋简体" w:hAnsi="方正小标宋简体" w:eastAsia="方正小标宋简体" w:cs="方正小标宋简体"/>
                          <w:b/>
                          <w:bCs/>
                          <w:color w:val="auto"/>
                          <w:sz w:val="36"/>
                          <w:szCs w:val="36"/>
                          <w:highlight w:val="none"/>
                          <w:lang w:eastAsia="zh-CN"/>
                        </w:rPr>
                      </w:pPr>
                      <w:r>
                        <w:rPr>
                          <w:rFonts w:hint="eastAsia" w:ascii="方正小标宋简体" w:hAnsi="方正小标宋简体" w:eastAsia="方正小标宋简体" w:cs="方正小标宋简体"/>
                          <w:b/>
                          <w:bCs/>
                          <w:color w:val="auto"/>
                          <w:sz w:val="36"/>
                          <w:szCs w:val="36"/>
                          <w:highlight w:val="none"/>
                        </w:rPr>
                        <w:t>月度经费</w:t>
                      </w:r>
                      <w:r>
                        <w:rPr>
                          <w:rFonts w:hint="eastAsia" w:ascii="方正小标宋简体" w:hAnsi="方正小标宋简体" w:eastAsia="方正小标宋简体" w:cs="方正小标宋简体"/>
                          <w:b/>
                          <w:bCs/>
                          <w:color w:val="auto"/>
                          <w:sz w:val="36"/>
                          <w:szCs w:val="36"/>
                          <w:highlight w:val="none"/>
                          <w:lang w:eastAsia="zh-CN"/>
                        </w:rPr>
                        <w:t>汇总、结算</w:t>
                      </w:r>
                    </w:p>
                    <w:p w14:paraId="6ECE805B">
                      <w:pPr>
                        <w:spacing w:line="400" w:lineRule="exact"/>
                        <w:jc w:val="left"/>
                        <w:rPr>
                          <w:rFonts w:ascii="宋体" w:hAnsi="宋体" w:cs="宋体"/>
                          <w:color w:val="auto"/>
                          <w:sz w:val="24"/>
                          <w:szCs w:val="24"/>
                        </w:rPr>
                      </w:pPr>
                      <w:r>
                        <w:rPr>
                          <w:rFonts w:hint="eastAsia" w:ascii="宋体" w:hAnsi="宋体" w:cs="宋体"/>
                          <w:sz w:val="24"/>
                          <w:szCs w:val="24"/>
                        </w:rPr>
                        <w:t>各定点服务机构结合上一月院内实际发生数与市系统补助清单数，完成《江门市出生缺陷防控及地贫防控项目经费使用情况月报表》上报，其中市直定点服务机构根据服务对象常住地罗列各市（区）服务人群补助清单及补助金额情况，完成《江门市市直医疗单位出生缺陷防控及地贫防控项目经费使用情况月报表》。</w:t>
                      </w:r>
                      <w:r>
                        <w:rPr>
                          <w:rFonts w:hint="eastAsia" w:ascii="宋体" w:hAnsi="宋体" w:cs="宋体"/>
                          <w:color w:val="auto"/>
                          <w:sz w:val="24"/>
                          <w:szCs w:val="24"/>
                          <w:u w:val="single"/>
                        </w:rPr>
                        <w:t>（每月</w:t>
                      </w:r>
                      <w:r>
                        <w:rPr>
                          <w:rFonts w:hint="eastAsia" w:ascii="宋体" w:hAnsi="宋体" w:cs="宋体"/>
                          <w:color w:val="auto"/>
                          <w:sz w:val="24"/>
                          <w:szCs w:val="24"/>
                          <w:u w:val="single"/>
                          <w:lang w:val="en-US" w:eastAsia="zh-CN"/>
                        </w:rPr>
                        <w:t>10</w:t>
                      </w:r>
                      <w:r>
                        <w:rPr>
                          <w:rFonts w:hint="eastAsia" w:ascii="宋体" w:hAnsi="宋体" w:cs="宋体"/>
                          <w:color w:val="auto"/>
                          <w:sz w:val="24"/>
                          <w:szCs w:val="24"/>
                          <w:u w:val="single"/>
                        </w:rPr>
                        <w:t>日前）</w:t>
                      </w:r>
                    </w:p>
                  </w:txbxContent>
                </v:textbox>
              </v:roundrect>
            </w:pict>
          </mc:Fallback>
        </mc:AlternateContent>
      </w:r>
      <w:r>
        <w:rPr>
          <w:b w:val="0"/>
          <w:bCs w:val="0"/>
          <w:sz w:val="36"/>
          <w:szCs w:val="36"/>
        </w:rPr>
        <mc:AlternateContent>
          <mc:Choice Requires="wps">
            <w:drawing>
              <wp:anchor distT="0" distB="0" distL="114300" distR="114300" simplePos="0" relativeHeight="251663360" behindDoc="0" locked="0" layoutInCell="1" allowOverlap="1">
                <wp:simplePos x="0" y="0"/>
                <wp:positionH relativeFrom="column">
                  <wp:posOffset>-365125</wp:posOffset>
                </wp:positionH>
                <wp:positionV relativeFrom="paragraph">
                  <wp:posOffset>6253480</wp:posOffset>
                </wp:positionV>
                <wp:extent cx="6472555" cy="809625"/>
                <wp:effectExtent l="9525" t="9525" r="13970" b="19050"/>
                <wp:wrapNone/>
                <wp:docPr id="7" name="圆角矩形 1"/>
                <wp:cNvGraphicFramePr/>
                <a:graphic xmlns:a="http://schemas.openxmlformats.org/drawingml/2006/main">
                  <a:graphicData uri="http://schemas.microsoft.com/office/word/2010/wordprocessingShape">
                    <wps:wsp>
                      <wps:cNvSpPr/>
                      <wps:spPr>
                        <a:xfrm>
                          <a:off x="3083560" y="1963420"/>
                          <a:ext cx="6472555" cy="809625"/>
                        </a:xfrm>
                        <a:prstGeom prst="roundRect">
                          <a:avLst/>
                        </a:prstGeom>
                        <a:solidFill>
                          <a:srgbClr val="FFFFFF"/>
                        </a:solidFill>
                        <a:ln w="19050" cap="flat" cmpd="sng" algn="ctr">
                          <a:solidFill>
                            <a:srgbClr val="000000"/>
                          </a:solidFill>
                          <a:prstDash val="solid"/>
                        </a:ln>
                        <a:effectLst/>
                      </wps:spPr>
                      <wps:txbx>
                        <w:txbxContent>
                          <w:p w14:paraId="19F9ED0C">
                            <w:pPr>
                              <w:spacing w:line="400" w:lineRule="exact"/>
                              <w:jc w:val="left"/>
                              <w:rPr>
                                <w:rFonts w:ascii="宋体" w:hAnsi="宋体" w:cs="宋体"/>
                                <w:color w:val="auto"/>
                                <w:sz w:val="24"/>
                                <w:szCs w:val="24"/>
                              </w:rPr>
                            </w:pPr>
                            <w:r>
                              <w:rPr>
                                <w:rFonts w:hint="eastAsia" w:ascii="宋体" w:hAnsi="宋体" w:cs="宋体"/>
                                <w:sz w:val="24"/>
                                <w:szCs w:val="24"/>
                              </w:rPr>
                              <w:t>各</w:t>
                            </w:r>
                            <w:r>
                              <w:rPr>
                                <w:rFonts w:hint="eastAsia" w:ascii="宋体" w:hAnsi="宋体" w:cs="宋体"/>
                                <w:sz w:val="24"/>
                                <w:szCs w:val="24"/>
                                <w:lang w:eastAsia="zh-CN"/>
                              </w:rPr>
                              <w:t>县级出生缺陷综合干预中心</w:t>
                            </w:r>
                            <w:r>
                              <w:rPr>
                                <w:rFonts w:hint="eastAsia" w:ascii="宋体" w:hAnsi="宋体" w:cs="宋体"/>
                                <w:sz w:val="24"/>
                                <w:szCs w:val="24"/>
                              </w:rPr>
                              <w:t>通过市系统导出各定点服务机构（包括市直定点服务机构）补助清单数，根据清单数</w:t>
                            </w:r>
                            <w:r>
                              <w:rPr>
                                <w:rFonts w:hint="eastAsia" w:ascii="宋体" w:hAnsi="宋体" w:cs="宋体"/>
                                <w:sz w:val="24"/>
                                <w:szCs w:val="24"/>
                                <w:lang w:eastAsia="zh-CN"/>
                              </w:rPr>
                              <w:t>情况完成</w:t>
                            </w:r>
                            <w:r>
                              <w:rPr>
                                <w:rFonts w:hint="eastAsia" w:ascii="宋体" w:hAnsi="宋体" w:cs="宋体"/>
                                <w:sz w:val="24"/>
                                <w:szCs w:val="24"/>
                              </w:rPr>
                              <w:t>以上2个报表的县级审核。</w:t>
                            </w:r>
                            <w:r>
                              <w:rPr>
                                <w:rFonts w:hint="eastAsia" w:ascii="宋体" w:hAnsi="宋体" w:cs="宋体"/>
                                <w:color w:val="auto"/>
                                <w:sz w:val="24"/>
                                <w:szCs w:val="24"/>
                                <w:u w:val="single"/>
                              </w:rPr>
                              <w:t>（每月14日前）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1" o:spid="_x0000_s1026" o:spt="2" style="position:absolute;left:0pt;margin-left:-28.75pt;margin-top:492.4pt;height:63.75pt;width:509.65pt;z-index:251663360;v-text-anchor:middle;mso-width-relative:page;mso-height-relative:page;" fillcolor="#FFFFFF" filled="t" stroked="t" coordsize="21600,21600" arcsize="0.166666666666667" o:gfxdata="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81VeU2gAA&#10;AAwBAAAPAAAAAAAAAAEAIAAAACIAAABkcnMvZG93bnJldi54bWxQSwECFAAUAAAACACHTuJAbmL4&#10;MY4CAAANBQAADgAAAAAAAAABACAAAAApAQAAZHJzL2Uyb0RvYy54bWxQSwUGAAAAAAYABgBZAQAA&#10;KQYAAAAA&#10;">
                <v:fill on="t" focussize="0,0"/>
                <v:stroke weight="1.5pt" color="#000000" joinstyle="round"/>
                <v:imagedata o:title=""/>
                <o:lock v:ext="edit" aspectratio="f"/>
                <v:textbox>
                  <w:txbxContent>
                    <w:p w14:paraId="19F9ED0C">
                      <w:pPr>
                        <w:spacing w:line="400" w:lineRule="exact"/>
                        <w:jc w:val="left"/>
                        <w:rPr>
                          <w:rFonts w:ascii="宋体" w:hAnsi="宋体" w:cs="宋体"/>
                          <w:color w:val="auto"/>
                          <w:sz w:val="24"/>
                          <w:szCs w:val="24"/>
                        </w:rPr>
                      </w:pPr>
                      <w:r>
                        <w:rPr>
                          <w:rFonts w:hint="eastAsia" w:ascii="宋体" w:hAnsi="宋体" w:cs="宋体"/>
                          <w:sz w:val="24"/>
                          <w:szCs w:val="24"/>
                        </w:rPr>
                        <w:t>各</w:t>
                      </w:r>
                      <w:r>
                        <w:rPr>
                          <w:rFonts w:hint="eastAsia" w:ascii="宋体" w:hAnsi="宋体" w:cs="宋体"/>
                          <w:sz w:val="24"/>
                          <w:szCs w:val="24"/>
                          <w:lang w:eastAsia="zh-CN"/>
                        </w:rPr>
                        <w:t>县级出生缺陷综合干预中心</w:t>
                      </w:r>
                      <w:r>
                        <w:rPr>
                          <w:rFonts w:hint="eastAsia" w:ascii="宋体" w:hAnsi="宋体" w:cs="宋体"/>
                          <w:sz w:val="24"/>
                          <w:szCs w:val="24"/>
                        </w:rPr>
                        <w:t>通过市系统导出各定点服务机构（包括市直定点服务机构）补助清单数，根据清单数</w:t>
                      </w:r>
                      <w:r>
                        <w:rPr>
                          <w:rFonts w:hint="eastAsia" w:ascii="宋体" w:hAnsi="宋体" w:cs="宋体"/>
                          <w:sz w:val="24"/>
                          <w:szCs w:val="24"/>
                          <w:lang w:eastAsia="zh-CN"/>
                        </w:rPr>
                        <w:t>情况完成</w:t>
                      </w:r>
                      <w:r>
                        <w:rPr>
                          <w:rFonts w:hint="eastAsia" w:ascii="宋体" w:hAnsi="宋体" w:cs="宋体"/>
                          <w:sz w:val="24"/>
                          <w:szCs w:val="24"/>
                        </w:rPr>
                        <w:t>以上2个报表的县级审核。</w:t>
                      </w:r>
                      <w:r>
                        <w:rPr>
                          <w:rFonts w:hint="eastAsia" w:ascii="宋体" w:hAnsi="宋体" w:cs="宋体"/>
                          <w:color w:val="auto"/>
                          <w:sz w:val="24"/>
                          <w:szCs w:val="24"/>
                          <w:u w:val="single"/>
                        </w:rPr>
                        <w:t>（每月14日前）</w:t>
                      </w:r>
                    </w:p>
                  </w:txbxContent>
                </v:textbox>
              </v:roundrect>
            </w:pict>
          </mc:Fallback>
        </mc:AlternateContent>
      </w:r>
      <w:r>
        <w:rPr>
          <w:b w:val="0"/>
          <w:bCs w:val="0"/>
          <w:sz w:val="36"/>
          <w:szCs w:val="36"/>
        </w:rPr>
        <mc:AlternateContent>
          <mc:Choice Requires="wps">
            <w:drawing>
              <wp:anchor distT="0" distB="0" distL="114300" distR="114300" simplePos="0" relativeHeight="251672576" behindDoc="0" locked="0" layoutInCell="1" allowOverlap="1">
                <wp:simplePos x="0" y="0"/>
                <wp:positionH relativeFrom="column">
                  <wp:posOffset>2921000</wp:posOffset>
                </wp:positionH>
                <wp:positionV relativeFrom="paragraph">
                  <wp:posOffset>6021705</wp:posOffset>
                </wp:positionV>
                <wp:extent cx="8890" cy="238760"/>
                <wp:effectExtent l="50165" t="635" r="55245" b="8255"/>
                <wp:wrapNone/>
                <wp:docPr id="13" name="自选图形 11"/>
                <wp:cNvGraphicFramePr/>
                <a:graphic xmlns:a="http://schemas.openxmlformats.org/drawingml/2006/main">
                  <a:graphicData uri="http://schemas.microsoft.com/office/word/2010/wordprocessingShape">
                    <wps:wsp>
                      <wps:cNvCnPr/>
                      <wps:spPr>
                        <a:xfrm flipH="1">
                          <a:off x="0" y="0"/>
                          <a:ext cx="8890" cy="238760"/>
                        </a:xfrm>
                        <a:prstGeom prst="straightConnector1">
                          <a:avLst/>
                        </a:prstGeom>
                        <a:ln w="19050" cap="flat" cmpd="sng">
                          <a:solidFill>
                            <a:srgbClr val="000000"/>
                          </a:solidFill>
                          <a:prstDash val="solid"/>
                          <a:headEnd type="none" w="med" len="med"/>
                          <a:tailEnd type="arrow" w="med" len="med"/>
                        </a:ln>
                      </wps:spPr>
                      <wps:bodyPr/>
                    </wps:wsp>
                  </a:graphicData>
                </a:graphic>
              </wp:anchor>
            </w:drawing>
          </mc:Choice>
          <mc:Fallback>
            <w:pict>
              <v:shape id="自选图形 11" o:spid="_x0000_s1026" o:spt="32" type="#_x0000_t32" style="position:absolute;left:0pt;flip:x;margin-left:230pt;margin-top:474.15pt;height:18.8pt;width:0.7pt;z-index:251672576;mso-width-relative:page;mso-height-relative:page;" filled="f" stroked="t" coordsize="21600,21600" o:gfxdata="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pnWGnaAAAACwEAAA8AAAAAAAAAAQAgAAAAIgAA&#10;AGRycy9kb3ducmV2LnhtbFBLAQIUABQAAAAIAIdO4kCuctJbBgIAAPMDAAAOAAAAAAAAAAEAIAAA&#10;ACkBAABkcnMvZTJvRG9jLnhtbFBLBQYAAAAABgAGAFkBAAChBQAAAAA=&#10;">
                <v:fill on="f" focussize="0,0"/>
                <v:stroke weight="1.5pt" color="#000000" joinstyle="round" endarrow="open"/>
                <v:imagedata o:title=""/>
                <o:lock v:ext="edit" aspectratio="f"/>
              </v:shape>
            </w:pict>
          </mc:Fallback>
        </mc:AlternateContent>
      </w:r>
      <w:r>
        <w:rPr>
          <w:b w:val="0"/>
          <w:bCs w:val="0"/>
          <w:sz w:val="36"/>
          <w:szCs w:val="36"/>
        </w:rPr>
        <mc:AlternateContent>
          <mc:Choice Requires="wps">
            <w:drawing>
              <wp:anchor distT="0" distB="0" distL="114300" distR="114300" simplePos="0" relativeHeight="251673600" behindDoc="0" locked="0" layoutInCell="1" allowOverlap="1">
                <wp:simplePos x="0" y="0"/>
                <wp:positionH relativeFrom="column">
                  <wp:posOffset>2980055</wp:posOffset>
                </wp:positionH>
                <wp:positionV relativeFrom="paragraph">
                  <wp:posOffset>7100570</wp:posOffset>
                </wp:positionV>
                <wp:extent cx="8890" cy="238760"/>
                <wp:effectExtent l="50165" t="635" r="55245" b="8255"/>
                <wp:wrapNone/>
                <wp:docPr id="12" name="自选图形 11"/>
                <wp:cNvGraphicFramePr/>
                <a:graphic xmlns:a="http://schemas.openxmlformats.org/drawingml/2006/main">
                  <a:graphicData uri="http://schemas.microsoft.com/office/word/2010/wordprocessingShape">
                    <wps:wsp>
                      <wps:cNvCnPr/>
                      <wps:spPr>
                        <a:xfrm flipH="1">
                          <a:off x="0" y="0"/>
                          <a:ext cx="8890" cy="238760"/>
                        </a:xfrm>
                        <a:prstGeom prst="straightConnector1">
                          <a:avLst/>
                        </a:prstGeom>
                        <a:ln w="19050" cap="flat" cmpd="sng">
                          <a:solidFill>
                            <a:srgbClr val="000000"/>
                          </a:solidFill>
                          <a:prstDash val="solid"/>
                          <a:headEnd type="none" w="med" len="med"/>
                          <a:tailEnd type="arrow" w="med" len="med"/>
                        </a:ln>
                      </wps:spPr>
                      <wps:bodyPr/>
                    </wps:wsp>
                  </a:graphicData>
                </a:graphic>
              </wp:anchor>
            </w:drawing>
          </mc:Choice>
          <mc:Fallback>
            <w:pict>
              <v:shape id="自选图形 11" o:spid="_x0000_s1026" o:spt="32" type="#_x0000_t32" style="position:absolute;left:0pt;flip:x;margin-left:234.65pt;margin-top:559.1pt;height:18.8pt;width:0.7pt;z-index:251673600;mso-width-relative:page;mso-height-relative:page;" filled="f" stroked="t" coordsize="21600,21600" o:gfxdata="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WGG9LaAAAADQEAAA8AAAAAAAAAAQAgAAAAIgAA&#10;AGRycy9kb3ducmV2LnhtbFBLAQIUABQAAAAIAIdO4kCzbUxUBgIAAPMDAAAOAAAAAAAAAAEAIAAA&#10;ACkBAABkcnMvZTJvRG9jLnhtbFBLBQYAAAAABgAGAFkBAAChBQAAAAA=&#10;">
                <v:fill on="f" focussize="0,0"/>
                <v:stroke weight="1.5pt" color="#000000" joinstyle="round" endarrow="open"/>
                <v:imagedata o:title=""/>
                <o:lock v:ext="edit" aspectratio="f"/>
              </v:shape>
            </w:pict>
          </mc:Fallback>
        </mc:AlternateContent>
      </w:r>
      <w:r>
        <w:rPr>
          <w:b w:val="0"/>
          <w:bCs w:val="0"/>
          <w:sz w:val="36"/>
          <w:szCs w:val="36"/>
        </w:rPr>
        <mc:AlternateContent>
          <mc:Choice Requires="wps">
            <w:drawing>
              <wp:anchor distT="0" distB="0" distL="114300" distR="114300" simplePos="0" relativeHeight="251664384" behindDoc="0" locked="0" layoutInCell="1" allowOverlap="1">
                <wp:simplePos x="0" y="0"/>
                <wp:positionH relativeFrom="column">
                  <wp:posOffset>-378460</wp:posOffset>
                </wp:positionH>
                <wp:positionV relativeFrom="paragraph">
                  <wp:posOffset>7358380</wp:posOffset>
                </wp:positionV>
                <wp:extent cx="6501765" cy="744220"/>
                <wp:effectExtent l="9525" t="9525" r="22860" b="27305"/>
                <wp:wrapNone/>
                <wp:docPr id="11" name="圆角矩形 5"/>
                <wp:cNvGraphicFramePr/>
                <a:graphic xmlns:a="http://schemas.openxmlformats.org/drawingml/2006/main">
                  <a:graphicData uri="http://schemas.microsoft.com/office/word/2010/wordprocessingShape">
                    <wps:wsp>
                      <wps:cNvSpPr/>
                      <wps:spPr>
                        <a:xfrm>
                          <a:off x="0" y="0"/>
                          <a:ext cx="6501765" cy="744220"/>
                        </a:xfrm>
                        <a:prstGeom prst="roundRect">
                          <a:avLst/>
                        </a:prstGeom>
                        <a:solidFill>
                          <a:srgbClr val="FFFFFF"/>
                        </a:solidFill>
                        <a:ln w="19050" cap="flat" cmpd="sng" algn="ctr">
                          <a:solidFill>
                            <a:srgbClr val="000000"/>
                          </a:solidFill>
                          <a:prstDash val="solid"/>
                        </a:ln>
                        <a:effectLst/>
                      </wps:spPr>
                      <wps:txbx>
                        <w:txbxContent>
                          <w:p w14:paraId="14A745E2">
                            <w:pPr>
                              <w:spacing w:line="400" w:lineRule="exact"/>
                              <w:jc w:val="left"/>
                              <w:rPr>
                                <w:rFonts w:ascii="宋体" w:hAnsi="宋体" w:cs="宋体"/>
                                <w:color w:val="auto"/>
                                <w:sz w:val="24"/>
                                <w:szCs w:val="24"/>
                              </w:rPr>
                            </w:pPr>
                            <w:r>
                              <w:rPr>
                                <w:rFonts w:hint="eastAsia" w:ascii="宋体" w:hAnsi="宋体" w:cs="宋体"/>
                                <w:sz w:val="24"/>
                                <w:szCs w:val="24"/>
                              </w:rPr>
                              <w:t>江门市</w:t>
                            </w:r>
                            <w:r>
                              <w:rPr>
                                <w:rFonts w:hint="eastAsia" w:ascii="宋体" w:hAnsi="宋体" w:cs="宋体"/>
                                <w:sz w:val="24"/>
                                <w:szCs w:val="24"/>
                                <w:lang w:eastAsia="zh-CN"/>
                              </w:rPr>
                              <w:t>出生缺陷综合干预中心</w:t>
                            </w:r>
                            <w:r>
                              <w:rPr>
                                <w:rFonts w:hint="eastAsia" w:ascii="宋体" w:hAnsi="宋体" w:cs="宋体"/>
                                <w:sz w:val="24"/>
                                <w:szCs w:val="24"/>
                              </w:rPr>
                              <w:t>通过系统导出各定点服务机构（包括市直定点服务机构）补助清单数，根据清单数完成以上2个报表的市级审核</w:t>
                            </w:r>
                            <w:r>
                              <w:rPr>
                                <w:rFonts w:hint="eastAsia" w:ascii="宋体" w:hAnsi="宋体" w:cs="宋体"/>
                                <w:color w:val="auto"/>
                                <w:sz w:val="24"/>
                                <w:szCs w:val="24"/>
                              </w:rPr>
                              <w:t>。</w:t>
                            </w:r>
                            <w:r>
                              <w:rPr>
                                <w:rFonts w:hint="eastAsia" w:ascii="宋体" w:hAnsi="宋体" w:cs="宋体"/>
                                <w:color w:val="auto"/>
                                <w:sz w:val="24"/>
                                <w:szCs w:val="24"/>
                                <w:u w:val="single"/>
                              </w:rPr>
                              <w:t>（每月18日前）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5" o:spid="_x0000_s1026" o:spt="2" style="position:absolute;left:0pt;margin-left:-29.8pt;margin-top:579.4pt;height:58.6pt;width:511.95pt;z-index:251664384;v-text-anchor:middle;mso-width-relative:page;mso-height-relative:page;" fillcolor="#FFFFFF" filled="t" stroked="t" coordsize="21600,21600" arcsize="0.166666666666667" o:gfxdata="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CKLpjnbAAAADQEAAA8AAAAA&#10;AAAAAQAgAAAAIgAAAGRycy9kb3ducmV2LnhtbFBLAQIUABQAAAAIAIdO4kDh8ohfgwIAAAIFAAAO&#10;AAAAAAAAAAEAIAAAACoBAABkcnMvZTJvRG9jLnhtbFBLBQYAAAAABgAGAFkBAAAfBgAAAAA=&#10;">
                <v:fill on="t" focussize="0,0"/>
                <v:stroke weight="1.5pt" color="#000000" joinstyle="round"/>
                <v:imagedata o:title=""/>
                <o:lock v:ext="edit" aspectratio="f"/>
                <v:textbox>
                  <w:txbxContent>
                    <w:p w14:paraId="14A745E2">
                      <w:pPr>
                        <w:spacing w:line="400" w:lineRule="exact"/>
                        <w:jc w:val="left"/>
                        <w:rPr>
                          <w:rFonts w:ascii="宋体" w:hAnsi="宋体" w:cs="宋体"/>
                          <w:color w:val="auto"/>
                          <w:sz w:val="24"/>
                          <w:szCs w:val="24"/>
                        </w:rPr>
                      </w:pPr>
                      <w:r>
                        <w:rPr>
                          <w:rFonts w:hint="eastAsia" w:ascii="宋体" w:hAnsi="宋体" w:cs="宋体"/>
                          <w:sz w:val="24"/>
                          <w:szCs w:val="24"/>
                        </w:rPr>
                        <w:t>江门市</w:t>
                      </w:r>
                      <w:r>
                        <w:rPr>
                          <w:rFonts w:hint="eastAsia" w:ascii="宋体" w:hAnsi="宋体" w:cs="宋体"/>
                          <w:sz w:val="24"/>
                          <w:szCs w:val="24"/>
                          <w:lang w:eastAsia="zh-CN"/>
                        </w:rPr>
                        <w:t>出生缺陷综合干预中心</w:t>
                      </w:r>
                      <w:r>
                        <w:rPr>
                          <w:rFonts w:hint="eastAsia" w:ascii="宋体" w:hAnsi="宋体" w:cs="宋体"/>
                          <w:sz w:val="24"/>
                          <w:szCs w:val="24"/>
                        </w:rPr>
                        <w:t>通过系统导出各定点服务机构（包括市直定点服务机构）补助清单数，根据清单数完成以上2个报表的市级审核</w:t>
                      </w:r>
                      <w:r>
                        <w:rPr>
                          <w:rFonts w:hint="eastAsia" w:ascii="宋体" w:hAnsi="宋体" w:cs="宋体"/>
                          <w:color w:val="auto"/>
                          <w:sz w:val="24"/>
                          <w:szCs w:val="24"/>
                        </w:rPr>
                        <w:t>。</w:t>
                      </w:r>
                      <w:r>
                        <w:rPr>
                          <w:rFonts w:hint="eastAsia" w:ascii="宋体" w:hAnsi="宋体" w:cs="宋体"/>
                          <w:color w:val="auto"/>
                          <w:sz w:val="24"/>
                          <w:szCs w:val="24"/>
                          <w:u w:val="single"/>
                        </w:rPr>
                        <w:t>（每月18日前）</w:t>
                      </w:r>
                    </w:p>
                  </w:txbxContent>
                </v:textbox>
              </v:roundrect>
            </w:pict>
          </mc:Fallback>
        </mc:AlternateContent>
      </w:r>
      <w:r>
        <w:rPr>
          <w:b w:val="0"/>
          <w:bCs w:val="0"/>
          <w:sz w:val="36"/>
          <w:szCs w:val="36"/>
        </w:rPr>
        <mc:AlternateContent>
          <mc:Choice Requires="wps">
            <w:drawing>
              <wp:anchor distT="0" distB="0" distL="114300" distR="114300" simplePos="0" relativeHeight="251669504" behindDoc="0" locked="0" layoutInCell="1" allowOverlap="1">
                <wp:simplePos x="0" y="0"/>
                <wp:positionH relativeFrom="column">
                  <wp:posOffset>-539750</wp:posOffset>
                </wp:positionH>
                <wp:positionV relativeFrom="paragraph">
                  <wp:posOffset>463550</wp:posOffset>
                </wp:positionV>
                <wp:extent cx="6599555" cy="3756025"/>
                <wp:effectExtent l="9525" t="9525" r="20320" b="25400"/>
                <wp:wrapNone/>
                <wp:docPr id="19" name="圆角矩形 6"/>
                <wp:cNvGraphicFramePr/>
                <a:graphic xmlns:a="http://schemas.openxmlformats.org/drawingml/2006/main">
                  <a:graphicData uri="http://schemas.microsoft.com/office/word/2010/wordprocessingShape">
                    <wps:wsp>
                      <wps:cNvSpPr/>
                      <wps:spPr>
                        <a:xfrm>
                          <a:off x="0" y="0"/>
                          <a:ext cx="6599555" cy="3756025"/>
                        </a:xfrm>
                        <a:prstGeom prst="roundRect">
                          <a:avLst/>
                        </a:prstGeom>
                        <a:solidFill>
                          <a:srgbClr val="FFFFFF"/>
                        </a:solidFill>
                        <a:ln w="19050" cap="flat" cmpd="sng" algn="ctr">
                          <a:solidFill>
                            <a:srgbClr val="000000"/>
                          </a:solidFill>
                          <a:prstDash val="solid"/>
                        </a:ln>
                        <a:effectLst/>
                      </wps:spPr>
                      <wps:txbx>
                        <w:txbxContent>
                          <w:p w14:paraId="2E6D9965">
                            <w:pPr>
                              <w:spacing w:line="400" w:lineRule="exact"/>
                              <w:jc w:val="left"/>
                              <w:rPr>
                                <w:rFonts w:ascii="宋体" w:hAnsi="宋体" w:cs="宋体"/>
                                <w:color w:val="auto"/>
                                <w:sz w:val="24"/>
                                <w:szCs w:val="24"/>
                              </w:rPr>
                            </w:pPr>
                            <w:r>
                              <w:rPr>
                                <w:rFonts w:hint="eastAsia" w:ascii="宋体" w:hAnsi="宋体" w:cs="宋体"/>
                                <w:color w:val="auto"/>
                                <w:sz w:val="24"/>
                                <w:szCs w:val="24"/>
                                <w:lang w:eastAsia="zh-CN"/>
                              </w:rPr>
                              <w:t>各市（县、区）</w:t>
                            </w:r>
                            <w:r>
                              <w:rPr>
                                <w:rFonts w:hint="eastAsia" w:ascii="宋体" w:hAnsi="宋体" w:cs="宋体"/>
                                <w:color w:val="auto"/>
                                <w:sz w:val="24"/>
                                <w:szCs w:val="24"/>
                              </w:rPr>
                              <w:t>每年根据目标人群数进行</w:t>
                            </w:r>
                            <w:r>
                              <w:rPr>
                                <w:rFonts w:hint="eastAsia" w:ascii="方正小标宋简体" w:hAnsi="方正小标宋简体" w:eastAsia="方正小标宋简体" w:cs="方正小标宋简体"/>
                                <w:b/>
                                <w:bCs/>
                                <w:color w:val="auto"/>
                                <w:sz w:val="36"/>
                                <w:szCs w:val="36"/>
                                <w:highlight w:val="none"/>
                              </w:rPr>
                              <w:t>经费预拨</w:t>
                            </w:r>
                            <w:r>
                              <w:rPr>
                                <w:rFonts w:hint="eastAsia" w:ascii="宋体" w:hAnsi="宋体" w:cs="宋体"/>
                                <w:color w:val="auto"/>
                                <w:sz w:val="24"/>
                                <w:szCs w:val="24"/>
                              </w:rPr>
                              <w:t>（620元/胎；214元/</w:t>
                            </w:r>
                            <w:r>
                              <w:rPr>
                                <w:rFonts w:hint="eastAsia" w:ascii="宋体" w:hAnsi="宋体" w:cs="宋体"/>
                                <w:color w:val="auto"/>
                                <w:sz w:val="24"/>
                                <w:szCs w:val="24"/>
                                <w:lang w:eastAsia="zh-CN"/>
                              </w:rPr>
                              <w:t>人）。</w:t>
                            </w:r>
                          </w:p>
                          <w:p w14:paraId="18789592">
                            <w:pPr>
                              <w:spacing w:line="400" w:lineRule="exact"/>
                              <w:jc w:val="left"/>
                              <w:rPr>
                                <w:rFonts w:hint="default" w:ascii="宋体" w:hAnsi="宋体" w:cs="宋体"/>
                                <w:b/>
                                <w:bCs/>
                                <w:color w:val="auto"/>
                                <w:sz w:val="24"/>
                                <w:szCs w:val="24"/>
                                <w:lang w:val="en-US" w:eastAsia="zh-CN"/>
                              </w:rPr>
                            </w:pP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1）</w:t>
                            </w:r>
                            <w:r>
                              <w:rPr>
                                <w:rFonts w:hint="eastAsia" w:ascii="宋体" w:hAnsi="宋体" w:cs="宋体"/>
                                <w:b/>
                                <w:bCs/>
                                <w:color w:val="auto"/>
                                <w:sz w:val="24"/>
                                <w:szCs w:val="24"/>
                                <w:lang w:eastAsia="zh-CN"/>
                              </w:rPr>
                              <w:t>台开恩地区：（省、市、县财政承担比例为</w:t>
                            </w:r>
                            <w:r>
                              <w:rPr>
                                <w:rFonts w:hint="eastAsia" w:ascii="宋体" w:hAnsi="宋体" w:cs="宋体"/>
                                <w:b/>
                                <w:bCs/>
                                <w:color w:val="auto"/>
                                <w:sz w:val="24"/>
                                <w:szCs w:val="24"/>
                                <w:lang w:val="en-US" w:eastAsia="zh-CN"/>
                              </w:rPr>
                              <w:t>6:2:2）</w:t>
                            </w:r>
                          </w:p>
                          <w:p w14:paraId="524D08D0">
                            <w:pPr>
                              <w:spacing w:line="400" w:lineRule="exact"/>
                              <w:jc w:val="left"/>
                              <w:rPr>
                                <w:rFonts w:hint="eastAsia" w:ascii="宋体" w:hAnsi="宋体" w:cs="宋体"/>
                                <w:color w:val="auto"/>
                                <w:sz w:val="24"/>
                                <w:szCs w:val="24"/>
                                <w:lang w:val="en-US" w:eastAsia="zh-CN"/>
                              </w:rPr>
                            </w:pPr>
                            <w:r>
                              <w:rPr>
                                <w:rFonts w:hint="eastAsia" w:ascii="宋体" w:hAnsi="宋体" w:cs="宋体"/>
                                <w:b/>
                                <w:bCs/>
                                <w:color w:val="auto"/>
                                <w:sz w:val="24"/>
                                <w:szCs w:val="24"/>
                                <w:u w:val="single"/>
                                <w:lang w:eastAsia="zh-CN"/>
                              </w:rPr>
                              <w:t>①新生儿遗传代谢性疾病筛查：</w:t>
                            </w:r>
                            <w:r>
                              <w:rPr>
                                <w:rFonts w:hint="eastAsia" w:ascii="宋体" w:hAnsi="宋体" w:cs="宋体"/>
                                <w:color w:val="auto"/>
                                <w:sz w:val="24"/>
                                <w:szCs w:val="24"/>
                              </w:rPr>
                              <w:t>省、市</w:t>
                            </w:r>
                            <w:r>
                              <w:rPr>
                                <w:rFonts w:hint="eastAsia" w:ascii="宋体" w:hAnsi="宋体" w:cs="宋体"/>
                                <w:color w:val="auto"/>
                                <w:sz w:val="24"/>
                                <w:szCs w:val="24"/>
                                <w:lang w:eastAsia="zh-CN"/>
                              </w:rPr>
                              <w:t>、县级</w:t>
                            </w:r>
                            <w:r>
                              <w:rPr>
                                <w:rFonts w:hint="eastAsia" w:ascii="宋体" w:hAnsi="宋体" w:cs="宋体"/>
                                <w:color w:val="auto"/>
                                <w:sz w:val="24"/>
                                <w:szCs w:val="24"/>
                              </w:rPr>
                              <w:t>经费预拨至江门市新筛中心</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107元/人）。</w:t>
                            </w:r>
                          </w:p>
                          <w:p w14:paraId="223C001A">
                            <w:pPr>
                              <w:spacing w:line="400" w:lineRule="exact"/>
                              <w:jc w:val="left"/>
                              <w:rPr>
                                <w:rFonts w:hint="default" w:ascii="宋体" w:hAnsi="宋体" w:cs="宋体"/>
                                <w:color w:val="auto"/>
                                <w:sz w:val="24"/>
                                <w:szCs w:val="24"/>
                                <w:lang w:val="en-US" w:eastAsia="zh-CN"/>
                              </w:rPr>
                            </w:pPr>
                            <w:r>
                              <w:rPr>
                                <w:rFonts w:hint="eastAsia" w:ascii="宋体" w:hAnsi="宋体" w:cs="宋体"/>
                                <w:b/>
                                <w:bCs/>
                                <w:color w:val="auto"/>
                                <w:sz w:val="24"/>
                                <w:szCs w:val="24"/>
                                <w:u w:val="single"/>
                                <w:lang w:val="en-US" w:eastAsia="zh-CN"/>
                              </w:rPr>
                              <w:t>②产前筛查、诊断及新生儿听力筛查、早产儿视网膜筛查项目：</w:t>
                            </w:r>
                            <w:r>
                              <w:rPr>
                                <w:rFonts w:hint="eastAsia" w:ascii="宋体" w:hAnsi="宋体" w:cs="宋体"/>
                                <w:color w:val="auto"/>
                                <w:sz w:val="24"/>
                                <w:szCs w:val="24"/>
                                <w:lang w:val="en-US" w:eastAsia="zh-CN"/>
                              </w:rPr>
                              <w:t>省、市、县级经费预拨至县级出生缺陷综合干预中心（620元/胎，107元/人）。</w:t>
                            </w:r>
                          </w:p>
                          <w:p w14:paraId="10FA7280">
                            <w:pPr>
                              <w:spacing w:line="400" w:lineRule="exact"/>
                              <w:jc w:val="left"/>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（2）非台开恩地区（市财政100%承担产前诊断、新生儿遗传代谢性疾病筛查补助经费；各县级财政100%承担产前筛查、新生儿听力筛查、早产儿视网膜筛查补助经费）</w:t>
                            </w:r>
                          </w:p>
                          <w:p w14:paraId="03ABBAA7">
                            <w:pPr>
                              <w:spacing w:line="400" w:lineRule="exact"/>
                              <w:jc w:val="both"/>
                              <w:rPr>
                                <w:rFonts w:hint="default" w:ascii="宋体" w:hAnsi="宋体" w:cs="宋体"/>
                                <w:color w:val="auto"/>
                                <w:sz w:val="24"/>
                                <w:szCs w:val="24"/>
                                <w:lang w:val="en-US" w:eastAsia="zh-CN"/>
                              </w:rPr>
                            </w:pPr>
                            <w:r>
                              <w:rPr>
                                <w:rFonts w:hint="eastAsia" w:ascii="宋体" w:hAnsi="宋体" w:cs="宋体"/>
                                <w:b/>
                                <w:bCs/>
                                <w:color w:val="auto"/>
                                <w:sz w:val="24"/>
                                <w:szCs w:val="24"/>
                                <w:lang w:eastAsia="zh-CN"/>
                              </w:rPr>
                              <w:t>①产前诊断：</w:t>
                            </w:r>
                            <w:r>
                              <w:rPr>
                                <w:rFonts w:hint="eastAsia" w:ascii="宋体" w:hAnsi="宋体" w:cs="宋体"/>
                                <w:color w:val="auto"/>
                                <w:sz w:val="24"/>
                                <w:szCs w:val="24"/>
                                <w:lang w:eastAsia="zh-CN"/>
                              </w:rPr>
                              <w:t>市级经费按</w:t>
                            </w:r>
                            <w:r>
                              <w:rPr>
                                <w:rFonts w:hint="eastAsia" w:ascii="宋体" w:hAnsi="宋体" w:cs="宋体"/>
                                <w:color w:val="auto"/>
                                <w:sz w:val="24"/>
                                <w:szCs w:val="24"/>
                                <w:lang w:val="en-US" w:eastAsia="zh-CN"/>
                              </w:rPr>
                              <w:t>100%比例预拨至江门市妇幼保健院、江门市中心医院（78元/胎）。</w:t>
                            </w:r>
                          </w:p>
                          <w:p w14:paraId="6B65B135">
                            <w:pPr>
                              <w:spacing w:line="400" w:lineRule="exact"/>
                              <w:jc w:val="both"/>
                              <w:rPr>
                                <w:rFonts w:hint="eastAsia" w:ascii="宋体" w:hAnsi="宋体" w:cs="宋体"/>
                                <w:color w:val="auto"/>
                                <w:sz w:val="24"/>
                                <w:szCs w:val="24"/>
                                <w:lang w:val="en-US" w:eastAsia="zh-CN"/>
                              </w:rPr>
                            </w:pPr>
                            <w:r>
                              <w:rPr>
                                <w:rFonts w:hint="eastAsia" w:ascii="宋体" w:hAnsi="宋体" w:cs="宋体"/>
                                <w:b/>
                                <w:bCs/>
                                <w:color w:val="auto"/>
                                <w:sz w:val="24"/>
                                <w:szCs w:val="24"/>
                                <w:lang w:eastAsia="zh-CN"/>
                              </w:rPr>
                              <w:t>②新生儿遗传代谢性疾病筛查：</w:t>
                            </w:r>
                            <w:r>
                              <w:rPr>
                                <w:rFonts w:hint="eastAsia" w:ascii="宋体" w:hAnsi="宋体" w:cs="宋体"/>
                                <w:color w:val="auto"/>
                                <w:sz w:val="24"/>
                                <w:szCs w:val="24"/>
                                <w:lang w:val="en-US" w:eastAsia="zh-CN"/>
                              </w:rPr>
                              <w:t>市级经费按100%比例预拨至江门市新筛中心（107元/人）。</w:t>
                            </w:r>
                          </w:p>
                          <w:p w14:paraId="2AA70B9A">
                            <w:pPr>
                              <w:spacing w:line="400" w:lineRule="exact"/>
                              <w:jc w:val="both"/>
                              <w:rPr>
                                <w:rFonts w:hint="eastAsia" w:ascii="宋体" w:hAnsi="宋体" w:cs="宋体"/>
                                <w:color w:val="auto"/>
                                <w:sz w:val="24"/>
                                <w:szCs w:val="24"/>
                                <w:lang w:val="en-US" w:eastAsia="zh-CN"/>
                              </w:rPr>
                            </w:pPr>
                            <w:r>
                              <w:rPr>
                                <w:rFonts w:hint="eastAsia" w:ascii="宋体" w:hAnsi="宋体" w:cs="宋体"/>
                                <w:b/>
                                <w:bCs/>
                                <w:color w:val="auto"/>
                                <w:sz w:val="24"/>
                                <w:szCs w:val="24"/>
                                <w:lang w:val="en-US" w:eastAsia="zh-CN"/>
                              </w:rPr>
                              <w:t>③产前筛查、新生儿听力筛查、早产儿视网膜筛查：</w:t>
                            </w:r>
                            <w:r>
                              <w:rPr>
                                <w:rFonts w:hint="eastAsia" w:ascii="宋体" w:hAnsi="宋体" w:cs="宋体"/>
                                <w:color w:val="auto"/>
                                <w:sz w:val="24"/>
                                <w:szCs w:val="24"/>
                                <w:lang w:val="en-US" w:eastAsia="zh-CN"/>
                              </w:rPr>
                              <w:t>县级经费按100%比例预拨至各县级出生缺陷综合干预中心（542元/胎，107元/人）。</w:t>
                            </w:r>
                          </w:p>
                          <w:p w14:paraId="0C40F79D">
                            <w:pPr>
                              <w:spacing w:line="400" w:lineRule="exact"/>
                              <w:jc w:val="both"/>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（3）市级财政每年按105元/例先天性心脏病筛查的标准，按一定任务数预拨至项目县（市、区）及项目机构。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6" o:spid="_x0000_s1026" o:spt="2" style="position:absolute;left:0pt;margin-left:-42.5pt;margin-top:36.5pt;height:295.75pt;width:519.65pt;z-index:251669504;v-text-anchor:middle;mso-width-relative:page;mso-height-relative:page;" fillcolor="#FFFFFF" filled="t" stroked="t" coordsize="21600,21600" arcsize="0.166666666666667" o:gfxdata="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K0/3TXaAAAACgEAAA8AAAAAAAAA&#10;AQAgAAAAIgAAAGRycy9kb3ducmV2LnhtbFBLAQIUABQAAAAIAIdO4kA5gGpggQIAAAMFAAAOAAAA&#10;AAAAAAEAIAAAACkBAABkcnMvZTJvRG9jLnhtbFBLBQYAAAAABgAGAFkBAAAcBgAAAAA=&#10;">
                <v:fill on="t" focussize="0,0"/>
                <v:stroke weight="1.5pt" color="#000000" joinstyle="round"/>
                <v:imagedata o:title=""/>
                <o:lock v:ext="edit" aspectratio="f"/>
                <v:textbox>
                  <w:txbxContent>
                    <w:p w14:paraId="2E6D9965">
                      <w:pPr>
                        <w:spacing w:line="400" w:lineRule="exact"/>
                        <w:jc w:val="left"/>
                        <w:rPr>
                          <w:rFonts w:ascii="宋体" w:hAnsi="宋体" w:cs="宋体"/>
                          <w:color w:val="auto"/>
                          <w:sz w:val="24"/>
                          <w:szCs w:val="24"/>
                        </w:rPr>
                      </w:pPr>
                      <w:r>
                        <w:rPr>
                          <w:rFonts w:hint="eastAsia" w:ascii="宋体" w:hAnsi="宋体" w:cs="宋体"/>
                          <w:color w:val="auto"/>
                          <w:sz w:val="24"/>
                          <w:szCs w:val="24"/>
                          <w:lang w:eastAsia="zh-CN"/>
                        </w:rPr>
                        <w:t>各市（县、区）</w:t>
                      </w:r>
                      <w:r>
                        <w:rPr>
                          <w:rFonts w:hint="eastAsia" w:ascii="宋体" w:hAnsi="宋体" w:cs="宋体"/>
                          <w:color w:val="auto"/>
                          <w:sz w:val="24"/>
                          <w:szCs w:val="24"/>
                        </w:rPr>
                        <w:t>每年根据目标人群数进行</w:t>
                      </w:r>
                      <w:r>
                        <w:rPr>
                          <w:rFonts w:hint="eastAsia" w:ascii="方正小标宋简体" w:hAnsi="方正小标宋简体" w:eastAsia="方正小标宋简体" w:cs="方正小标宋简体"/>
                          <w:b/>
                          <w:bCs/>
                          <w:color w:val="auto"/>
                          <w:sz w:val="36"/>
                          <w:szCs w:val="36"/>
                          <w:highlight w:val="none"/>
                        </w:rPr>
                        <w:t>经费预拨</w:t>
                      </w:r>
                      <w:r>
                        <w:rPr>
                          <w:rFonts w:hint="eastAsia" w:ascii="宋体" w:hAnsi="宋体" w:cs="宋体"/>
                          <w:color w:val="auto"/>
                          <w:sz w:val="24"/>
                          <w:szCs w:val="24"/>
                        </w:rPr>
                        <w:t>（620元/胎；214元/</w:t>
                      </w:r>
                      <w:r>
                        <w:rPr>
                          <w:rFonts w:hint="eastAsia" w:ascii="宋体" w:hAnsi="宋体" w:cs="宋体"/>
                          <w:color w:val="auto"/>
                          <w:sz w:val="24"/>
                          <w:szCs w:val="24"/>
                          <w:lang w:eastAsia="zh-CN"/>
                        </w:rPr>
                        <w:t>人）。</w:t>
                      </w:r>
                    </w:p>
                    <w:p w14:paraId="18789592">
                      <w:pPr>
                        <w:spacing w:line="400" w:lineRule="exact"/>
                        <w:jc w:val="left"/>
                        <w:rPr>
                          <w:rFonts w:hint="default" w:ascii="宋体" w:hAnsi="宋体" w:cs="宋体"/>
                          <w:b/>
                          <w:bCs/>
                          <w:color w:val="auto"/>
                          <w:sz w:val="24"/>
                          <w:szCs w:val="24"/>
                          <w:lang w:val="en-US" w:eastAsia="zh-CN"/>
                        </w:rPr>
                      </w:pP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1）</w:t>
                      </w:r>
                      <w:r>
                        <w:rPr>
                          <w:rFonts w:hint="eastAsia" w:ascii="宋体" w:hAnsi="宋体" w:cs="宋体"/>
                          <w:b/>
                          <w:bCs/>
                          <w:color w:val="auto"/>
                          <w:sz w:val="24"/>
                          <w:szCs w:val="24"/>
                          <w:lang w:eastAsia="zh-CN"/>
                        </w:rPr>
                        <w:t>台开恩地区：（省、市、县财政承担比例为</w:t>
                      </w:r>
                      <w:r>
                        <w:rPr>
                          <w:rFonts w:hint="eastAsia" w:ascii="宋体" w:hAnsi="宋体" w:cs="宋体"/>
                          <w:b/>
                          <w:bCs/>
                          <w:color w:val="auto"/>
                          <w:sz w:val="24"/>
                          <w:szCs w:val="24"/>
                          <w:lang w:val="en-US" w:eastAsia="zh-CN"/>
                        </w:rPr>
                        <w:t>6:2:2）</w:t>
                      </w:r>
                    </w:p>
                    <w:p w14:paraId="524D08D0">
                      <w:pPr>
                        <w:spacing w:line="400" w:lineRule="exact"/>
                        <w:jc w:val="left"/>
                        <w:rPr>
                          <w:rFonts w:hint="eastAsia" w:ascii="宋体" w:hAnsi="宋体" w:cs="宋体"/>
                          <w:color w:val="auto"/>
                          <w:sz w:val="24"/>
                          <w:szCs w:val="24"/>
                          <w:lang w:val="en-US" w:eastAsia="zh-CN"/>
                        </w:rPr>
                      </w:pPr>
                      <w:r>
                        <w:rPr>
                          <w:rFonts w:hint="eastAsia" w:ascii="宋体" w:hAnsi="宋体" w:cs="宋体"/>
                          <w:b/>
                          <w:bCs/>
                          <w:color w:val="auto"/>
                          <w:sz w:val="24"/>
                          <w:szCs w:val="24"/>
                          <w:u w:val="single"/>
                          <w:lang w:eastAsia="zh-CN"/>
                        </w:rPr>
                        <w:t>①新生儿遗传代谢性疾病筛查：</w:t>
                      </w:r>
                      <w:r>
                        <w:rPr>
                          <w:rFonts w:hint="eastAsia" w:ascii="宋体" w:hAnsi="宋体" w:cs="宋体"/>
                          <w:color w:val="auto"/>
                          <w:sz w:val="24"/>
                          <w:szCs w:val="24"/>
                        </w:rPr>
                        <w:t>省、市</w:t>
                      </w:r>
                      <w:r>
                        <w:rPr>
                          <w:rFonts w:hint="eastAsia" w:ascii="宋体" w:hAnsi="宋体" w:cs="宋体"/>
                          <w:color w:val="auto"/>
                          <w:sz w:val="24"/>
                          <w:szCs w:val="24"/>
                          <w:lang w:eastAsia="zh-CN"/>
                        </w:rPr>
                        <w:t>、县级</w:t>
                      </w:r>
                      <w:r>
                        <w:rPr>
                          <w:rFonts w:hint="eastAsia" w:ascii="宋体" w:hAnsi="宋体" w:cs="宋体"/>
                          <w:color w:val="auto"/>
                          <w:sz w:val="24"/>
                          <w:szCs w:val="24"/>
                        </w:rPr>
                        <w:t>经费预拨至江门市新筛中心</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107元/人）。</w:t>
                      </w:r>
                    </w:p>
                    <w:p w14:paraId="223C001A">
                      <w:pPr>
                        <w:spacing w:line="400" w:lineRule="exact"/>
                        <w:jc w:val="left"/>
                        <w:rPr>
                          <w:rFonts w:hint="default" w:ascii="宋体" w:hAnsi="宋体" w:cs="宋体"/>
                          <w:color w:val="auto"/>
                          <w:sz w:val="24"/>
                          <w:szCs w:val="24"/>
                          <w:lang w:val="en-US" w:eastAsia="zh-CN"/>
                        </w:rPr>
                      </w:pPr>
                      <w:r>
                        <w:rPr>
                          <w:rFonts w:hint="eastAsia" w:ascii="宋体" w:hAnsi="宋体" w:cs="宋体"/>
                          <w:b/>
                          <w:bCs/>
                          <w:color w:val="auto"/>
                          <w:sz w:val="24"/>
                          <w:szCs w:val="24"/>
                          <w:u w:val="single"/>
                          <w:lang w:val="en-US" w:eastAsia="zh-CN"/>
                        </w:rPr>
                        <w:t>②产前筛查、诊断及新生儿听力筛查、早产儿视网膜筛查项目：</w:t>
                      </w:r>
                      <w:r>
                        <w:rPr>
                          <w:rFonts w:hint="eastAsia" w:ascii="宋体" w:hAnsi="宋体" w:cs="宋体"/>
                          <w:color w:val="auto"/>
                          <w:sz w:val="24"/>
                          <w:szCs w:val="24"/>
                          <w:lang w:val="en-US" w:eastAsia="zh-CN"/>
                        </w:rPr>
                        <w:t>省、市、县级经费预拨至县级出生缺陷综合干预中心（620元/胎，107元/人）。</w:t>
                      </w:r>
                    </w:p>
                    <w:p w14:paraId="10FA7280">
                      <w:pPr>
                        <w:spacing w:line="400" w:lineRule="exact"/>
                        <w:jc w:val="left"/>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（2）非台开恩地区（市财政100%承担产前诊断、新生儿遗传代谢性疾病筛查补助经费；各县级财政100%承担产前筛查、新生儿听力筛查、早产儿视网膜筛查补助经费）</w:t>
                      </w:r>
                    </w:p>
                    <w:p w14:paraId="03ABBAA7">
                      <w:pPr>
                        <w:spacing w:line="400" w:lineRule="exact"/>
                        <w:jc w:val="both"/>
                        <w:rPr>
                          <w:rFonts w:hint="default" w:ascii="宋体" w:hAnsi="宋体" w:cs="宋体"/>
                          <w:color w:val="auto"/>
                          <w:sz w:val="24"/>
                          <w:szCs w:val="24"/>
                          <w:lang w:val="en-US" w:eastAsia="zh-CN"/>
                        </w:rPr>
                      </w:pPr>
                      <w:r>
                        <w:rPr>
                          <w:rFonts w:hint="eastAsia" w:ascii="宋体" w:hAnsi="宋体" w:cs="宋体"/>
                          <w:b/>
                          <w:bCs/>
                          <w:color w:val="auto"/>
                          <w:sz w:val="24"/>
                          <w:szCs w:val="24"/>
                          <w:lang w:eastAsia="zh-CN"/>
                        </w:rPr>
                        <w:t>①产前诊断：</w:t>
                      </w:r>
                      <w:r>
                        <w:rPr>
                          <w:rFonts w:hint="eastAsia" w:ascii="宋体" w:hAnsi="宋体" w:cs="宋体"/>
                          <w:color w:val="auto"/>
                          <w:sz w:val="24"/>
                          <w:szCs w:val="24"/>
                          <w:lang w:eastAsia="zh-CN"/>
                        </w:rPr>
                        <w:t>市级经费按</w:t>
                      </w:r>
                      <w:r>
                        <w:rPr>
                          <w:rFonts w:hint="eastAsia" w:ascii="宋体" w:hAnsi="宋体" w:cs="宋体"/>
                          <w:color w:val="auto"/>
                          <w:sz w:val="24"/>
                          <w:szCs w:val="24"/>
                          <w:lang w:val="en-US" w:eastAsia="zh-CN"/>
                        </w:rPr>
                        <w:t>100%比例预拨至江门市妇幼保健院、江门市中心医院（78元/胎）。</w:t>
                      </w:r>
                    </w:p>
                    <w:p w14:paraId="6B65B135">
                      <w:pPr>
                        <w:spacing w:line="400" w:lineRule="exact"/>
                        <w:jc w:val="both"/>
                        <w:rPr>
                          <w:rFonts w:hint="eastAsia" w:ascii="宋体" w:hAnsi="宋体" w:cs="宋体"/>
                          <w:color w:val="auto"/>
                          <w:sz w:val="24"/>
                          <w:szCs w:val="24"/>
                          <w:lang w:val="en-US" w:eastAsia="zh-CN"/>
                        </w:rPr>
                      </w:pPr>
                      <w:r>
                        <w:rPr>
                          <w:rFonts w:hint="eastAsia" w:ascii="宋体" w:hAnsi="宋体" w:cs="宋体"/>
                          <w:b/>
                          <w:bCs/>
                          <w:color w:val="auto"/>
                          <w:sz w:val="24"/>
                          <w:szCs w:val="24"/>
                          <w:lang w:eastAsia="zh-CN"/>
                        </w:rPr>
                        <w:t>②新生儿遗传代谢性疾病筛查：</w:t>
                      </w:r>
                      <w:r>
                        <w:rPr>
                          <w:rFonts w:hint="eastAsia" w:ascii="宋体" w:hAnsi="宋体" w:cs="宋体"/>
                          <w:color w:val="auto"/>
                          <w:sz w:val="24"/>
                          <w:szCs w:val="24"/>
                          <w:lang w:val="en-US" w:eastAsia="zh-CN"/>
                        </w:rPr>
                        <w:t>市级经费按100%比例预拨至江门市新筛中心（107元/人）。</w:t>
                      </w:r>
                    </w:p>
                    <w:p w14:paraId="2AA70B9A">
                      <w:pPr>
                        <w:spacing w:line="400" w:lineRule="exact"/>
                        <w:jc w:val="both"/>
                        <w:rPr>
                          <w:rFonts w:hint="eastAsia" w:ascii="宋体" w:hAnsi="宋体" w:cs="宋体"/>
                          <w:color w:val="auto"/>
                          <w:sz w:val="24"/>
                          <w:szCs w:val="24"/>
                          <w:lang w:val="en-US" w:eastAsia="zh-CN"/>
                        </w:rPr>
                      </w:pPr>
                      <w:r>
                        <w:rPr>
                          <w:rFonts w:hint="eastAsia" w:ascii="宋体" w:hAnsi="宋体" w:cs="宋体"/>
                          <w:b/>
                          <w:bCs/>
                          <w:color w:val="auto"/>
                          <w:sz w:val="24"/>
                          <w:szCs w:val="24"/>
                          <w:lang w:val="en-US" w:eastAsia="zh-CN"/>
                        </w:rPr>
                        <w:t>③产前筛查、新生儿听力筛查、早产儿视网膜筛查：</w:t>
                      </w:r>
                      <w:r>
                        <w:rPr>
                          <w:rFonts w:hint="eastAsia" w:ascii="宋体" w:hAnsi="宋体" w:cs="宋体"/>
                          <w:color w:val="auto"/>
                          <w:sz w:val="24"/>
                          <w:szCs w:val="24"/>
                          <w:lang w:val="en-US" w:eastAsia="zh-CN"/>
                        </w:rPr>
                        <w:t>县级经费按100%比例预拨至各县级出生缺陷综合干预中心（542元/胎，107元/人）。</w:t>
                      </w:r>
                    </w:p>
                    <w:p w14:paraId="0C40F79D">
                      <w:pPr>
                        <w:spacing w:line="400" w:lineRule="exact"/>
                        <w:jc w:val="both"/>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（3）市级财政每年按105元/例先天性心脏病筛查的标准，按一定任务数预拨至项目县（市、区）及项目机构。</w:t>
                      </w:r>
                    </w:p>
                  </w:txbxContent>
                </v:textbox>
              </v:roundrect>
            </w:pict>
          </mc:Fallback>
        </mc:AlternateContent>
      </w:r>
      <w:r>
        <w:rPr>
          <w:rFonts w:hint="eastAsia" w:ascii="方正小标宋简体" w:hAnsi="方正小标宋简体" w:eastAsia="方正小标宋简体" w:cs="方正小标宋简体"/>
          <w:b w:val="0"/>
          <w:bCs w:val="0"/>
          <w:sz w:val="36"/>
          <w:szCs w:val="36"/>
        </w:rPr>
        <w:t>江门市出生缺陷综合防控项目</w:t>
      </w:r>
      <w:r>
        <w:rPr>
          <w:rFonts w:hint="eastAsia" w:ascii="方正小标宋简体" w:hAnsi="方正小标宋简体" w:eastAsia="方正小标宋简体" w:cs="方正小标宋简体"/>
          <w:b w:val="0"/>
          <w:bCs w:val="0"/>
          <w:sz w:val="36"/>
          <w:szCs w:val="36"/>
          <w:lang w:eastAsia="zh-CN"/>
        </w:rPr>
        <w:t>需方</w:t>
      </w:r>
      <w:r>
        <w:rPr>
          <w:rFonts w:hint="eastAsia" w:ascii="方正小标宋简体" w:hAnsi="方正小标宋简体" w:eastAsia="方正小标宋简体" w:cs="方正小标宋简体"/>
          <w:b w:val="0"/>
          <w:bCs w:val="0"/>
          <w:sz w:val="36"/>
          <w:szCs w:val="36"/>
        </w:rPr>
        <w:t>经费结算流程</w:t>
      </w:r>
    </w:p>
    <w:p w14:paraId="0C5A5655">
      <w:pPr>
        <w:snapToGrid w:val="0"/>
        <w:spacing w:line="560" w:lineRule="exact"/>
        <w:jc w:val="left"/>
        <w:rPr>
          <w:rFonts w:ascii="Times New Roman" w:hAnsi="Times New Roman" w:eastAsia="黑体"/>
          <w:snapToGrid w:val="0"/>
          <w:kern w:val="0"/>
          <w:sz w:val="32"/>
          <w:szCs w:val="32"/>
        </w:rPr>
        <w:sectPr>
          <w:pgSz w:w="11906" w:h="16838"/>
          <w:pgMar w:top="1587" w:right="1587" w:bottom="1587" w:left="1587" w:header="851" w:footer="113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26D78413">
      <w:pPr>
        <w:snapToGrid w:val="0"/>
        <w:spacing w:line="560" w:lineRule="exact"/>
        <w:jc w:val="left"/>
        <w:rPr>
          <w:rFonts w:ascii="Times New Roman" w:hAnsi="Times New Roman" w:eastAsia="黑体"/>
          <w:snapToGrid w:val="0"/>
          <w:kern w:val="0"/>
          <w:sz w:val="32"/>
          <w:szCs w:val="32"/>
        </w:rPr>
      </w:pPr>
      <w:r>
        <w:rPr>
          <w:sz w:val="44"/>
        </w:rPr>
        <mc:AlternateContent>
          <mc:Choice Requires="wps">
            <w:drawing>
              <wp:anchor distT="0" distB="0" distL="114300" distR="114300" simplePos="0" relativeHeight="251666432" behindDoc="0" locked="0" layoutInCell="1" allowOverlap="1">
                <wp:simplePos x="0" y="0"/>
                <wp:positionH relativeFrom="column">
                  <wp:posOffset>-318770</wp:posOffset>
                </wp:positionH>
                <wp:positionV relativeFrom="paragraph">
                  <wp:posOffset>223520</wp:posOffset>
                </wp:positionV>
                <wp:extent cx="5746115" cy="1496060"/>
                <wp:effectExtent l="9525" t="9525" r="16510" b="18415"/>
                <wp:wrapNone/>
                <wp:docPr id="16" name="圆角矩形 10"/>
                <wp:cNvGraphicFramePr/>
                <a:graphic xmlns:a="http://schemas.openxmlformats.org/drawingml/2006/main">
                  <a:graphicData uri="http://schemas.microsoft.com/office/word/2010/wordprocessingShape">
                    <wps:wsp>
                      <wps:cNvSpPr/>
                      <wps:spPr>
                        <a:xfrm>
                          <a:off x="0" y="0"/>
                          <a:ext cx="5746115" cy="1496060"/>
                        </a:xfrm>
                        <a:prstGeom prst="roundRect">
                          <a:avLst/>
                        </a:prstGeom>
                        <a:solidFill>
                          <a:srgbClr val="FFFFFF"/>
                        </a:solidFill>
                        <a:ln w="19050" cap="flat" cmpd="sng" algn="ctr">
                          <a:solidFill>
                            <a:srgbClr val="000000"/>
                          </a:solidFill>
                          <a:prstDash val="solid"/>
                        </a:ln>
                        <a:effectLst/>
                      </wps:spPr>
                      <wps:txbx>
                        <w:txbxContent>
                          <w:p w14:paraId="3D2E47D2">
                            <w:pPr>
                              <w:spacing w:line="400" w:lineRule="exact"/>
                              <w:jc w:val="left"/>
                              <w:rPr>
                                <w:rFonts w:ascii="宋体" w:hAnsi="宋体" w:cs="宋体"/>
                                <w:color w:val="auto"/>
                                <w:sz w:val="24"/>
                                <w:szCs w:val="24"/>
                              </w:rPr>
                            </w:pPr>
                            <w:r>
                              <w:rPr>
                                <w:rFonts w:hint="eastAsia" w:ascii="宋体" w:hAnsi="宋体" w:cs="宋体"/>
                                <w:sz w:val="24"/>
                                <w:szCs w:val="24"/>
                              </w:rPr>
                              <w:t>各</w:t>
                            </w:r>
                            <w:r>
                              <w:rPr>
                                <w:rFonts w:hint="eastAsia" w:ascii="宋体" w:hAnsi="宋体" w:cs="宋体"/>
                                <w:color w:val="auto"/>
                                <w:sz w:val="24"/>
                                <w:szCs w:val="24"/>
                                <w:lang w:eastAsia="zh-CN"/>
                              </w:rPr>
                              <w:t>县级出生缺陷综合干预中心</w:t>
                            </w:r>
                            <w:r>
                              <w:rPr>
                                <w:rFonts w:hint="eastAsia" w:ascii="宋体" w:hAnsi="宋体" w:cs="宋体"/>
                                <w:color w:val="auto"/>
                                <w:sz w:val="24"/>
                                <w:szCs w:val="24"/>
                              </w:rPr>
                              <w:t>将上一月辖区《江门市出生缺陷防控及地贫防控项目经费使用情况月报表》、《江门市市直医疗单位出生缺陷防控及地贫防控项目经费使用情况月报表》（</w:t>
                            </w:r>
                            <w:r>
                              <w:rPr>
                                <w:rFonts w:hint="eastAsia" w:ascii="宋体" w:hAnsi="宋体" w:cs="宋体"/>
                                <w:color w:val="auto"/>
                                <w:sz w:val="24"/>
                                <w:szCs w:val="24"/>
                                <w:lang w:eastAsia="zh-CN"/>
                              </w:rPr>
                              <w:t>见市系统</w:t>
                            </w:r>
                            <w:r>
                              <w:rPr>
                                <w:rFonts w:hint="eastAsia" w:ascii="宋体" w:hAnsi="宋体" w:cs="宋体"/>
                                <w:color w:val="auto"/>
                                <w:sz w:val="24"/>
                                <w:szCs w:val="24"/>
                              </w:rPr>
                              <w:t>）盖章交至各</w:t>
                            </w:r>
                            <w:r>
                              <w:rPr>
                                <w:rFonts w:hint="eastAsia" w:ascii="宋体" w:hAnsi="宋体" w:cs="宋体"/>
                                <w:color w:val="auto"/>
                                <w:sz w:val="24"/>
                                <w:szCs w:val="24"/>
                                <w:lang w:eastAsia="zh-CN"/>
                              </w:rPr>
                              <w:t>县</w:t>
                            </w:r>
                            <w:r>
                              <w:rPr>
                                <w:rFonts w:hint="eastAsia" w:ascii="宋体" w:hAnsi="宋体" w:cs="宋体"/>
                                <w:color w:val="auto"/>
                                <w:sz w:val="24"/>
                                <w:szCs w:val="24"/>
                              </w:rPr>
                              <w:t>（市</w:t>
                            </w:r>
                            <w:r>
                              <w:rPr>
                                <w:rFonts w:hint="eastAsia" w:ascii="宋体" w:hAnsi="宋体" w:cs="宋体"/>
                                <w:color w:val="auto"/>
                                <w:sz w:val="24"/>
                                <w:szCs w:val="24"/>
                                <w:lang w:eastAsia="zh-CN"/>
                              </w:rPr>
                              <w:t>、</w:t>
                            </w:r>
                            <w:r>
                              <w:rPr>
                                <w:rFonts w:hint="eastAsia" w:ascii="宋体" w:hAnsi="宋体" w:cs="宋体"/>
                                <w:color w:val="auto"/>
                                <w:sz w:val="24"/>
                                <w:szCs w:val="24"/>
                              </w:rPr>
                              <w:t>区）卫生健康局，并由各</w:t>
                            </w:r>
                            <w:r>
                              <w:rPr>
                                <w:rFonts w:hint="eastAsia" w:ascii="宋体" w:hAnsi="宋体" w:cs="宋体"/>
                                <w:color w:val="auto"/>
                                <w:sz w:val="24"/>
                                <w:szCs w:val="24"/>
                                <w:lang w:eastAsia="zh-CN"/>
                              </w:rPr>
                              <w:t>县</w:t>
                            </w:r>
                            <w:r>
                              <w:rPr>
                                <w:rFonts w:hint="eastAsia" w:ascii="宋体" w:hAnsi="宋体" w:cs="宋体"/>
                                <w:color w:val="auto"/>
                                <w:sz w:val="24"/>
                                <w:szCs w:val="24"/>
                              </w:rPr>
                              <w:t>（市</w:t>
                            </w:r>
                            <w:r>
                              <w:rPr>
                                <w:rFonts w:hint="eastAsia" w:ascii="宋体" w:hAnsi="宋体" w:cs="宋体"/>
                                <w:color w:val="auto"/>
                                <w:sz w:val="24"/>
                                <w:szCs w:val="24"/>
                                <w:lang w:eastAsia="zh-CN"/>
                              </w:rPr>
                              <w:t>、</w:t>
                            </w:r>
                            <w:r>
                              <w:rPr>
                                <w:rFonts w:hint="eastAsia" w:ascii="宋体" w:hAnsi="宋体" w:cs="宋体"/>
                                <w:color w:val="auto"/>
                                <w:sz w:val="24"/>
                                <w:szCs w:val="24"/>
                              </w:rPr>
                              <w:t>区）卫生健康局审核</w:t>
                            </w:r>
                            <w:r>
                              <w:rPr>
                                <w:rFonts w:hint="eastAsia" w:ascii="宋体" w:hAnsi="宋体" w:cs="宋体"/>
                                <w:color w:val="auto"/>
                                <w:sz w:val="24"/>
                                <w:szCs w:val="24"/>
                                <w:lang w:eastAsia="zh-CN"/>
                              </w:rPr>
                              <w:t>无误</w:t>
                            </w:r>
                            <w:r>
                              <w:rPr>
                                <w:rFonts w:hint="eastAsia" w:ascii="宋体" w:hAnsi="宋体" w:cs="宋体"/>
                                <w:color w:val="auto"/>
                                <w:sz w:val="24"/>
                                <w:szCs w:val="24"/>
                              </w:rPr>
                              <w:t>后</w:t>
                            </w:r>
                            <w:r>
                              <w:rPr>
                                <w:rFonts w:hint="eastAsia" w:ascii="宋体" w:hAnsi="宋体" w:cs="宋体"/>
                                <w:color w:val="auto"/>
                                <w:sz w:val="24"/>
                                <w:szCs w:val="24"/>
                                <w:lang w:eastAsia="zh-CN"/>
                              </w:rPr>
                              <w:t>完成机构间结算</w:t>
                            </w:r>
                            <w:r>
                              <w:rPr>
                                <w:rFonts w:hint="eastAsia" w:ascii="宋体" w:hAnsi="宋体" w:cs="宋体"/>
                                <w:color w:val="auto"/>
                                <w:sz w:val="24"/>
                                <w:szCs w:val="24"/>
                              </w:rPr>
                              <w:t>，</w:t>
                            </w:r>
                            <w:r>
                              <w:rPr>
                                <w:rFonts w:hint="eastAsia" w:ascii="宋体" w:hAnsi="宋体" w:cs="宋体"/>
                                <w:color w:val="auto"/>
                                <w:sz w:val="24"/>
                                <w:szCs w:val="24"/>
                                <w:lang w:eastAsia="zh-CN"/>
                              </w:rPr>
                              <w:t>同时</w:t>
                            </w:r>
                            <w:r>
                              <w:rPr>
                                <w:rFonts w:hint="eastAsia" w:ascii="宋体" w:hAnsi="宋体" w:cs="宋体"/>
                                <w:color w:val="auto"/>
                                <w:sz w:val="24"/>
                                <w:szCs w:val="24"/>
                              </w:rPr>
                              <w:t>盖章确认交至江门市卫生健康局。</w:t>
                            </w:r>
                            <w:r>
                              <w:rPr>
                                <w:rFonts w:hint="eastAsia" w:ascii="宋体" w:hAnsi="宋体" w:cs="宋体"/>
                                <w:color w:val="auto"/>
                                <w:sz w:val="24"/>
                                <w:szCs w:val="24"/>
                                <w:u w:val="single"/>
                              </w:rPr>
                              <w:t>（每月21日前）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10" o:spid="_x0000_s1026" o:spt="2" style="position:absolute;left:0pt;margin-left:-25.1pt;margin-top:17.6pt;height:117.8pt;width:452.45pt;z-index:251666432;v-text-anchor:middle;mso-width-relative:page;mso-height-relative:page;" fillcolor="#FFFFFF" filled="t" stroked="t" coordsize="21600,21600" arcsize="0.166666666666667" o:gfxdata="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PmaQQraAAAACgEAAA8AAAAA&#10;AAAAAQAgAAAAIgAAAGRycy9kb3ducmV2LnhtbFBLAQIUABQAAAAIAIdO4kAl8d7thAIAAAQFAAAO&#10;AAAAAAAAAAEAIAAAACkBAABkcnMvZTJvRG9jLnhtbFBLBQYAAAAABgAGAFkBAAAfBgAAAAA=&#10;">
                <v:fill on="t" focussize="0,0"/>
                <v:stroke weight="1.5pt" color="#000000" joinstyle="round"/>
                <v:imagedata o:title=""/>
                <o:lock v:ext="edit" aspectratio="f"/>
                <v:textbox>
                  <w:txbxContent>
                    <w:p w14:paraId="3D2E47D2">
                      <w:pPr>
                        <w:spacing w:line="400" w:lineRule="exact"/>
                        <w:jc w:val="left"/>
                        <w:rPr>
                          <w:rFonts w:ascii="宋体" w:hAnsi="宋体" w:cs="宋体"/>
                          <w:color w:val="auto"/>
                          <w:sz w:val="24"/>
                          <w:szCs w:val="24"/>
                        </w:rPr>
                      </w:pPr>
                      <w:r>
                        <w:rPr>
                          <w:rFonts w:hint="eastAsia" w:ascii="宋体" w:hAnsi="宋体" w:cs="宋体"/>
                          <w:sz w:val="24"/>
                          <w:szCs w:val="24"/>
                        </w:rPr>
                        <w:t>各</w:t>
                      </w:r>
                      <w:r>
                        <w:rPr>
                          <w:rFonts w:hint="eastAsia" w:ascii="宋体" w:hAnsi="宋体" w:cs="宋体"/>
                          <w:color w:val="auto"/>
                          <w:sz w:val="24"/>
                          <w:szCs w:val="24"/>
                          <w:lang w:eastAsia="zh-CN"/>
                        </w:rPr>
                        <w:t>县级出生缺陷综合干预中心</w:t>
                      </w:r>
                      <w:r>
                        <w:rPr>
                          <w:rFonts w:hint="eastAsia" w:ascii="宋体" w:hAnsi="宋体" w:cs="宋体"/>
                          <w:color w:val="auto"/>
                          <w:sz w:val="24"/>
                          <w:szCs w:val="24"/>
                        </w:rPr>
                        <w:t>将上一月辖区《江门市出生缺陷防控及地贫防控项目经费使用情况月报表》、《江门市市直医疗单位出生缺陷防控及地贫防控项目经费使用情况月报表》（</w:t>
                      </w:r>
                      <w:r>
                        <w:rPr>
                          <w:rFonts w:hint="eastAsia" w:ascii="宋体" w:hAnsi="宋体" w:cs="宋体"/>
                          <w:color w:val="auto"/>
                          <w:sz w:val="24"/>
                          <w:szCs w:val="24"/>
                          <w:lang w:eastAsia="zh-CN"/>
                        </w:rPr>
                        <w:t>见市系统</w:t>
                      </w:r>
                      <w:r>
                        <w:rPr>
                          <w:rFonts w:hint="eastAsia" w:ascii="宋体" w:hAnsi="宋体" w:cs="宋体"/>
                          <w:color w:val="auto"/>
                          <w:sz w:val="24"/>
                          <w:szCs w:val="24"/>
                        </w:rPr>
                        <w:t>）盖章交至各</w:t>
                      </w:r>
                      <w:r>
                        <w:rPr>
                          <w:rFonts w:hint="eastAsia" w:ascii="宋体" w:hAnsi="宋体" w:cs="宋体"/>
                          <w:color w:val="auto"/>
                          <w:sz w:val="24"/>
                          <w:szCs w:val="24"/>
                          <w:lang w:eastAsia="zh-CN"/>
                        </w:rPr>
                        <w:t>县</w:t>
                      </w:r>
                      <w:r>
                        <w:rPr>
                          <w:rFonts w:hint="eastAsia" w:ascii="宋体" w:hAnsi="宋体" w:cs="宋体"/>
                          <w:color w:val="auto"/>
                          <w:sz w:val="24"/>
                          <w:szCs w:val="24"/>
                        </w:rPr>
                        <w:t>（市</w:t>
                      </w:r>
                      <w:r>
                        <w:rPr>
                          <w:rFonts w:hint="eastAsia" w:ascii="宋体" w:hAnsi="宋体" w:cs="宋体"/>
                          <w:color w:val="auto"/>
                          <w:sz w:val="24"/>
                          <w:szCs w:val="24"/>
                          <w:lang w:eastAsia="zh-CN"/>
                        </w:rPr>
                        <w:t>、</w:t>
                      </w:r>
                      <w:r>
                        <w:rPr>
                          <w:rFonts w:hint="eastAsia" w:ascii="宋体" w:hAnsi="宋体" w:cs="宋体"/>
                          <w:color w:val="auto"/>
                          <w:sz w:val="24"/>
                          <w:szCs w:val="24"/>
                        </w:rPr>
                        <w:t>区）卫生健康局，并由各</w:t>
                      </w:r>
                      <w:r>
                        <w:rPr>
                          <w:rFonts w:hint="eastAsia" w:ascii="宋体" w:hAnsi="宋体" w:cs="宋体"/>
                          <w:color w:val="auto"/>
                          <w:sz w:val="24"/>
                          <w:szCs w:val="24"/>
                          <w:lang w:eastAsia="zh-CN"/>
                        </w:rPr>
                        <w:t>县</w:t>
                      </w:r>
                      <w:r>
                        <w:rPr>
                          <w:rFonts w:hint="eastAsia" w:ascii="宋体" w:hAnsi="宋体" w:cs="宋体"/>
                          <w:color w:val="auto"/>
                          <w:sz w:val="24"/>
                          <w:szCs w:val="24"/>
                        </w:rPr>
                        <w:t>（市</w:t>
                      </w:r>
                      <w:r>
                        <w:rPr>
                          <w:rFonts w:hint="eastAsia" w:ascii="宋体" w:hAnsi="宋体" w:cs="宋体"/>
                          <w:color w:val="auto"/>
                          <w:sz w:val="24"/>
                          <w:szCs w:val="24"/>
                          <w:lang w:eastAsia="zh-CN"/>
                        </w:rPr>
                        <w:t>、</w:t>
                      </w:r>
                      <w:r>
                        <w:rPr>
                          <w:rFonts w:hint="eastAsia" w:ascii="宋体" w:hAnsi="宋体" w:cs="宋体"/>
                          <w:color w:val="auto"/>
                          <w:sz w:val="24"/>
                          <w:szCs w:val="24"/>
                        </w:rPr>
                        <w:t>区）卫生健康局审核</w:t>
                      </w:r>
                      <w:r>
                        <w:rPr>
                          <w:rFonts w:hint="eastAsia" w:ascii="宋体" w:hAnsi="宋体" w:cs="宋体"/>
                          <w:color w:val="auto"/>
                          <w:sz w:val="24"/>
                          <w:szCs w:val="24"/>
                          <w:lang w:eastAsia="zh-CN"/>
                        </w:rPr>
                        <w:t>无误</w:t>
                      </w:r>
                      <w:r>
                        <w:rPr>
                          <w:rFonts w:hint="eastAsia" w:ascii="宋体" w:hAnsi="宋体" w:cs="宋体"/>
                          <w:color w:val="auto"/>
                          <w:sz w:val="24"/>
                          <w:szCs w:val="24"/>
                        </w:rPr>
                        <w:t>后</w:t>
                      </w:r>
                      <w:r>
                        <w:rPr>
                          <w:rFonts w:hint="eastAsia" w:ascii="宋体" w:hAnsi="宋体" w:cs="宋体"/>
                          <w:color w:val="auto"/>
                          <w:sz w:val="24"/>
                          <w:szCs w:val="24"/>
                          <w:lang w:eastAsia="zh-CN"/>
                        </w:rPr>
                        <w:t>完成机构间结算</w:t>
                      </w:r>
                      <w:r>
                        <w:rPr>
                          <w:rFonts w:hint="eastAsia" w:ascii="宋体" w:hAnsi="宋体" w:cs="宋体"/>
                          <w:color w:val="auto"/>
                          <w:sz w:val="24"/>
                          <w:szCs w:val="24"/>
                        </w:rPr>
                        <w:t>，</w:t>
                      </w:r>
                      <w:r>
                        <w:rPr>
                          <w:rFonts w:hint="eastAsia" w:ascii="宋体" w:hAnsi="宋体" w:cs="宋体"/>
                          <w:color w:val="auto"/>
                          <w:sz w:val="24"/>
                          <w:szCs w:val="24"/>
                          <w:lang w:eastAsia="zh-CN"/>
                        </w:rPr>
                        <w:t>同时</w:t>
                      </w:r>
                      <w:r>
                        <w:rPr>
                          <w:rFonts w:hint="eastAsia" w:ascii="宋体" w:hAnsi="宋体" w:cs="宋体"/>
                          <w:color w:val="auto"/>
                          <w:sz w:val="24"/>
                          <w:szCs w:val="24"/>
                        </w:rPr>
                        <w:t>盖章确认交至江门市卫生健康局。</w:t>
                      </w:r>
                      <w:r>
                        <w:rPr>
                          <w:rFonts w:hint="eastAsia" w:ascii="宋体" w:hAnsi="宋体" w:cs="宋体"/>
                          <w:color w:val="auto"/>
                          <w:sz w:val="24"/>
                          <w:szCs w:val="24"/>
                          <w:u w:val="single"/>
                        </w:rPr>
                        <w:t>（每月21日前）</w:t>
                      </w:r>
                    </w:p>
                  </w:txbxContent>
                </v:textbox>
              </v:roundrect>
            </w:pict>
          </mc:Fallback>
        </mc:AlternateContent>
      </w:r>
      <w:r>
        <w:rPr>
          <w:sz w:val="44"/>
        </w:rPr>
        <mc:AlternateContent>
          <mc:Choice Requires="wps">
            <w:drawing>
              <wp:anchor distT="0" distB="0" distL="114300" distR="114300" simplePos="0" relativeHeight="251667456" behindDoc="0" locked="0" layoutInCell="1" allowOverlap="1">
                <wp:simplePos x="0" y="0"/>
                <wp:positionH relativeFrom="column">
                  <wp:posOffset>2512060</wp:posOffset>
                </wp:positionH>
                <wp:positionV relativeFrom="paragraph">
                  <wp:posOffset>-92075</wp:posOffset>
                </wp:positionV>
                <wp:extent cx="5715" cy="315595"/>
                <wp:effectExtent l="50165" t="0" r="58420" b="8255"/>
                <wp:wrapNone/>
                <wp:docPr id="17" name="直接箭头连接符 11"/>
                <wp:cNvGraphicFramePr/>
                <a:graphic xmlns:a="http://schemas.openxmlformats.org/drawingml/2006/main">
                  <a:graphicData uri="http://schemas.microsoft.com/office/word/2010/wordprocessingShape">
                    <wps:wsp>
                      <wps:cNvCnPr/>
                      <wps:spPr>
                        <a:xfrm>
                          <a:off x="0" y="0"/>
                          <a:ext cx="5715" cy="315595"/>
                        </a:xfrm>
                        <a:prstGeom prst="straightConnector1">
                          <a:avLst/>
                        </a:prstGeom>
                        <a:noFill/>
                        <a:ln w="19050" cap="flat" cmpd="sng" algn="ctr">
                          <a:solidFill>
                            <a:srgbClr val="000000"/>
                          </a:solidFill>
                          <a:prstDash val="solid"/>
                          <a:tailEnd type="arrow"/>
                        </a:ln>
                        <a:effectLst/>
                      </wps:spPr>
                      <wps:bodyPr/>
                    </wps:wsp>
                  </a:graphicData>
                </a:graphic>
              </wp:anchor>
            </w:drawing>
          </mc:Choice>
          <mc:Fallback>
            <w:pict>
              <v:shape id="直接箭头连接符 11" o:spid="_x0000_s1026" o:spt="32" type="#_x0000_t32" style="position:absolute;left:0pt;margin-left:197.8pt;margin-top:-7.25pt;height:24.85pt;width:0.45pt;z-index:251667456;mso-width-relative:page;mso-height-relative:page;" filled="f" stroked="t" coordsize="21600,21600" o:gfxdata="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TVm3jZAAAACgEAAA8AAAAAAAAAAQAgAAAAIgAAAGRycy9k&#10;b3ducmV2LnhtbFBLAQIUABQAAAAIAIdO4kAV1DhoAQIAANoDAAAOAAAAAAAAAAEAIAAAACgBAABk&#10;cnMvZTJvRG9jLnhtbFBLBQYAAAAABgAGAFkBAACbBQAAAAA=&#10;">
                <v:fill on="f" focussize="0,0"/>
                <v:stroke weight="1.5pt" color="#000000" joinstyle="round" endarrow="open"/>
                <v:imagedata o:title=""/>
                <o:lock v:ext="edit" aspectratio="f"/>
              </v:shape>
            </w:pict>
          </mc:Fallback>
        </mc:AlternateContent>
      </w:r>
    </w:p>
    <w:p w14:paraId="476308A8">
      <w:pPr>
        <w:snapToGrid w:val="0"/>
        <w:spacing w:line="560" w:lineRule="exact"/>
        <w:jc w:val="left"/>
        <w:rPr>
          <w:rFonts w:ascii="Times New Roman" w:hAnsi="Times New Roman" w:eastAsia="黑体"/>
          <w:snapToGrid w:val="0"/>
          <w:kern w:val="0"/>
          <w:sz w:val="32"/>
          <w:szCs w:val="32"/>
        </w:rPr>
      </w:pPr>
    </w:p>
    <w:p w14:paraId="6FB237C6">
      <w:pPr>
        <w:snapToGrid w:val="0"/>
        <w:spacing w:line="560" w:lineRule="exact"/>
        <w:jc w:val="left"/>
        <w:rPr>
          <w:rFonts w:ascii="Times New Roman" w:hAnsi="Times New Roman" w:eastAsia="黑体"/>
          <w:snapToGrid w:val="0"/>
          <w:kern w:val="0"/>
          <w:sz w:val="32"/>
          <w:szCs w:val="32"/>
        </w:rPr>
      </w:pPr>
    </w:p>
    <w:p w14:paraId="6B8ABEE3">
      <w:pPr>
        <w:snapToGrid w:val="0"/>
        <w:spacing w:line="560" w:lineRule="exact"/>
        <w:jc w:val="left"/>
        <w:rPr>
          <w:rFonts w:ascii="Times New Roman" w:hAnsi="Times New Roman" w:eastAsia="黑体"/>
          <w:snapToGrid w:val="0"/>
          <w:kern w:val="0"/>
          <w:sz w:val="32"/>
          <w:szCs w:val="32"/>
        </w:rPr>
      </w:pPr>
    </w:p>
    <w:p w14:paraId="0896E777">
      <w:pPr>
        <w:snapToGrid w:val="0"/>
        <w:spacing w:line="560" w:lineRule="exact"/>
        <w:jc w:val="left"/>
        <w:rPr>
          <w:rFonts w:ascii="Times New Roman" w:hAnsi="Times New Roman" w:eastAsia="黑体"/>
          <w:snapToGrid w:val="0"/>
          <w:kern w:val="0"/>
          <w:sz w:val="32"/>
          <w:szCs w:val="32"/>
        </w:rPr>
      </w:pPr>
      <w:r>
        <w:rPr>
          <w:sz w:val="44"/>
        </w:rPr>
        <mc:AlternateContent>
          <mc:Choice Requires="wps">
            <w:drawing>
              <wp:anchor distT="0" distB="0" distL="114300" distR="114300" simplePos="0" relativeHeight="251668480" behindDoc="0" locked="0" layoutInCell="1" allowOverlap="1">
                <wp:simplePos x="0" y="0"/>
                <wp:positionH relativeFrom="column">
                  <wp:posOffset>2517140</wp:posOffset>
                </wp:positionH>
                <wp:positionV relativeFrom="paragraph">
                  <wp:posOffset>311150</wp:posOffset>
                </wp:positionV>
                <wp:extent cx="5715" cy="315595"/>
                <wp:effectExtent l="50165" t="0" r="58420" b="8255"/>
                <wp:wrapNone/>
                <wp:docPr id="18" name="直接箭头连接符 11"/>
                <wp:cNvGraphicFramePr/>
                <a:graphic xmlns:a="http://schemas.openxmlformats.org/drawingml/2006/main">
                  <a:graphicData uri="http://schemas.microsoft.com/office/word/2010/wordprocessingShape">
                    <wps:wsp>
                      <wps:cNvCnPr/>
                      <wps:spPr>
                        <a:xfrm>
                          <a:off x="0" y="0"/>
                          <a:ext cx="5715" cy="315595"/>
                        </a:xfrm>
                        <a:prstGeom prst="straightConnector1">
                          <a:avLst/>
                        </a:prstGeom>
                        <a:noFill/>
                        <a:ln w="19050" cap="flat" cmpd="sng" algn="ctr">
                          <a:solidFill>
                            <a:srgbClr val="000000"/>
                          </a:solidFill>
                          <a:prstDash val="solid"/>
                          <a:tailEnd type="arrow"/>
                        </a:ln>
                        <a:effectLst/>
                      </wps:spPr>
                      <wps:bodyPr/>
                    </wps:wsp>
                  </a:graphicData>
                </a:graphic>
              </wp:anchor>
            </w:drawing>
          </mc:Choice>
          <mc:Fallback>
            <w:pict>
              <v:shape id="直接箭头连接符 11" o:spid="_x0000_s1026" o:spt="32" type="#_x0000_t32" style="position:absolute;left:0pt;margin-left:198.2pt;margin-top:24.5pt;height:24.85pt;width:0.45pt;z-index:251668480;mso-width-relative:page;mso-height-relative:page;" filled="f" stroked="t" coordsize="21600,21600" o:gfxdata="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2yE5NkAAAAJAQAADwAAAAAAAAABACAAAAAiAAAAZHJzL2Rv&#10;d25yZXYueG1sUEsBAhQAFAAAAAgAh07iQN5Ex/UAAgAA2gMAAA4AAAAAAAAAAQAgAAAAKAEAAGRy&#10;cy9lMm9Eb2MueG1sUEsFBgAAAAAGAAYAWQEAAJoFAAAAAA==&#10;">
                <v:fill on="f" focussize="0,0"/>
                <v:stroke weight="1.5pt" color="#000000" joinstyle="round" endarrow="open"/>
                <v:imagedata o:title=""/>
                <o:lock v:ext="edit" aspectratio="f"/>
              </v:shape>
            </w:pict>
          </mc:Fallback>
        </mc:AlternateContent>
      </w:r>
    </w:p>
    <w:p w14:paraId="5FF75C39">
      <w:pPr>
        <w:snapToGrid w:val="0"/>
        <w:spacing w:line="560" w:lineRule="exact"/>
        <w:jc w:val="left"/>
        <w:rPr>
          <w:rFonts w:ascii="Times New Roman" w:hAnsi="Times New Roman" w:eastAsia="黑体"/>
          <w:snapToGrid w:val="0"/>
          <w:kern w:val="0"/>
          <w:sz w:val="32"/>
          <w:szCs w:val="32"/>
        </w:rPr>
      </w:pPr>
      <w:r>
        <w:rPr>
          <w:sz w:val="44"/>
        </w:rPr>
        <mc:AlternateContent>
          <mc:Choice Requires="wps">
            <w:drawing>
              <wp:anchor distT="0" distB="0" distL="114300" distR="114300" simplePos="0" relativeHeight="251670528" behindDoc="0" locked="0" layoutInCell="1" allowOverlap="1">
                <wp:simplePos x="0" y="0"/>
                <wp:positionH relativeFrom="column">
                  <wp:posOffset>-648970</wp:posOffset>
                </wp:positionH>
                <wp:positionV relativeFrom="paragraph">
                  <wp:posOffset>283210</wp:posOffset>
                </wp:positionV>
                <wp:extent cx="6489065" cy="6695440"/>
                <wp:effectExtent l="9525" t="9525" r="16510" b="19685"/>
                <wp:wrapNone/>
                <wp:docPr id="21" name="圆角矩形 10"/>
                <wp:cNvGraphicFramePr/>
                <a:graphic xmlns:a="http://schemas.openxmlformats.org/drawingml/2006/main">
                  <a:graphicData uri="http://schemas.microsoft.com/office/word/2010/wordprocessingShape">
                    <wps:wsp>
                      <wps:cNvSpPr/>
                      <wps:spPr>
                        <a:xfrm>
                          <a:off x="0" y="0"/>
                          <a:ext cx="6489065" cy="6695440"/>
                        </a:xfrm>
                        <a:prstGeom prst="roundRect">
                          <a:avLst/>
                        </a:prstGeom>
                        <a:solidFill>
                          <a:srgbClr val="FFFFFF"/>
                        </a:solidFill>
                        <a:ln w="19050" cap="flat" cmpd="sng" algn="ctr">
                          <a:solidFill>
                            <a:srgbClr val="000000"/>
                          </a:solidFill>
                          <a:prstDash val="solid"/>
                        </a:ln>
                        <a:effectLst/>
                      </wps:spPr>
                      <wps:txbx>
                        <w:txbxContent>
                          <w:p w14:paraId="6A1E1491">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方正小标宋简体" w:hAnsi="方正小标宋简体" w:eastAsia="方正小标宋简体" w:cs="方正小标宋简体"/>
                                <w:b/>
                                <w:bCs/>
                                <w:color w:val="auto"/>
                                <w:sz w:val="36"/>
                                <w:szCs w:val="36"/>
                                <w:highlight w:val="none"/>
                              </w:rPr>
                            </w:pPr>
                            <w:r>
                              <w:rPr>
                                <w:rFonts w:hint="eastAsia" w:ascii="方正小标宋简体" w:hAnsi="方正小标宋简体" w:eastAsia="方正小标宋简体" w:cs="方正小标宋简体"/>
                                <w:b/>
                                <w:bCs/>
                                <w:color w:val="auto"/>
                                <w:sz w:val="36"/>
                                <w:szCs w:val="36"/>
                                <w:highlight w:val="none"/>
                              </w:rPr>
                              <w:t>经费结算</w:t>
                            </w:r>
                          </w:p>
                          <w:p w14:paraId="1701722B">
                            <w:pPr>
                              <w:keepNext w:val="0"/>
                              <w:keepLines w:val="0"/>
                              <w:pageBreakBefore w:val="0"/>
                              <w:widowControl w:val="0"/>
                              <w:kinsoku/>
                              <w:wordWrap/>
                              <w:overflowPunct/>
                              <w:topLinePunct w:val="0"/>
                              <w:bidi w:val="0"/>
                              <w:adjustRightInd/>
                              <w:snapToGrid/>
                              <w:spacing w:line="400" w:lineRule="exact"/>
                              <w:jc w:val="left"/>
                              <w:textAlignment w:val="auto"/>
                              <w:rPr>
                                <w:rFonts w:hint="default" w:ascii="宋体" w:hAnsi="宋体" w:cs="宋体"/>
                                <w:b/>
                                <w:bCs/>
                                <w:color w:val="auto"/>
                                <w:sz w:val="24"/>
                                <w:szCs w:val="24"/>
                                <w:lang w:val="en-US" w:eastAsia="zh-CN"/>
                              </w:rPr>
                            </w:pP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1）</w:t>
                            </w:r>
                            <w:r>
                              <w:rPr>
                                <w:rFonts w:hint="eastAsia" w:ascii="宋体" w:hAnsi="宋体" w:cs="宋体"/>
                                <w:b/>
                                <w:bCs/>
                                <w:color w:val="auto"/>
                                <w:sz w:val="24"/>
                                <w:szCs w:val="24"/>
                                <w:lang w:eastAsia="zh-CN"/>
                              </w:rPr>
                              <w:t>台开恩地区：（省、市、县财政承担比例为</w:t>
                            </w:r>
                            <w:r>
                              <w:rPr>
                                <w:rFonts w:hint="eastAsia" w:ascii="宋体" w:hAnsi="宋体" w:cs="宋体"/>
                                <w:b/>
                                <w:bCs/>
                                <w:color w:val="auto"/>
                                <w:sz w:val="24"/>
                                <w:szCs w:val="24"/>
                                <w:lang w:val="en-US" w:eastAsia="zh-CN"/>
                              </w:rPr>
                              <w:t>6:2:2）</w:t>
                            </w:r>
                          </w:p>
                          <w:p w14:paraId="113A1D1E">
                            <w:pPr>
                              <w:keepNext w:val="0"/>
                              <w:keepLines w:val="0"/>
                              <w:pageBreakBefore w:val="0"/>
                              <w:widowControl w:val="0"/>
                              <w:kinsoku/>
                              <w:wordWrap/>
                              <w:overflowPunct/>
                              <w:topLinePunct w:val="0"/>
                              <w:bidi w:val="0"/>
                              <w:adjustRightInd/>
                              <w:snapToGrid/>
                              <w:spacing w:line="400" w:lineRule="exact"/>
                              <w:jc w:val="left"/>
                              <w:textAlignment w:val="auto"/>
                              <w:rPr>
                                <w:rFonts w:hint="eastAsia" w:ascii="宋体" w:hAnsi="宋体" w:eastAsia="宋体" w:cs="宋体"/>
                                <w:b/>
                                <w:bCs/>
                                <w:color w:val="auto"/>
                                <w:sz w:val="24"/>
                                <w:szCs w:val="24"/>
                                <w:lang w:eastAsia="zh-CN"/>
                              </w:rPr>
                            </w:pPr>
                            <w:r>
                              <w:rPr>
                                <w:rFonts w:hint="eastAsia" w:ascii="宋体" w:hAnsi="宋体" w:cs="宋体"/>
                                <w:b/>
                                <w:bCs/>
                                <w:color w:val="auto"/>
                                <w:sz w:val="24"/>
                                <w:szCs w:val="24"/>
                                <w:u w:val="single"/>
                                <w:lang w:eastAsia="zh-CN"/>
                              </w:rPr>
                              <w:t>①新生儿遗传代谢性疾病筛查</w:t>
                            </w:r>
                            <w:r>
                              <w:rPr>
                                <w:rFonts w:hint="eastAsia" w:ascii="宋体" w:hAnsi="宋体" w:cs="宋体"/>
                                <w:b/>
                                <w:bCs/>
                                <w:color w:val="auto"/>
                                <w:sz w:val="24"/>
                                <w:szCs w:val="24"/>
                              </w:rPr>
                              <w:t>：</w:t>
                            </w:r>
                            <w:r>
                              <w:rPr>
                                <w:rFonts w:hint="eastAsia" w:ascii="宋体" w:hAnsi="宋体" w:cs="宋体"/>
                                <w:b/>
                                <w:bCs/>
                                <w:color w:val="auto"/>
                                <w:sz w:val="24"/>
                                <w:szCs w:val="24"/>
                                <w:lang w:eastAsia="zh-CN"/>
                              </w:rPr>
                              <w:t>（季</w:t>
                            </w:r>
                            <w:r>
                              <w:rPr>
                                <w:rFonts w:hint="eastAsia" w:ascii="宋体" w:hAnsi="宋体" w:cs="宋体"/>
                                <w:b/>
                                <w:bCs/>
                                <w:color w:val="auto"/>
                                <w:sz w:val="24"/>
                                <w:szCs w:val="24"/>
                              </w:rPr>
                              <w:t>度结算模式</w:t>
                            </w:r>
                            <w:r>
                              <w:rPr>
                                <w:rFonts w:hint="eastAsia" w:ascii="宋体" w:hAnsi="宋体" w:cs="宋体"/>
                                <w:b/>
                                <w:bCs/>
                                <w:color w:val="auto"/>
                                <w:sz w:val="24"/>
                                <w:szCs w:val="24"/>
                                <w:lang w:eastAsia="zh-CN"/>
                              </w:rPr>
                              <w:t>）</w:t>
                            </w:r>
                          </w:p>
                          <w:p w14:paraId="4DA2D00D">
                            <w:pPr>
                              <w:keepNext w:val="0"/>
                              <w:keepLines w:val="0"/>
                              <w:pageBreakBefore w:val="0"/>
                              <w:widowControl w:val="0"/>
                              <w:kinsoku/>
                              <w:wordWrap/>
                              <w:overflowPunct/>
                              <w:topLinePunct w:val="0"/>
                              <w:bidi w:val="0"/>
                              <w:adjustRightInd/>
                              <w:snapToGrid/>
                              <w:spacing w:line="400" w:lineRule="exact"/>
                              <w:jc w:val="left"/>
                              <w:textAlignment w:val="auto"/>
                              <w:rPr>
                                <w:rFonts w:hint="eastAsia" w:ascii="宋体" w:hAnsi="宋体" w:cs="宋体"/>
                                <w:color w:val="auto"/>
                                <w:sz w:val="24"/>
                                <w:szCs w:val="24"/>
                              </w:rPr>
                            </w:pPr>
                            <w:r>
                              <w:rPr>
                                <w:rFonts w:hint="eastAsia" w:ascii="宋体" w:hAnsi="宋体" w:cs="宋体"/>
                                <w:color w:val="auto"/>
                                <w:sz w:val="24"/>
                                <w:szCs w:val="24"/>
                              </w:rPr>
                              <w:t>各</w:t>
                            </w:r>
                            <w:r>
                              <w:rPr>
                                <w:rFonts w:hint="eastAsia" w:ascii="宋体" w:hAnsi="宋体" w:cs="宋体"/>
                                <w:color w:val="auto"/>
                                <w:sz w:val="24"/>
                                <w:szCs w:val="24"/>
                                <w:lang w:eastAsia="zh-CN"/>
                              </w:rPr>
                              <w:t>县级出生缺陷综合干预中心</w:t>
                            </w:r>
                            <w:r>
                              <w:rPr>
                                <w:rFonts w:hint="eastAsia" w:ascii="宋体" w:hAnsi="宋体" w:cs="宋体"/>
                                <w:color w:val="auto"/>
                                <w:sz w:val="24"/>
                                <w:szCs w:val="24"/>
                              </w:rPr>
                              <w:t>按经费分担</w:t>
                            </w:r>
                            <w:r>
                              <w:rPr>
                                <w:rFonts w:hint="eastAsia" w:ascii="宋体" w:hAnsi="宋体" w:cs="宋体"/>
                                <w:color w:val="auto"/>
                                <w:sz w:val="24"/>
                                <w:szCs w:val="24"/>
                                <w:lang w:eastAsia="zh-CN"/>
                              </w:rPr>
                              <w:t>比例（</w:t>
                            </w:r>
                            <w:r>
                              <w:rPr>
                                <w:rFonts w:hint="eastAsia" w:ascii="宋体" w:hAnsi="宋体" w:cs="宋体"/>
                                <w:color w:val="auto"/>
                                <w:sz w:val="24"/>
                                <w:szCs w:val="24"/>
                                <w:lang w:val="en-US" w:eastAsia="zh-CN"/>
                              </w:rPr>
                              <w:t>6:2:2）</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每季度</w:t>
                            </w:r>
                            <w:r>
                              <w:rPr>
                                <w:rFonts w:hint="eastAsia" w:ascii="宋体" w:hAnsi="宋体" w:cs="宋体"/>
                                <w:color w:val="auto"/>
                                <w:sz w:val="24"/>
                                <w:szCs w:val="24"/>
                              </w:rPr>
                              <w:t>根据经费</w:t>
                            </w:r>
                            <w:r>
                              <w:rPr>
                                <w:rFonts w:hint="eastAsia" w:ascii="宋体" w:hAnsi="宋体" w:cs="宋体"/>
                                <w:color w:val="auto"/>
                                <w:sz w:val="24"/>
                                <w:szCs w:val="24"/>
                                <w:lang w:eastAsia="zh-CN"/>
                              </w:rPr>
                              <w:t>月度</w:t>
                            </w:r>
                            <w:r>
                              <w:rPr>
                                <w:rFonts w:hint="eastAsia" w:ascii="宋体" w:hAnsi="宋体" w:cs="宋体"/>
                                <w:color w:val="auto"/>
                                <w:sz w:val="24"/>
                                <w:szCs w:val="24"/>
                              </w:rPr>
                              <w:t>汇总表</w:t>
                            </w:r>
                            <w:r>
                              <w:rPr>
                                <w:rFonts w:hint="eastAsia" w:ascii="宋体" w:hAnsi="宋体" w:cs="宋体"/>
                                <w:color w:val="auto"/>
                                <w:sz w:val="24"/>
                                <w:szCs w:val="24"/>
                                <w:lang w:eastAsia="zh-CN"/>
                              </w:rPr>
                              <w:t>合计例数及结算标准，于</w:t>
                            </w:r>
                            <w:r>
                              <w:rPr>
                                <w:rFonts w:hint="eastAsia" w:ascii="宋体" w:hAnsi="宋体" w:cs="宋体"/>
                                <w:color w:val="auto"/>
                                <w:sz w:val="24"/>
                                <w:szCs w:val="24"/>
                                <w:u w:val="single"/>
                                <w:lang w:eastAsia="zh-CN"/>
                              </w:rPr>
                              <w:t>每季度第一个月</w:t>
                            </w:r>
                            <w:r>
                              <w:rPr>
                                <w:rFonts w:hint="eastAsia" w:ascii="宋体" w:hAnsi="宋体" w:cs="宋体"/>
                                <w:color w:val="auto"/>
                                <w:sz w:val="24"/>
                                <w:szCs w:val="24"/>
                                <w:u w:val="single"/>
                                <w:lang w:val="en-US" w:eastAsia="zh-CN"/>
                              </w:rPr>
                              <w:t>15日前</w:t>
                            </w:r>
                            <w:r>
                              <w:rPr>
                                <w:rFonts w:hint="eastAsia" w:ascii="宋体" w:hAnsi="宋体" w:cs="宋体"/>
                                <w:color w:val="auto"/>
                                <w:sz w:val="24"/>
                                <w:szCs w:val="24"/>
                              </w:rPr>
                              <w:t>与</w:t>
                            </w:r>
                            <w:r>
                              <w:rPr>
                                <w:rFonts w:hint="eastAsia" w:ascii="宋体" w:hAnsi="宋体" w:cs="宋体"/>
                                <w:color w:val="auto"/>
                                <w:sz w:val="24"/>
                                <w:szCs w:val="24"/>
                                <w:lang w:eastAsia="zh-CN"/>
                              </w:rPr>
                              <w:t>江门市</w:t>
                            </w:r>
                            <w:r>
                              <w:rPr>
                                <w:rFonts w:hint="eastAsia" w:ascii="宋体" w:hAnsi="宋体" w:cs="宋体"/>
                                <w:color w:val="auto"/>
                                <w:sz w:val="24"/>
                                <w:szCs w:val="24"/>
                              </w:rPr>
                              <w:t>新筛中心进行</w:t>
                            </w:r>
                            <w:r>
                              <w:rPr>
                                <w:rFonts w:hint="eastAsia" w:ascii="宋体" w:hAnsi="宋体" w:cs="宋体"/>
                                <w:color w:val="auto"/>
                                <w:sz w:val="24"/>
                                <w:szCs w:val="24"/>
                                <w:lang w:eastAsia="zh-CN"/>
                              </w:rPr>
                              <w:t>经费</w:t>
                            </w:r>
                            <w:r>
                              <w:rPr>
                                <w:rFonts w:hint="eastAsia" w:ascii="宋体" w:hAnsi="宋体" w:cs="宋体"/>
                                <w:color w:val="auto"/>
                                <w:sz w:val="24"/>
                                <w:szCs w:val="24"/>
                              </w:rPr>
                              <w:t>结算</w:t>
                            </w:r>
                            <w:r>
                              <w:rPr>
                                <w:rFonts w:hint="eastAsia" w:ascii="宋体" w:hAnsi="宋体" w:cs="宋体"/>
                                <w:color w:val="auto"/>
                                <w:sz w:val="24"/>
                                <w:szCs w:val="24"/>
                                <w:lang w:eastAsia="zh-CN"/>
                              </w:rPr>
                              <w:t>（包括省级经费、县级经费部分，占</w:t>
                            </w:r>
                            <w:r>
                              <w:rPr>
                                <w:rFonts w:hint="eastAsia" w:ascii="宋体" w:hAnsi="宋体" w:cs="宋体"/>
                                <w:color w:val="auto"/>
                                <w:sz w:val="24"/>
                                <w:szCs w:val="24"/>
                                <w:lang w:val="en-US" w:eastAsia="zh-CN"/>
                              </w:rPr>
                              <w:t>80%</w:t>
                            </w:r>
                            <w:r>
                              <w:rPr>
                                <w:rFonts w:hint="eastAsia" w:ascii="宋体" w:hAnsi="宋体" w:cs="宋体"/>
                                <w:color w:val="auto"/>
                                <w:sz w:val="24"/>
                                <w:szCs w:val="24"/>
                                <w:lang w:eastAsia="zh-CN"/>
                              </w:rPr>
                              <w:t>）</w:t>
                            </w:r>
                            <w:r>
                              <w:rPr>
                                <w:rFonts w:hint="eastAsia" w:ascii="宋体" w:hAnsi="宋体" w:cs="宋体"/>
                                <w:color w:val="auto"/>
                                <w:sz w:val="24"/>
                                <w:szCs w:val="24"/>
                              </w:rPr>
                              <w:t>。</w:t>
                            </w:r>
                          </w:p>
                          <w:p w14:paraId="041C2608">
                            <w:pPr>
                              <w:keepNext w:val="0"/>
                              <w:keepLines w:val="0"/>
                              <w:pageBreakBefore w:val="0"/>
                              <w:widowControl w:val="0"/>
                              <w:kinsoku/>
                              <w:wordWrap/>
                              <w:overflowPunct/>
                              <w:topLinePunct w:val="0"/>
                              <w:bidi w:val="0"/>
                              <w:adjustRightInd/>
                              <w:snapToGrid/>
                              <w:spacing w:line="400" w:lineRule="exact"/>
                              <w:jc w:val="left"/>
                              <w:textAlignment w:val="auto"/>
                              <w:rPr>
                                <w:rFonts w:hint="eastAsia" w:ascii="宋体" w:hAnsi="宋体" w:cs="宋体"/>
                                <w:b/>
                                <w:bCs/>
                                <w:color w:val="auto"/>
                                <w:sz w:val="24"/>
                                <w:szCs w:val="24"/>
                                <w:u w:val="single"/>
                                <w:lang w:val="en-US" w:eastAsia="zh-CN"/>
                              </w:rPr>
                            </w:pPr>
                            <w:r>
                              <w:rPr>
                                <w:rFonts w:hint="eastAsia" w:ascii="宋体" w:hAnsi="宋体" w:cs="宋体"/>
                                <w:b/>
                                <w:bCs/>
                                <w:color w:val="auto"/>
                                <w:sz w:val="24"/>
                                <w:szCs w:val="24"/>
                                <w:u w:val="single"/>
                                <w:lang w:val="en-US" w:eastAsia="zh-CN"/>
                              </w:rPr>
                              <w:t>②产前筛查、诊断及其他新生儿疾病筛查项目</w:t>
                            </w:r>
                            <w:r>
                              <w:rPr>
                                <w:rFonts w:hint="eastAsia" w:ascii="宋体" w:hAnsi="宋体" w:cs="宋体"/>
                                <w:b/>
                                <w:bCs/>
                                <w:color w:val="auto"/>
                                <w:sz w:val="24"/>
                                <w:szCs w:val="24"/>
                                <w:u w:val="none"/>
                                <w:lang w:val="en-US" w:eastAsia="zh-CN"/>
                              </w:rPr>
                              <w:t>：</w:t>
                            </w:r>
                            <w:r>
                              <w:rPr>
                                <w:rFonts w:hint="eastAsia" w:ascii="宋体" w:hAnsi="宋体" w:cs="宋体"/>
                                <w:b/>
                                <w:bCs/>
                                <w:color w:val="auto"/>
                                <w:sz w:val="24"/>
                                <w:szCs w:val="24"/>
                                <w:lang w:val="en-US" w:eastAsia="zh-CN"/>
                              </w:rPr>
                              <w:t>（月度结算模式）</w:t>
                            </w:r>
                          </w:p>
                          <w:p w14:paraId="7485ED1E">
                            <w:pPr>
                              <w:keepNext w:val="0"/>
                              <w:keepLines w:val="0"/>
                              <w:pageBreakBefore w:val="0"/>
                              <w:widowControl w:val="0"/>
                              <w:kinsoku/>
                              <w:wordWrap/>
                              <w:overflowPunct/>
                              <w:topLinePunct w:val="0"/>
                              <w:bidi w:val="0"/>
                              <w:adjustRightInd/>
                              <w:snapToGrid/>
                              <w:spacing w:line="400" w:lineRule="exact"/>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各县级出生缺陷综合干预中心按经费分担比例（6:2:2），每月根据经费月度汇总表合计例数及结算标准，于</w:t>
                            </w:r>
                            <w:r>
                              <w:rPr>
                                <w:rFonts w:hint="eastAsia" w:ascii="宋体" w:hAnsi="宋体" w:cs="宋体"/>
                                <w:color w:val="auto"/>
                                <w:sz w:val="24"/>
                                <w:szCs w:val="24"/>
                                <w:u w:val="single"/>
                                <w:lang w:val="en-US" w:eastAsia="zh-CN"/>
                              </w:rPr>
                              <w:t>每月30日前</w:t>
                            </w:r>
                            <w:r>
                              <w:rPr>
                                <w:rFonts w:hint="eastAsia" w:ascii="宋体" w:hAnsi="宋体" w:cs="宋体"/>
                                <w:color w:val="auto"/>
                                <w:sz w:val="24"/>
                                <w:szCs w:val="24"/>
                                <w:lang w:val="en-US" w:eastAsia="zh-CN"/>
                              </w:rPr>
                              <w:t>与各定点服务机构进行经费结算（结算经费包括省、市、县三级经费，占100%）。</w:t>
                            </w:r>
                          </w:p>
                          <w:p w14:paraId="05B33176">
                            <w:pPr>
                              <w:keepNext w:val="0"/>
                              <w:keepLines w:val="0"/>
                              <w:pageBreakBefore w:val="0"/>
                              <w:widowControl w:val="0"/>
                              <w:numPr>
                                <w:ilvl w:val="0"/>
                                <w:numId w:val="3"/>
                              </w:numPr>
                              <w:kinsoku/>
                              <w:wordWrap/>
                              <w:overflowPunct/>
                              <w:topLinePunct w:val="0"/>
                              <w:bidi w:val="0"/>
                              <w:adjustRightInd/>
                              <w:snapToGrid/>
                              <w:spacing w:line="400" w:lineRule="exact"/>
                              <w:jc w:val="left"/>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非台开恩地区：（市财政100%承担产前诊断、新生儿遗传代谢性疾病筛查补助经费；各县级财政100%承担产前筛查、新生儿听力筛查、早产儿视网膜筛查补助经费）</w:t>
                            </w:r>
                          </w:p>
                          <w:p w14:paraId="40D09EE1">
                            <w:pPr>
                              <w:keepNext w:val="0"/>
                              <w:keepLines w:val="0"/>
                              <w:pageBreakBefore w:val="0"/>
                              <w:widowControl w:val="0"/>
                              <w:numPr>
                                <w:ilvl w:val="0"/>
                                <w:numId w:val="0"/>
                              </w:numPr>
                              <w:kinsoku/>
                              <w:wordWrap/>
                              <w:overflowPunct/>
                              <w:topLinePunct w:val="0"/>
                              <w:bidi w:val="0"/>
                              <w:adjustRightInd/>
                              <w:snapToGrid/>
                              <w:spacing w:line="400" w:lineRule="exact"/>
                              <w:jc w:val="left"/>
                              <w:textAlignment w:val="auto"/>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①产前诊断：（月度结算模式）</w:t>
                            </w:r>
                            <w:r>
                              <w:rPr>
                                <w:rFonts w:hint="eastAsia" w:ascii="宋体" w:hAnsi="宋体" w:cs="宋体"/>
                                <w:b w:val="0"/>
                                <w:bCs w:val="0"/>
                                <w:color w:val="auto"/>
                                <w:sz w:val="24"/>
                                <w:szCs w:val="24"/>
                                <w:lang w:val="en-US" w:eastAsia="zh-CN"/>
                              </w:rPr>
                              <w:t>2家产前诊断中心根据经费月度汇总表合计例数及结算标准，自行进行经费结算（结算经费为市级经费，占100%，已提前预拨，不足在部分下一年度补足）。</w:t>
                            </w:r>
                          </w:p>
                          <w:p w14:paraId="04DC758C">
                            <w:pPr>
                              <w:keepNext w:val="0"/>
                              <w:keepLines w:val="0"/>
                              <w:pageBreakBefore w:val="0"/>
                              <w:widowControl w:val="0"/>
                              <w:numPr>
                                <w:ilvl w:val="0"/>
                                <w:numId w:val="0"/>
                              </w:numPr>
                              <w:kinsoku/>
                              <w:wordWrap/>
                              <w:overflowPunct/>
                              <w:topLinePunct w:val="0"/>
                              <w:bidi w:val="0"/>
                              <w:adjustRightInd/>
                              <w:snapToGrid/>
                              <w:spacing w:line="400" w:lineRule="exact"/>
                              <w:jc w:val="left"/>
                              <w:textAlignment w:val="auto"/>
                              <w:rPr>
                                <w:rFonts w:hint="eastAsia" w:ascii="宋体" w:hAnsi="宋体" w:cs="宋体"/>
                                <w:b w:val="0"/>
                                <w:bCs w:val="0"/>
                                <w:color w:val="auto"/>
                                <w:sz w:val="24"/>
                                <w:szCs w:val="24"/>
                                <w:lang w:val="en-US" w:eastAsia="zh-CN"/>
                              </w:rPr>
                            </w:pPr>
                            <w:r>
                              <w:rPr>
                                <w:rFonts w:hint="eastAsia" w:ascii="宋体" w:hAnsi="宋体" w:cs="宋体"/>
                                <w:b/>
                                <w:bCs/>
                                <w:color w:val="auto"/>
                                <w:sz w:val="24"/>
                                <w:szCs w:val="24"/>
                                <w:lang w:val="en-US" w:eastAsia="zh-CN"/>
                              </w:rPr>
                              <w:t>②新生儿遗传代谢病疾病筛查：（季度结算模式）</w:t>
                            </w:r>
                            <w:r>
                              <w:rPr>
                                <w:rFonts w:hint="eastAsia" w:ascii="宋体" w:hAnsi="宋体" w:cs="宋体"/>
                                <w:b w:val="0"/>
                                <w:bCs w:val="0"/>
                                <w:color w:val="auto"/>
                                <w:sz w:val="24"/>
                                <w:szCs w:val="24"/>
                                <w:lang w:val="en-US" w:eastAsia="zh-CN"/>
                              </w:rPr>
                              <w:t>由江门市新筛中心依据经费月度汇总表合计例数及结算标准，自行进行经费结算（结算经费为市级经费，占100%，已提前预拨，不足在部分下一年度补足）。</w:t>
                            </w:r>
                          </w:p>
                          <w:p w14:paraId="1982AD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cs="宋体"/>
                                <w:b w:val="0"/>
                                <w:bCs w:val="0"/>
                                <w:color w:val="auto"/>
                                <w:sz w:val="24"/>
                                <w:szCs w:val="24"/>
                                <w:lang w:val="en-US" w:eastAsia="zh-CN"/>
                              </w:rPr>
                            </w:pPr>
                            <w:r>
                              <w:rPr>
                                <w:rFonts w:hint="eastAsia" w:ascii="宋体" w:hAnsi="宋体" w:cs="宋体"/>
                                <w:b/>
                                <w:bCs/>
                                <w:color w:val="auto"/>
                                <w:sz w:val="24"/>
                                <w:szCs w:val="24"/>
                                <w:lang w:val="en-US" w:eastAsia="zh-CN"/>
                              </w:rPr>
                              <w:t>③产前筛查、新生儿听力筛查、早产儿视网膜筛查：（月度结算模式）</w:t>
                            </w:r>
                            <w:r>
                              <w:rPr>
                                <w:rFonts w:hint="eastAsia" w:ascii="宋体" w:hAnsi="宋体" w:cs="宋体"/>
                                <w:b w:val="0"/>
                                <w:bCs w:val="0"/>
                                <w:color w:val="auto"/>
                                <w:sz w:val="24"/>
                                <w:szCs w:val="24"/>
                                <w:lang w:val="en-US" w:eastAsia="zh-CN"/>
                              </w:rPr>
                              <w:t>由各县级出生缺陷综合干预中心根据每月经费汇总表合计例数及结算标准，统筹每月与各定点服务机构进行结算。（结算经费为县级经费，占100%）</w:t>
                            </w:r>
                          </w:p>
                          <w:p w14:paraId="02AF1FD4">
                            <w:pPr>
                              <w:keepNext w:val="0"/>
                              <w:keepLines w:val="0"/>
                              <w:pageBreakBefore w:val="0"/>
                              <w:widowControl w:val="0"/>
                              <w:kinsoku/>
                              <w:wordWrap/>
                              <w:overflowPunct/>
                              <w:topLinePunct w:val="0"/>
                              <w:bidi w:val="0"/>
                              <w:adjustRightInd/>
                              <w:snapToGrid/>
                              <w:spacing w:line="400" w:lineRule="exact"/>
                              <w:jc w:val="left"/>
                              <w:textAlignment w:val="auto"/>
                              <w:rPr>
                                <w:rFonts w:hint="eastAsia" w:ascii="宋体" w:hAnsi="宋体" w:cs="宋体"/>
                                <w:color w:val="auto"/>
                                <w:sz w:val="24"/>
                                <w:szCs w:val="24"/>
                                <w:lang w:eastAsia="zh-CN"/>
                              </w:rPr>
                            </w:pPr>
                            <w:r>
                              <w:rPr>
                                <w:rFonts w:hint="eastAsia" w:ascii="宋体" w:hAnsi="宋体" w:cs="宋体"/>
                                <w:b/>
                                <w:bCs/>
                                <w:color w:val="auto"/>
                                <w:sz w:val="24"/>
                                <w:szCs w:val="24"/>
                                <w:lang w:eastAsia="zh-CN"/>
                              </w:rPr>
                              <w:t>注意：</w:t>
                            </w:r>
                            <w:r>
                              <w:rPr>
                                <w:rFonts w:hint="eastAsia" w:ascii="宋体" w:hAnsi="宋体" w:cs="宋体"/>
                                <w:b w:val="0"/>
                                <w:bCs w:val="0"/>
                                <w:color w:val="auto"/>
                                <w:sz w:val="24"/>
                                <w:szCs w:val="24"/>
                              </w:rPr>
                              <w:t>采血费用由</w:t>
                            </w:r>
                            <w:r>
                              <w:rPr>
                                <w:rFonts w:hint="eastAsia" w:ascii="宋体" w:hAnsi="宋体" w:cs="宋体"/>
                                <w:b w:val="0"/>
                                <w:bCs w:val="0"/>
                                <w:color w:val="auto"/>
                                <w:sz w:val="24"/>
                                <w:szCs w:val="24"/>
                                <w:lang w:eastAsia="zh-CN"/>
                              </w:rPr>
                              <w:t>江门市</w:t>
                            </w:r>
                            <w:r>
                              <w:rPr>
                                <w:rFonts w:hint="eastAsia" w:ascii="宋体" w:hAnsi="宋体" w:cs="宋体"/>
                                <w:b w:val="0"/>
                                <w:bCs w:val="0"/>
                                <w:color w:val="auto"/>
                                <w:sz w:val="24"/>
                                <w:szCs w:val="24"/>
                              </w:rPr>
                              <w:t>新筛中心</w:t>
                            </w:r>
                            <w:r>
                              <w:rPr>
                                <w:rFonts w:hint="eastAsia" w:ascii="宋体" w:hAnsi="宋体" w:cs="宋体"/>
                                <w:b w:val="0"/>
                                <w:bCs w:val="0"/>
                                <w:color w:val="auto"/>
                                <w:sz w:val="24"/>
                                <w:szCs w:val="24"/>
                                <w:lang w:eastAsia="zh-CN"/>
                              </w:rPr>
                              <w:t>于每季度第一个月</w:t>
                            </w:r>
                            <w:r>
                              <w:rPr>
                                <w:rFonts w:hint="eastAsia" w:ascii="宋体" w:hAnsi="宋体" w:cs="宋体"/>
                                <w:b w:val="0"/>
                                <w:bCs w:val="0"/>
                                <w:color w:val="auto"/>
                                <w:sz w:val="24"/>
                                <w:szCs w:val="24"/>
                                <w:lang w:val="en-US" w:eastAsia="zh-CN"/>
                              </w:rPr>
                              <w:t>15日前</w:t>
                            </w:r>
                            <w:r>
                              <w:rPr>
                                <w:rFonts w:hint="eastAsia" w:ascii="宋体" w:hAnsi="宋体" w:cs="宋体"/>
                                <w:b w:val="0"/>
                                <w:bCs w:val="0"/>
                                <w:color w:val="auto"/>
                                <w:sz w:val="24"/>
                                <w:szCs w:val="24"/>
                              </w:rPr>
                              <w:t>根据各</w:t>
                            </w:r>
                            <w:r>
                              <w:rPr>
                                <w:rFonts w:hint="eastAsia" w:ascii="宋体" w:hAnsi="宋体" w:cs="宋体"/>
                                <w:b w:val="0"/>
                                <w:bCs w:val="0"/>
                                <w:color w:val="auto"/>
                                <w:sz w:val="24"/>
                                <w:szCs w:val="24"/>
                                <w:lang w:eastAsia="zh-CN"/>
                              </w:rPr>
                              <w:t>县</w:t>
                            </w:r>
                            <w:r>
                              <w:rPr>
                                <w:rFonts w:hint="eastAsia" w:ascii="宋体" w:hAnsi="宋体" w:cs="宋体"/>
                                <w:b w:val="0"/>
                                <w:bCs w:val="0"/>
                                <w:color w:val="auto"/>
                                <w:sz w:val="24"/>
                                <w:szCs w:val="24"/>
                              </w:rPr>
                              <w:t>（市</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rPr>
                              <w:t>区）、市直医疗单位的筛查例数</w:t>
                            </w:r>
                            <w:r>
                              <w:rPr>
                                <w:rFonts w:hint="eastAsia" w:ascii="宋体" w:hAnsi="宋体" w:cs="宋体"/>
                                <w:b w:val="0"/>
                                <w:bCs w:val="0"/>
                                <w:color w:val="auto"/>
                                <w:sz w:val="24"/>
                                <w:szCs w:val="24"/>
                                <w:lang w:eastAsia="zh-CN"/>
                              </w:rPr>
                              <w:t>及经费结算进度</w:t>
                            </w:r>
                            <w:r>
                              <w:rPr>
                                <w:rFonts w:hint="eastAsia" w:ascii="宋体" w:hAnsi="宋体" w:cs="宋体"/>
                                <w:b w:val="0"/>
                                <w:bCs w:val="0"/>
                                <w:color w:val="auto"/>
                                <w:sz w:val="24"/>
                                <w:szCs w:val="24"/>
                              </w:rPr>
                              <w:t>，按12元/例拨款至各</w:t>
                            </w:r>
                            <w:r>
                              <w:rPr>
                                <w:rFonts w:hint="eastAsia" w:ascii="宋体" w:hAnsi="宋体" w:cs="宋体"/>
                                <w:b w:val="0"/>
                                <w:bCs w:val="0"/>
                                <w:color w:val="auto"/>
                                <w:sz w:val="24"/>
                                <w:szCs w:val="24"/>
                                <w:lang w:eastAsia="zh-CN"/>
                              </w:rPr>
                              <w:t>县</w:t>
                            </w:r>
                            <w:r>
                              <w:rPr>
                                <w:rFonts w:hint="eastAsia" w:ascii="宋体" w:hAnsi="宋体" w:cs="宋体"/>
                                <w:b w:val="0"/>
                                <w:bCs w:val="0"/>
                                <w:color w:val="auto"/>
                                <w:sz w:val="24"/>
                                <w:szCs w:val="24"/>
                              </w:rPr>
                              <w:t>（市</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rPr>
                              <w:t>区）</w:t>
                            </w:r>
                            <w:r>
                              <w:rPr>
                                <w:rFonts w:hint="eastAsia" w:ascii="宋体" w:hAnsi="宋体" w:cs="宋体"/>
                                <w:b w:val="0"/>
                                <w:bCs w:val="0"/>
                                <w:color w:val="auto"/>
                                <w:sz w:val="24"/>
                                <w:szCs w:val="24"/>
                                <w:lang w:eastAsia="zh-CN"/>
                              </w:rPr>
                              <w:t>出生缺陷干预中心</w:t>
                            </w:r>
                            <w:r>
                              <w:rPr>
                                <w:rFonts w:hint="eastAsia" w:ascii="宋体" w:hAnsi="宋体" w:cs="宋体"/>
                                <w:b w:val="0"/>
                                <w:bCs w:val="0"/>
                                <w:color w:val="auto"/>
                                <w:sz w:val="24"/>
                                <w:szCs w:val="24"/>
                              </w:rPr>
                              <w:t>及市直医疗单位，各</w:t>
                            </w:r>
                            <w:r>
                              <w:rPr>
                                <w:rFonts w:hint="eastAsia" w:ascii="宋体" w:hAnsi="宋体" w:cs="宋体"/>
                                <w:b w:val="0"/>
                                <w:bCs w:val="0"/>
                                <w:color w:val="auto"/>
                                <w:sz w:val="24"/>
                                <w:szCs w:val="24"/>
                                <w:lang w:eastAsia="zh-CN"/>
                              </w:rPr>
                              <w:t>县</w:t>
                            </w:r>
                            <w:r>
                              <w:rPr>
                                <w:rFonts w:hint="eastAsia" w:ascii="宋体" w:hAnsi="宋体" w:cs="宋体"/>
                                <w:b w:val="0"/>
                                <w:bCs w:val="0"/>
                                <w:color w:val="auto"/>
                                <w:sz w:val="24"/>
                                <w:szCs w:val="24"/>
                              </w:rPr>
                              <w:t>（市</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rPr>
                              <w:t>区）</w:t>
                            </w:r>
                            <w:r>
                              <w:rPr>
                                <w:rFonts w:hint="eastAsia" w:ascii="宋体" w:hAnsi="宋体" w:cs="宋体"/>
                                <w:b w:val="0"/>
                                <w:bCs w:val="0"/>
                                <w:color w:val="auto"/>
                                <w:sz w:val="24"/>
                                <w:szCs w:val="24"/>
                                <w:lang w:eastAsia="zh-CN"/>
                              </w:rPr>
                              <w:t>出生缺陷干预中心再将采血费返回</w:t>
                            </w:r>
                            <w:r>
                              <w:rPr>
                                <w:rFonts w:hint="eastAsia" w:ascii="宋体" w:hAnsi="宋体" w:cs="宋体"/>
                                <w:color w:val="auto"/>
                                <w:sz w:val="24"/>
                                <w:szCs w:val="24"/>
                              </w:rPr>
                              <w:t>辖区内各</w:t>
                            </w:r>
                            <w:r>
                              <w:rPr>
                                <w:rFonts w:hint="eastAsia" w:ascii="宋体" w:hAnsi="宋体" w:cs="宋体"/>
                                <w:color w:val="auto"/>
                                <w:sz w:val="24"/>
                                <w:szCs w:val="24"/>
                                <w:lang w:eastAsia="zh-CN"/>
                              </w:rPr>
                              <w:t>定点服务机构。</w:t>
                            </w:r>
                          </w:p>
                          <w:p w14:paraId="2B58F2D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10" o:spid="_x0000_s1026" o:spt="2" style="position:absolute;left:0pt;margin-left:-51.1pt;margin-top:22.3pt;height:527.2pt;width:510.95pt;z-index:251670528;v-text-anchor:middle;mso-width-relative:page;mso-height-relative:page;" fillcolor="#FFFFFF" filled="t" stroked="t" coordsize="21600,21600" arcsize="0.166666666666667" o:gfxdata="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wKzsNoAAAAMAQAADwAAAAAA&#10;AAABACAAAAAiAAAAZHJzL2Rvd25yZXYueG1sUEsBAhQAFAAAAAgAh07iQEhtfPODAgAABAUAAA4A&#10;AAAAAAAAAQAgAAAAKQEAAGRycy9lMm9Eb2MueG1sUEsFBgAAAAAGAAYAWQEAAB4GAAAAAA==&#10;">
                <v:fill on="t" focussize="0,0"/>
                <v:stroke weight="1.5pt" color="#000000" joinstyle="round"/>
                <v:imagedata o:title=""/>
                <o:lock v:ext="edit" aspectratio="f"/>
                <v:textbox>
                  <w:txbxContent>
                    <w:p w14:paraId="6A1E1491">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方正小标宋简体" w:hAnsi="方正小标宋简体" w:eastAsia="方正小标宋简体" w:cs="方正小标宋简体"/>
                          <w:b/>
                          <w:bCs/>
                          <w:color w:val="auto"/>
                          <w:sz w:val="36"/>
                          <w:szCs w:val="36"/>
                          <w:highlight w:val="none"/>
                        </w:rPr>
                      </w:pPr>
                      <w:r>
                        <w:rPr>
                          <w:rFonts w:hint="eastAsia" w:ascii="方正小标宋简体" w:hAnsi="方正小标宋简体" w:eastAsia="方正小标宋简体" w:cs="方正小标宋简体"/>
                          <w:b/>
                          <w:bCs/>
                          <w:color w:val="auto"/>
                          <w:sz w:val="36"/>
                          <w:szCs w:val="36"/>
                          <w:highlight w:val="none"/>
                        </w:rPr>
                        <w:t>经费结算</w:t>
                      </w:r>
                    </w:p>
                    <w:p w14:paraId="1701722B">
                      <w:pPr>
                        <w:keepNext w:val="0"/>
                        <w:keepLines w:val="0"/>
                        <w:pageBreakBefore w:val="0"/>
                        <w:widowControl w:val="0"/>
                        <w:kinsoku/>
                        <w:wordWrap/>
                        <w:overflowPunct/>
                        <w:topLinePunct w:val="0"/>
                        <w:bidi w:val="0"/>
                        <w:adjustRightInd/>
                        <w:snapToGrid/>
                        <w:spacing w:line="400" w:lineRule="exact"/>
                        <w:jc w:val="left"/>
                        <w:textAlignment w:val="auto"/>
                        <w:rPr>
                          <w:rFonts w:hint="default" w:ascii="宋体" w:hAnsi="宋体" w:cs="宋体"/>
                          <w:b/>
                          <w:bCs/>
                          <w:color w:val="auto"/>
                          <w:sz w:val="24"/>
                          <w:szCs w:val="24"/>
                          <w:lang w:val="en-US" w:eastAsia="zh-CN"/>
                        </w:rPr>
                      </w:pP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1）</w:t>
                      </w:r>
                      <w:r>
                        <w:rPr>
                          <w:rFonts w:hint="eastAsia" w:ascii="宋体" w:hAnsi="宋体" w:cs="宋体"/>
                          <w:b/>
                          <w:bCs/>
                          <w:color w:val="auto"/>
                          <w:sz w:val="24"/>
                          <w:szCs w:val="24"/>
                          <w:lang w:eastAsia="zh-CN"/>
                        </w:rPr>
                        <w:t>台开恩地区：（省、市、县财政承担比例为</w:t>
                      </w:r>
                      <w:r>
                        <w:rPr>
                          <w:rFonts w:hint="eastAsia" w:ascii="宋体" w:hAnsi="宋体" w:cs="宋体"/>
                          <w:b/>
                          <w:bCs/>
                          <w:color w:val="auto"/>
                          <w:sz w:val="24"/>
                          <w:szCs w:val="24"/>
                          <w:lang w:val="en-US" w:eastAsia="zh-CN"/>
                        </w:rPr>
                        <w:t>6:2:2）</w:t>
                      </w:r>
                    </w:p>
                    <w:p w14:paraId="113A1D1E">
                      <w:pPr>
                        <w:keepNext w:val="0"/>
                        <w:keepLines w:val="0"/>
                        <w:pageBreakBefore w:val="0"/>
                        <w:widowControl w:val="0"/>
                        <w:kinsoku/>
                        <w:wordWrap/>
                        <w:overflowPunct/>
                        <w:topLinePunct w:val="0"/>
                        <w:bidi w:val="0"/>
                        <w:adjustRightInd/>
                        <w:snapToGrid/>
                        <w:spacing w:line="400" w:lineRule="exact"/>
                        <w:jc w:val="left"/>
                        <w:textAlignment w:val="auto"/>
                        <w:rPr>
                          <w:rFonts w:hint="eastAsia" w:ascii="宋体" w:hAnsi="宋体" w:eastAsia="宋体" w:cs="宋体"/>
                          <w:b/>
                          <w:bCs/>
                          <w:color w:val="auto"/>
                          <w:sz w:val="24"/>
                          <w:szCs w:val="24"/>
                          <w:lang w:eastAsia="zh-CN"/>
                        </w:rPr>
                      </w:pPr>
                      <w:r>
                        <w:rPr>
                          <w:rFonts w:hint="eastAsia" w:ascii="宋体" w:hAnsi="宋体" w:cs="宋体"/>
                          <w:b/>
                          <w:bCs/>
                          <w:color w:val="auto"/>
                          <w:sz w:val="24"/>
                          <w:szCs w:val="24"/>
                          <w:u w:val="single"/>
                          <w:lang w:eastAsia="zh-CN"/>
                        </w:rPr>
                        <w:t>①新生儿遗传代谢性疾病筛查</w:t>
                      </w:r>
                      <w:r>
                        <w:rPr>
                          <w:rFonts w:hint="eastAsia" w:ascii="宋体" w:hAnsi="宋体" w:cs="宋体"/>
                          <w:b/>
                          <w:bCs/>
                          <w:color w:val="auto"/>
                          <w:sz w:val="24"/>
                          <w:szCs w:val="24"/>
                        </w:rPr>
                        <w:t>：</w:t>
                      </w:r>
                      <w:r>
                        <w:rPr>
                          <w:rFonts w:hint="eastAsia" w:ascii="宋体" w:hAnsi="宋体" w:cs="宋体"/>
                          <w:b/>
                          <w:bCs/>
                          <w:color w:val="auto"/>
                          <w:sz w:val="24"/>
                          <w:szCs w:val="24"/>
                          <w:lang w:eastAsia="zh-CN"/>
                        </w:rPr>
                        <w:t>（季</w:t>
                      </w:r>
                      <w:r>
                        <w:rPr>
                          <w:rFonts w:hint="eastAsia" w:ascii="宋体" w:hAnsi="宋体" w:cs="宋体"/>
                          <w:b/>
                          <w:bCs/>
                          <w:color w:val="auto"/>
                          <w:sz w:val="24"/>
                          <w:szCs w:val="24"/>
                        </w:rPr>
                        <w:t>度结算模式</w:t>
                      </w:r>
                      <w:r>
                        <w:rPr>
                          <w:rFonts w:hint="eastAsia" w:ascii="宋体" w:hAnsi="宋体" w:cs="宋体"/>
                          <w:b/>
                          <w:bCs/>
                          <w:color w:val="auto"/>
                          <w:sz w:val="24"/>
                          <w:szCs w:val="24"/>
                          <w:lang w:eastAsia="zh-CN"/>
                        </w:rPr>
                        <w:t>）</w:t>
                      </w:r>
                    </w:p>
                    <w:p w14:paraId="4DA2D00D">
                      <w:pPr>
                        <w:keepNext w:val="0"/>
                        <w:keepLines w:val="0"/>
                        <w:pageBreakBefore w:val="0"/>
                        <w:widowControl w:val="0"/>
                        <w:kinsoku/>
                        <w:wordWrap/>
                        <w:overflowPunct/>
                        <w:topLinePunct w:val="0"/>
                        <w:bidi w:val="0"/>
                        <w:adjustRightInd/>
                        <w:snapToGrid/>
                        <w:spacing w:line="400" w:lineRule="exact"/>
                        <w:jc w:val="left"/>
                        <w:textAlignment w:val="auto"/>
                        <w:rPr>
                          <w:rFonts w:hint="eastAsia" w:ascii="宋体" w:hAnsi="宋体" w:cs="宋体"/>
                          <w:color w:val="auto"/>
                          <w:sz w:val="24"/>
                          <w:szCs w:val="24"/>
                        </w:rPr>
                      </w:pPr>
                      <w:r>
                        <w:rPr>
                          <w:rFonts w:hint="eastAsia" w:ascii="宋体" w:hAnsi="宋体" w:cs="宋体"/>
                          <w:color w:val="auto"/>
                          <w:sz w:val="24"/>
                          <w:szCs w:val="24"/>
                        </w:rPr>
                        <w:t>各</w:t>
                      </w:r>
                      <w:r>
                        <w:rPr>
                          <w:rFonts w:hint="eastAsia" w:ascii="宋体" w:hAnsi="宋体" w:cs="宋体"/>
                          <w:color w:val="auto"/>
                          <w:sz w:val="24"/>
                          <w:szCs w:val="24"/>
                          <w:lang w:eastAsia="zh-CN"/>
                        </w:rPr>
                        <w:t>县级出生缺陷综合干预中心</w:t>
                      </w:r>
                      <w:r>
                        <w:rPr>
                          <w:rFonts w:hint="eastAsia" w:ascii="宋体" w:hAnsi="宋体" w:cs="宋体"/>
                          <w:color w:val="auto"/>
                          <w:sz w:val="24"/>
                          <w:szCs w:val="24"/>
                        </w:rPr>
                        <w:t>按经费分担</w:t>
                      </w:r>
                      <w:r>
                        <w:rPr>
                          <w:rFonts w:hint="eastAsia" w:ascii="宋体" w:hAnsi="宋体" w:cs="宋体"/>
                          <w:color w:val="auto"/>
                          <w:sz w:val="24"/>
                          <w:szCs w:val="24"/>
                          <w:lang w:eastAsia="zh-CN"/>
                        </w:rPr>
                        <w:t>比例（</w:t>
                      </w:r>
                      <w:r>
                        <w:rPr>
                          <w:rFonts w:hint="eastAsia" w:ascii="宋体" w:hAnsi="宋体" w:cs="宋体"/>
                          <w:color w:val="auto"/>
                          <w:sz w:val="24"/>
                          <w:szCs w:val="24"/>
                          <w:lang w:val="en-US" w:eastAsia="zh-CN"/>
                        </w:rPr>
                        <w:t>6:2:2）</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每季度</w:t>
                      </w:r>
                      <w:r>
                        <w:rPr>
                          <w:rFonts w:hint="eastAsia" w:ascii="宋体" w:hAnsi="宋体" w:cs="宋体"/>
                          <w:color w:val="auto"/>
                          <w:sz w:val="24"/>
                          <w:szCs w:val="24"/>
                        </w:rPr>
                        <w:t>根据经费</w:t>
                      </w:r>
                      <w:r>
                        <w:rPr>
                          <w:rFonts w:hint="eastAsia" w:ascii="宋体" w:hAnsi="宋体" w:cs="宋体"/>
                          <w:color w:val="auto"/>
                          <w:sz w:val="24"/>
                          <w:szCs w:val="24"/>
                          <w:lang w:eastAsia="zh-CN"/>
                        </w:rPr>
                        <w:t>月度</w:t>
                      </w:r>
                      <w:r>
                        <w:rPr>
                          <w:rFonts w:hint="eastAsia" w:ascii="宋体" w:hAnsi="宋体" w:cs="宋体"/>
                          <w:color w:val="auto"/>
                          <w:sz w:val="24"/>
                          <w:szCs w:val="24"/>
                        </w:rPr>
                        <w:t>汇总表</w:t>
                      </w:r>
                      <w:r>
                        <w:rPr>
                          <w:rFonts w:hint="eastAsia" w:ascii="宋体" w:hAnsi="宋体" w:cs="宋体"/>
                          <w:color w:val="auto"/>
                          <w:sz w:val="24"/>
                          <w:szCs w:val="24"/>
                          <w:lang w:eastAsia="zh-CN"/>
                        </w:rPr>
                        <w:t>合计例数及结算标准，于</w:t>
                      </w:r>
                      <w:r>
                        <w:rPr>
                          <w:rFonts w:hint="eastAsia" w:ascii="宋体" w:hAnsi="宋体" w:cs="宋体"/>
                          <w:color w:val="auto"/>
                          <w:sz w:val="24"/>
                          <w:szCs w:val="24"/>
                          <w:u w:val="single"/>
                          <w:lang w:eastAsia="zh-CN"/>
                        </w:rPr>
                        <w:t>每季度第一个月</w:t>
                      </w:r>
                      <w:r>
                        <w:rPr>
                          <w:rFonts w:hint="eastAsia" w:ascii="宋体" w:hAnsi="宋体" w:cs="宋体"/>
                          <w:color w:val="auto"/>
                          <w:sz w:val="24"/>
                          <w:szCs w:val="24"/>
                          <w:u w:val="single"/>
                          <w:lang w:val="en-US" w:eastAsia="zh-CN"/>
                        </w:rPr>
                        <w:t>15日前</w:t>
                      </w:r>
                      <w:r>
                        <w:rPr>
                          <w:rFonts w:hint="eastAsia" w:ascii="宋体" w:hAnsi="宋体" w:cs="宋体"/>
                          <w:color w:val="auto"/>
                          <w:sz w:val="24"/>
                          <w:szCs w:val="24"/>
                        </w:rPr>
                        <w:t>与</w:t>
                      </w:r>
                      <w:r>
                        <w:rPr>
                          <w:rFonts w:hint="eastAsia" w:ascii="宋体" w:hAnsi="宋体" w:cs="宋体"/>
                          <w:color w:val="auto"/>
                          <w:sz w:val="24"/>
                          <w:szCs w:val="24"/>
                          <w:lang w:eastAsia="zh-CN"/>
                        </w:rPr>
                        <w:t>江门市</w:t>
                      </w:r>
                      <w:r>
                        <w:rPr>
                          <w:rFonts w:hint="eastAsia" w:ascii="宋体" w:hAnsi="宋体" w:cs="宋体"/>
                          <w:color w:val="auto"/>
                          <w:sz w:val="24"/>
                          <w:szCs w:val="24"/>
                        </w:rPr>
                        <w:t>新筛中心进行</w:t>
                      </w:r>
                      <w:r>
                        <w:rPr>
                          <w:rFonts w:hint="eastAsia" w:ascii="宋体" w:hAnsi="宋体" w:cs="宋体"/>
                          <w:color w:val="auto"/>
                          <w:sz w:val="24"/>
                          <w:szCs w:val="24"/>
                          <w:lang w:eastAsia="zh-CN"/>
                        </w:rPr>
                        <w:t>经费</w:t>
                      </w:r>
                      <w:r>
                        <w:rPr>
                          <w:rFonts w:hint="eastAsia" w:ascii="宋体" w:hAnsi="宋体" w:cs="宋体"/>
                          <w:color w:val="auto"/>
                          <w:sz w:val="24"/>
                          <w:szCs w:val="24"/>
                        </w:rPr>
                        <w:t>结算</w:t>
                      </w:r>
                      <w:r>
                        <w:rPr>
                          <w:rFonts w:hint="eastAsia" w:ascii="宋体" w:hAnsi="宋体" w:cs="宋体"/>
                          <w:color w:val="auto"/>
                          <w:sz w:val="24"/>
                          <w:szCs w:val="24"/>
                          <w:lang w:eastAsia="zh-CN"/>
                        </w:rPr>
                        <w:t>（包括省级经费、县级经费部分，占</w:t>
                      </w:r>
                      <w:r>
                        <w:rPr>
                          <w:rFonts w:hint="eastAsia" w:ascii="宋体" w:hAnsi="宋体" w:cs="宋体"/>
                          <w:color w:val="auto"/>
                          <w:sz w:val="24"/>
                          <w:szCs w:val="24"/>
                          <w:lang w:val="en-US" w:eastAsia="zh-CN"/>
                        </w:rPr>
                        <w:t>80%</w:t>
                      </w:r>
                      <w:r>
                        <w:rPr>
                          <w:rFonts w:hint="eastAsia" w:ascii="宋体" w:hAnsi="宋体" w:cs="宋体"/>
                          <w:color w:val="auto"/>
                          <w:sz w:val="24"/>
                          <w:szCs w:val="24"/>
                          <w:lang w:eastAsia="zh-CN"/>
                        </w:rPr>
                        <w:t>）</w:t>
                      </w:r>
                      <w:r>
                        <w:rPr>
                          <w:rFonts w:hint="eastAsia" w:ascii="宋体" w:hAnsi="宋体" w:cs="宋体"/>
                          <w:color w:val="auto"/>
                          <w:sz w:val="24"/>
                          <w:szCs w:val="24"/>
                        </w:rPr>
                        <w:t>。</w:t>
                      </w:r>
                    </w:p>
                    <w:p w14:paraId="041C2608">
                      <w:pPr>
                        <w:keepNext w:val="0"/>
                        <w:keepLines w:val="0"/>
                        <w:pageBreakBefore w:val="0"/>
                        <w:widowControl w:val="0"/>
                        <w:kinsoku/>
                        <w:wordWrap/>
                        <w:overflowPunct/>
                        <w:topLinePunct w:val="0"/>
                        <w:bidi w:val="0"/>
                        <w:adjustRightInd/>
                        <w:snapToGrid/>
                        <w:spacing w:line="400" w:lineRule="exact"/>
                        <w:jc w:val="left"/>
                        <w:textAlignment w:val="auto"/>
                        <w:rPr>
                          <w:rFonts w:hint="eastAsia" w:ascii="宋体" w:hAnsi="宋体" w:cs="宋体"/>
                          <w:b/>
                          <w:bCs/>
                          <w:color w:val="auto"/>
                          <w:sz w:val="24"/>
                          <w:szCs w:val="24"/>
                          <w:u w:val="single"/>
                          <w:lang w:val="en-US" w:eastAsia="zh-CN"/>
                        </w:rPr>
                      </w:pPr>
                      <w:r>
                        <w:rPr>
                          <w:rFonts w:hint="eastAsia" w:ascii="宋体" w:hAnsi="宋体" w:cs="宋体"/>
                          <w:b/>
                          <w:bCs/>
                          <w:color w:val="auto"/>
                          <w:sz w:val="24"/>
                          <w:szCs w:val="24"/>
                          <w:u w:val="single"/>
                          <w:lang w:val="en-US" w:eastAsia="zh-CN"/>
                        </w:rPr>
                        <w:t>②产前筛查、诊断及其他新生儿疾病筛查项目</w:t>
                      </w:r>
                      <w:r>
                        <w:rPr>
                          <w:rFonts w:hint="eastAsia" w:ascii="宋体" w:hAnsi="宋体" w:cs="宋体"/>
                          <w:b/>
                          <w:bCs/>
                          <w:color w:val="auto"/>
                          <w:sz w:val="24"/>
                          <w:szCs w:val="24"/>
                          <w:u w:val="none"/>
                          <w:lang w:val="en-US" w:eastAsia="zh-CN"/>
                        </w:rPr>
                        <w:t>：</w:t>
                      </w:r>
                      <w:r>
                        <w:rPr>
                          <w:rFonts w:hint="eastAsia" w:ascii="宋体" w:hAnsi="宋体" w:cs="宋体"/>
                          <w:b/>
                          <w:bCs/>
                          <w:color w:val="auto"/>
                          <w:sz w:val="24"/>
                          <w:szCs w:val="24"/>
                          <w:lang w:val="en-US" w:eastAsia="zh-CN"/>
                        </w:rPr>
                        <w:t>（月度结算模式）</w:t>
                      </w:r>
                    </w:p>
                    <w:p w14:paraId="7485ED1E">
                      <w:pPr>
                        <w:keepNext w:val="0"/>
                        <w:keepLines w:val="0"/>
                        <w:pageBreakBefore w:val="0"/>
                        <w:widowControl w:val="0"/>
                        <w:kinsoku/>
                        <w:wordWrap/>
                        <w:overflowPunct/>
                        <w:topLinePunct w:val="0"/>
                        <w:bidi w:val="0"/>
                        <w:adjustRightInd/>
                        <w:snapToGrid/>
                        <w:spacing w:line="400" w:lineRule="exact"/>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各县级出生缺陷综合干预中心按经费分担比例（6:2:2），每月根据经费月度汇总表合计例数及结算标准，于</w:t>
                      </w:r>
                      <w:r>
                        <w:rPr>
                          <w:rFonts w:hint="eastAsia" w:ascii="宋体" w:hAnsi="宋体" w:cs="宋体"/>
                          <w:color w:val="auto"/>
                          <w:sz w:val="24"/>
                          <w:szCs w:val="24"/>
                          <w:u w:val="single"/>
                          <w:lang w:val="en-US" w:eastAsia="zh-CN"/>
                        </w:rPr>
                        <w:t>每月30日前</w:t>
                      </w:r>
                      <w:r>
                        <w:rPr>
                          <w:rFonts w:hint="eastAsia" w:ascii="宋体" w:hAnsi="宋体" w:cs="宋体"/>
                          <w:color w:val="auto"/>
                          <w:sz w:val="24"/>
                          <w:szCs w:val="24"/>
                          <w:lang w:val="en-US" w:eastAsia="zh-CN"/>
                        </w:rPr>
                        <w:t>与各定点服务机构进行经费结算（结算经费包括省、市、县三级经费，占100%）。</w:t>
                      </w:r>
                    </w:p>
                    <w:p w14:paraId="05B33176">
                      <w:pPr>
                        <w:keepNext w:val="0"/>
                        <w:keepLines w:val="0"/>
                        <w:pageBreakBefore w:val="0"/>
                        <w:widowControl w:val="0"/>
                        <w:numPr>
                          <w:ilvl w:val="0"/>
                          <w:numId w:val="3"/>
                        </w:numPr>
                        <w:kinsoku/>
                        <w:wordWrap/>
                        <w:overflowPunct/>
                        <w:topLinePunct w:val="0"/>
                        <w:bidi w:val="0"/>
                        <w:adjustRightInd/>
                        <w:snapToGrid/>
                        <w:spacing w:line="400" w:lineRule="exact"/>
                        <w:jc w:val="left"/>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非台开恩地区：（市财政100%承担产前诊断、新生儿遗传代谢性疾病筛查补助经费；各县级财政100%承担产前筛查、新生儿听力筛查、早产儿视网膜筛查补助经费）</w:t>
                      </w:r>
                    </w:p>
                    <w:p w14:paraId="40D09EE1">
                      <w:pPr>
                        <w:keepNext w:val="0"/>
                        <w:keepLines w:val="0"/>
                        <w:pageBreakBefore w:val="0"/>
                        <w:widowControl w:val="0"/>
                        <w:numPr>
                          <w:ilvl w:val="0"/>
                          <w:numId w:val="0"/>
                        </w:numPr>
                        <w:kinsoku/>
                        <w:wordWrap/>
                        <w:overflowPunct/>
                        <w:topLinePunct w:val="0"/>
                        <w:bidi w:val="0"/>
                        <w:adjustRightInd/>
                        <w:snapToGrid/>
                        <w:spacing w:line="400" w:lineRule="exact"/>
                        <w:jc w:val="left"/>
                        <w:textAlignment w:val="auto"/>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①产前诊断：（月度结算模式）</w:t>
                      </w:r>
                      <w:r>
                        <w:rPr>
                          <w:rFonts w:hint="eastAsia" w:ascii="宋体" w:hAnsi="宋体" w:cs="宋体"/>
                          <w:b w:val="0"/>
                          <w:bCs w:val="0"/>
                          <w:color w:val="auto"/>
                          <w:sz w:val="24"/>
                          <w:szCs w:val="24"/>
                          <w:lang w:val="en-US" w:eastAsia="zh-CN"/>
                        </w:rPr>
                        <w:t>2家产前诊断中心根据经费月度汇总表合计例数及结算标准，自行进行经费结算（结算经费为市级经费，占100%，已提前预拨，不足在部分下一年度补足）。</w:t>
                      </w:r>
                    </w:p>
                    <w:p w14:paraId="04DC758C">
                      <w:pPr>
                        <w:keepNext w:val="0"/>
                        <w:keepLines w:val="0"/>
                        <w:pageBreakBefore w:val="0"/>
                        <w:widowControl w:val="0"/>
                        <w:numPr>
                          <w:ilvl w:val="0"/>
                          <w:numId w:val="0"/>
                        </w:numPr>
                        <w:kinsoku/>
                        <w:wordWrap/>
                        <w:overflowPunct/>
                        <w:topLinePunct w:val="0"/>
                        <w:bidi w:val="0"/>
                        <w:adjustRightInd/>
                        <w:snapToGrid/>
                        <w:spacing w:line="400" w:lineRule="exact"/>
                        <w:jc w:val="left"/>
                        <w:textAlignment w:val="auto"/>
                        <w:rPr>
                          <w:rFonts w:hint="eastAsia" w:ascii="宋体" w:hAnsi="宋体" w:cs="宋体"/>
                          <w:b w:val="0"/>
                          <w:bCs w:val="0"/>
                          <w:color w:val="auto"/>
                          <w:sz w:val="24"/>
                          <w:szCs w:val="24"/>
                          <w:lang w:val="en-US" w:eastAsia="zh-CN"/>
                        </w:rPr>
                      </w:pPr>
                      <w:r>
                        <w:rPr>
                          <w:rFonts w:hint="eastAsia" w:ascii="宋体" w:hAnsi="宋体" w:cs="宋体"/>
                          <w:b/>
                          <w:bCs/>
                          <w:color w:val="auto"/>
                          <w:sz w:val="24"/>
                          <w:szCs w:val="24"/>
                          <w:lang w:val="en-US" w:eastAsia="zh-CN"/>
                        </w:rPr>
                        <w:t>②新生儿遗传代谢病疾病筛查：（季度结算模式）</w:t>
                      </w:r>
                      <w:r>
                        <w:rPr>
                          <w:rFonts w:hint="eastAsia" w:ascii="宋体" w:hAnsi="宋体" w:cs="宋体"/>
                          <w:b w:val="0"/>
                          <w:bCs w:val="0"/>
                          <w:color w:val="auto"/>
                          <w:sz w:val="24"/>
                          <w:szCs w:val="24"/>
                          <w:lang w:val="en-US" w:eastAsia="zh-CN"/>
                        </w:rPr>
                        <w:t>由江门市新筛中心依据经费月度汇总表合计例数及结算标准，自行进行经费结算（结算经费为市级经费，占100%，已提前预拨，不足在部分下一年度补足）。</w:t>
                      </w:r>
                    </w:p>
                    <w:p w14:paraId="1982AD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cs="宋体"/>
                          <w:b w:val="0"/>
                          <w:bCs w:val="0"/>
                          <w:color w:val="auto"/>
                          <w:sz w:val="24"/>
                          <w:szCs w:val="24"/>
                          <w:lang w:val="en-US" w:eastAsia="zh-CN"/>
                        </w:rPr>
                      </w:pPr>
                      <w:r>
                        <w:rPr>
                          <w:rFonts w:hint="eastAsia" w:ascii="宋体" w:hAnsi="宋体" w:cs="宋体"/>
                          <w:b/>
                          <w:bCs/>
                          <w:color w:val="auto"/>
                          <w:sz w:val="24"/>
                          <w:szCs w:val="24"/>
                          <w:lang w:val="en-US" w:eastAsia="zh-CN"/>
                        </w:rPr>
                        <w:t>③产前筛查、新生儿听力筛查、早产儿视网膜筛查：（月度结算模式）</w:t>
                      </w:r>
                      <w:r>
                        <w:rPr>
                          <w:rFonts w:hint="eastAsia" w:ascii="宋体" w:hAnsi="宋体" w:cs="宋体"/>
                          <w:b w:val="0"/>
                          <w:bCs w:val="0"/>
                          <w:color w:val="auto"/>
                          <w:sz w:val="24"/>
                          <w:szCs w:val="24"/>
                          <w:lang w:val="en-US" w:eastAsia="zh-CN"/>
                        </w:rPr>
                        <w:t>由各县级出生缺陷综合干预中心根据每月经费汇总表合计例数及结算标准，统筹每月与各定点服务机构进行结算。（结算经费为县级经费，占100%）</w:t>
                      </w:r>
                    </w:p>
                    <w:p w14:paraId="02AF1FD4">
                      <w:pPr>
                        <w:keepNext w:val="0"/>
                        <w:keepLines w:val="0"/>
                        <w:pageBreakBefore w:val="0"/>
                        <w:widowControl w:val="0"/>
                        <w:kinsoku/>
                        <w:wordWrap/>
                        <w:overflowPunct/>
                        <w:topLinePunct w:val="0"/>
                        <w:bidi w:val="0"/>
                        <w:adjustRightInd/>
                        <w:snapToGrid/>
                        <w:spacing w:line="400" w:lineRule="exact"/>
                        <w:jc w:val="left"/>
                        <w:textAlignment w:val="auto"/>
                        <w:rPr>
                          <w:rFonts w:hint="eastAsia" w:ascii="宋体" w:hAnsi="宋体" w:cs="宋体"/>
                          <w:color w:val="auto"/>
                          <w:sz w:val="24"/>
                          <w:szCs w:val="24"/>
                          <w:lang w:eastAsia="zh-CN"/>
                        </w:rPr>
                      </w:pPr>
                      <w:r>
                        <w:rPr>
                          <w:rFonts w:hint="eastAsia" w:ascii="宋体" w:hAnsi="宋体" w:cs="宋体"/>
                          <w:b/>
                          <w:bCs/>
                          <w:color w:val="auto"/>
                          <w:sz w:val="24"/>
                          <w:szCs w:val="24"/>
                          <w:lang w:eastAsia="zh-CN"/>
                        </w:rPr>
                        <w:t>注意：</w:t>
                      </w:r>
                      <w:r>
                        <w:rPr>
                          <w:rFonts w:hint="eastAsia" w:ascii="宋体" w:hAnsi="宋体" w:cs="宋体"/>
                          <w:b w:val="0"/>
                          <w:bCs w:val="0"/>
                          <w:color w:val="auto"/>
                          <w:sz w:val="24"/>
                          <w:szCs w:val="24"/>
                        </w:rPr>
                        <w:t>采血费用由</w:t>
                      </w:r>
                      <w:r>
                        <w:rPr>
                          <w:rFonts w:hint="eastAsia" w:ascii="宋体" w:hAnsi="宋体" w:cs="宋体"/>
                          <w:b w:val="0"/>
                          <w:bCs w:val="0"/>
                          <w:color w:val="auto"/>
                          <w:sz w:val="24"/>
                          <w:szCs w:val="24"/>
                          <w:lang w:eastAsia="zh-CN"/>
                        </w:rPr>
                        <w:t>江门市</w:t>
                      </w:r>
                      <w:r>
                        <w:rPr>
                          <w:rFonts w:hint="eastAsia" w:ascii="宋体" w:hAnsi="宋体" w:cs="宋体"/>
                          <w:b w:val="0"/>
                          <w:bCs w:val="0"/>
                          <w:color w:val="auto"/>
                          <w:sz w:val="24"/>
                          <w:szCs w:val="24"/>
                        </w:rPr>
                        <w:t>新筛中心</w:t>
                      </w:r>
                      <w:r>
                        <w:rPr>
                          <w:rFonts w:hint="eastAsia" w:ascii="宋体" w:hAnsi="宋体" w:cs="宋体"/>
                          <w:b w:val="0"/>
                          <w:bCs w:val="0"/>
                          <w:color w:val="auto"/>
                          <w:sz w:val="24"/>
                          <w:szCs w:val="24"/>
                          <w:lang w:eastAsia="zh-CN"/>
                        </w:rPr>
                        <w:t>于每季度第一个月</w:t>
                      </w:r>
                      <w:r>
                        <w:rPr>
                          <w:rFonts w:hint="eastAsia" w:ascii="宋体" w:hAnsi="宋体" w:cs="宋体"/>
                          <w:b w:val="0"/>
                          <w:bCs w:val="0"/>
                          <w:color w:val="auto"/>
                          <w:sz w:val="24"/>
                          <w:szCs w:val="24"/>
                          <w:lang w:val="en-US" w:eastAsia="zh-CN"/>
                        </w:rPr>
                        <w:t>15日前</w:t>
                      </w:r>
                      <w:r>
                        <w:rPr>
                          <w:rFonts w:hint="eastAsia" w:ascii="宋体" w:hAnsi="宋体" w:cs="宋体"/>
                          <w:b w:val="0"/>
                          <w:bCs w:val="0"/>
                          <w:color w:val="auto"/>
                          <w:sz w:val="24"/>
                          <w:szCs w:val="24"/>
                        </w:rPr>
                        <w:t>根据各</w:t>
                      </w:r>
                      <w:r>
                        <w:rPr>
                          <w:rFonts w:hint="eastAsia" w:ascii="宋体" w:hAnsi="宋体" w:cs="宋体"/>
                          <w:b w:val="0"/>
                          <w:bCs w:val="0"/>
                          <w:color w:val="auto"/>
                          <w:sz w:val="24"/>
                          <w:szCs w:val="24"/>
                          <w:lang w:eastAsia="zh-CN"/>
                        </w:rPr>
                        <w:t>县</w:t>
                      </w:r>
                      <w:r>
                        <w:rPr>
                          <w:rFonts w:hint="eastAsia" w:ascii="宋体" w:hAnsi="宋体" w:cs="宋体"/>
                          <w:b w:val="0"/>
                          <w:bCs w:val="0"/>
                          <w:color w:val="auto"/>
                          <w:sz w:val="24"/>
                          <w:szCs w:val="24"/>
                        </w:rPr>
                        <w:t>（市</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rPr>
                        <w:t>区）、市直医疗单位的筛查例数</w:t>
                      </w:r>
                      <w:r>
                        <w:rPr>
                          <w:rFonts w:hint="eastAsia" w:ascii="宋体" w:hAnsi="宋体" w:cs="宋体"/>
                          <w:b w:val="0"/>
                          <w:bCs w:val="0"/>
                          <w:color w:val="auto"/>
                          <w:sz w:val="24"/>
                          <w:szCs w:val="24"/>
                          <w:lang w:eastAsia="zh-CN"/>
                        </w:rPr>
                        <w:t>及经费结算进度</w:t>
                      </w:r>
                      <w:r>
                        <w:rPr>
                          <w:rFonts w:hint="eastAsia" w:ascii="宋体" w:hAnsi="宋体" w:cs="宋体"/>
                          <w:b w:val="0"/>
                          <w:bCs w:val="0"/>
                          <w:color w:val="auto"/>
                          <w:sz w:val="24"/>
                          <w:szCs w:val="24"/>
                        </w:rPr>
                        <w:t>，按12元/例拨款至各</w:t>
                      </w:r>
                      <w:r>
                        <w:rPr>
                          <w:rFonts w:hint="eastAsia" w:ascii="宋体" w:hAnsi="宋体" w:cs="宋体"/>
                          <w:b w:val="0"/>
                          <w:bCs w:val="0"/>
                          <w:color w:val="auto"/>
                          <w:sz w:val="24"/>
                          <w:szCs w:val="24"/>
                          <w:lang w:eastAsia="zh-CN"/>
                        </w:rPr>
                        <w:t>县</w:t>
                      </w:r>
                      <w:r>
                        <w:rPr>
                          <w:rFonts w:hint="eastAsia" w:ascii="宋体" w:hAnsi="宋体" w:cs="宋体"/>
                          <w:b w:val="0"/>
                          <w:bCs w:val="0"/>
                          <w:color w:val="auto"/>
                          <w:sz w:val="24"/>
                          <w:szCs w:val="24"/>
                        </w:rPr>
                        <w:t>（市</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rPr>
                        <w:t>区）</w:t>
                      </w:r>
                      <w:r>
                        <w:rPr>
                          <w:rFonts w:hint="eastAsia" w:ascii="宋体" w:hAnsi="宋体" w:cs="宋体"/>
                          <w:b w:val="0"/>
                          <w:bCs w:val="0"/>
                          <w:color w:val="auto"/>
                          <w:sz w:val="24"/>
                          <w:szCs w:val="24"/>
                          <w:lang w:eastAsia="zh-CN"/>
                        </w:rPr>
                        <w:t>出生缺陷干预中心</w:t>
                      </w:r>
                      <w:r>
                        <w:rPr>
                          <w:rFonts w:hint="eastAsia" w:ascii="宋体" w:hAnsi="宋体" w:cs="宋体"/>
                          <w:b w:val="0"/>
                          <w:bCs w:val="0"/>
                          <w:color w:val="auto"/>
                          <w:sz w:val="24"/>
                          <w:szCs w:val="24"/>
                        </w:rPr>
                        <w:t>及市直医疗单位，各</w:t>
                      </w:r>
                      <w:r>
                        <w:rPr>
                          <w:rFonts w:hint="eastAsia" w:ascii="宋体" w:hAnsi="宋体" w:cs="宋体"/>
                          <w:b w:val="0"/>
                          <w:bCs w:val="0"/>
                          <w:color w:val="auto"/>
                          <w:sz w:val="24"/>
                          <w:szCs w:val="24"/>
                          <w:lang w:eastAsia="zh-CN"/>
                        </w:rPr>
                        <w:t>县</w:t>
                      </w:r>
                      <w:r>
                        <w:rPr>
                          <w:rFonts w:hint="eastAsia" w:ascii="宋体" w:hAnsi="宋体" w:cs="宋体"/>
                          <w:b w:val="0"/>
                          <w:bCs w:val="0"/>
                          <w:color w:val="auto"/>
                          <w:sz w:val="24"/>
                          <w:szCs w:val="24"/>
                        </w:rPr>
                        <w:t>（市</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rPr>
                        <w:t>区）</w:t>
                      </w:r>
                      <w:r>
                        <w:rPr>
                          <w:rFonts w:hint="eastAsia" w:ascii="宋体" w:hAnsi="宋体" w:cs="宋体"/>
                          <w:b w:val="0"/>
                          <w:bCs w:val="0"/>
                          <w:color w:val="auto"/>
                          <w:sz w:val="24"/>
                          <w:szCs w:val="24"/>
                          <w:lang w:eastAsia="zh-CN"/>
                        </w:rPr>
                        <w:t>出生缺陷干预中心再将采血费返回</w:t>
                      </w:r>
                      <w:r>
                        <w:rPr>
                          <w:rFonts w:hint="eastAsia" w:ascii="宋体" w:hAnsi="宋体" w:cs="宋体"/>
                          <w:color w:val="auto"/>
                          <w:sz w:val="24"/>
                          <w:szCs w:val="24"/>
                        </w:rPr>
                        <w:t>辖区内各</w:t>
                      </w:r>
                      <w:r>
                        <w:rPr>
                          <w:rFonts w:hint="eastAsia" w:ascii="宋体" w:hAnsi="宋体" w:cs="宋体"/>
                          <w:color w:val="auto"/>
                          <w:sz w:val="24"/>
                          <w:szCs w:val="24"/>
                          <w:lang w:eastAsia="zh-CN"/>
                        </w:rPr>
                        <w:t>定点服务机构。</w:t>
                      </w:r>
                    </w:p>
                    <w:p w14:paraId="2B58F2D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lang w:eastAsia="zh-CN"/>
                        </w:rPr>
                      </w:pPr>
                    </w:p>
                  </w:txbxContent>
                </v:textbox>
              </v:roundrect>
            </w:pict>
          </mc:Fallback>
        </mc:AlternateContent>
      </w:r>
    </w:p>
    <w:p w14:paraId="74F02064">
      <w:pPr>
        <w:snapToGrid w:val="0"/>
        <w:spacing w:line="560" w:lineRule="exact"/>
        <w:jc w:val="left"/>
        <w:rPr>
          <w:rFonts w:ascii="Times New Roman" w:hAnsi="Times New Roman" w:eastAsia="黑体"/>
          <w:snapToGrid w:val="0"/>
          <w:kern w:val="0"/>
          <w:sz w:val="32"/>
          <w:szCs w:val="32"/>
        </w:rPr>
      </w:pPr>
    </w:p>
    <w:p w14:paraId="12BEC3AE">
      <w:pPr>
        <w:snapToGrid w:val="0"/>
        <w:spacing w:line="560" w:lineRule="exact"/>
        <w:jc w:val="left"/>
        <w:rPr>
          <w:rFonts w:ascii="Times New Roman" w:hAnsi="Times New Roman" w:eastAsia="黑体"/>
          <w:snapToGrid w:val="0"/>
          <w:kern w:val="0"/>
          <w:sz w:val="32"/>
          <w:szCs w:val="32"/>
        </w:rPr>
      </w:pPr>
    </w:p>
    <w:p w14:paraId="5D3B9573">
      <w:pPr>
        <w:snapToGrid w:val="0"/>
        <w:spacing w:line="560" w:lineRule="exact"/>
        <w:jc w:val="left"/>
        <w:rPr>
          <w:rFonts w:ascii="Times New Roman" w:hAnsi="Times New Roman" w:eastAsia="黑体"/>
          <w:snapToGrid w:val="0"/>
          <w:kern w:val="0"/>
          <w:sz w:val="32"/>
          <w:szCs w:val="32"/>
        </w:rPr>
      </w:pPr>
    </w:p>
    <w:p w14:paraId="38B84C70">
      <w:pPr>
        <w:snapToGrid w:val="0"/>
        <w:spacing w:line="560" w:lineRule="exact"/>
        <w:jc w:val="left"/>
        <w:rPr>
          <w:rFonts w:ascii="Times New Roman" w:hAnsi="Times New Roman" w:eastAsia="黑体"/>
          <w:snapToGrid w:val="0"/>
          <w:kern w:val="0"/>
          <w:sz w:val="32"/>
          <w:szCs w:val="32"/>
        </w:rPr>
      </w:pPr>
    </w:p>
    <w:p w14:paraId="03846F6B">
      <w:pPr>
        <w:snapToGrid w:val="0"/>
        <w:spacing w:line="560" w:lineRule="exact"/>
        <w:jc w:val="left"/>
        <w:rPr>
          <w:rFonts w:ascii="Times New Roman" w:hAnsi="Times New Roman" w:eastAsia="黑体"/>
          <w:snapToGrid w:val="0"/>
          <w:kern w:val="0"/>
          <w:sz w:val="32"/>
          <w:szCs w:val="32"/>
        </w:rPr>
      </w:pPr>
    </w:p>
    <w:p w14:paraId="756E18D3">
      <w:pPr>
        <w:snapToGrid w:val="0"/>
        <w:spacing w:line="560" w:lineRule="exact"/>
        <w:jc w:val="left"/>
        <w:rPr>
          <w:rFonts w:ascii="Times New Roman" w:hAnsi="Times New Roman" w:eastAsia="黑体"/>
          <w:snapToGrid w:val="0"/>
          <w:kern w:val="0"/>
          <w:sz w:val="32"/>
          <w:szCs w:val="32"/>
        </w:rPr>
      </w:pPr>
    </w:p>
    <w:p w14:paraId="436C1032">
      <w:pPr>
        <w:snapToGrid w:val="0"/>
        <w:spacing w:line="560" w:lineRule="exact"/>
        <w:jc w:val="left"/>
        <w:rPr>
          <w:rFonts w:ascii="Times New Roman" w:hAnsi="Times New Roman" w:eastAsia="黑体"/>
          <w:snapToGrid w:val="0"/>
          <w:kern w:val="0"/>
          <w:sz w:val="32"/>
          <w:szCs w:val="32"/>
        </w:rPr>
      </w:pPr>
    </w:p>
    <w:p w14:paraId="6CC0DD45">
      <w:pPr>
        <w:snapToGrid w:val="0"/>
        <w:spacing w:line="560" w:lineRule="exact"/>
        <w:jc w:val="left"/>
        <w:rPr>
          <w:rFonts w:ascii="Times New Roman" w:hAnsi="Times New Roman" w:eastAsia="黑体"/>
          <w:snapToGrid w:val="0"/>
          <w:kern w:val="0"/>
          <w:sz w:val="32"/>
          <w:szCs w:val="32"/>
        </w:rPr>
      </w:pPr>
    </w:p>
    <w:p w14:paraId="26E826EC">
      <w:pPr>
        <w:snapToGrid w:val="0"/>
        <w:spacing w:line="560" w:lineRule="exact"/>
        <w:jc w:val="left"/>
        <w:rPr>
          <w:rFonts w:ascii="Times New Roman" w:hAnsi="Times New Roman" w:eastAsia="黑体"/>
          <w:snapToGrid w:val="0"/>
          <w:kern w:val="0"/>
          <w:sz w:val="32"/>
          <w:szCs w:val="32"/>
        </w:rPr>
      </w:pPr>
    </w:p>
    <w:p w14:paraId="17B732DD">
      <w:pPr>
        <w:snapToGrid w:val="0"/>
        <w:spacing w:line="560" w:lineRule="exact"/>
        <w:jc w:val="left"/>
        <w:rPr>
          <w:rFonts w:ascii="Times New Roman" w:hAnsi="Times New Roman" w:eastAsia="黑体"/>
          <w:snapToGrid w:val="0"/>
          <w:kern w:val="0"/>
          <w:sz w:val="32"/>
          <w:szCs w:val="32"/>
        </w:rPr>
      </w:pPr>
    </w:p>
    <w:p w14:paraId="5AE77505">
      <w:pPr>
        <w:snapToGrid w:val="0"/>
        <w:spacing w:line="560" w:lineRule="exact"/>
        <w:jc w:val="left"/>
        <w:rPr>
          <w:rFonts w:ascii="Times New Roman" w:hAnsi="Times New Roman" w:eastAsia="黑体"/>
          <w:snapToGrid w:val="0"/>
          <w:kern w:val="0"/>
          <w:sz w:val="32"/>
          <w:szCs w:val="32"/>
        </w:rPr>
      </w:pPr>
    </w:p>
    <w:p w14:paraId="75C3CDFC">
      <w:pPr>
        <w:snapToGrid w:val="0"/>
        <w:spacing w:line="560" w:lineRule="exact"/>
        <w:jc w:val="left"/>
        <w:rPr>
          <w:rFonts w:ascii="Times New Roman" w:hAnsi="Times New Roman" w:eastAsia="黑体"/>
          <w:snapToGrid w:val="0"/>
          <w:kern w:val="0"/>
          <w:sz w:val="32"/>
          <w:szCs w:val="32"/>
        </w:rPr>
      </w:pPr>
    </w:p>
    <w:p w14:paraId="749B21CA">
      <w:pPr>
        <w:snapToGrid w:val="0"/>
        <w:spacing w:line="560" w:lineRule="exact"/>
        <w:jc w:val="left"/>
        <w:rPr>
          <w:rFonts w:ascii="Times New Roman" w:hAnsi="Times New Roman" w:eastAsia="黑体"/>
          <w:snapToGrid w:val="0"/>
          <w:kern w:val="0"/>
          <w:sz w:val="32"/>
          <w:szCs w:val="32"/>
        </w:rPr>
      </w:pPr>
    </w:p>
    <w:p w14:paraId="54BB071A">
      <w:pPr>
        <w:snapToGrid w:val="0"/>
        <w:spacing w:line="560" w:lineRule="exact"/>
        <w:jc w:val="left"/>
        <w:rPr>
          <w:rFonts w:ascii="Times New Roman" w:hAnsi="Times New Roman" w:eastAsia="黑体"/>
          <w:snapToGrid w:val="0"/>
          <w:kern w:val="0"/>
          <w:sz w:val="32"/>
          <w:szCs w:val="32"/>
        </w:rPr>
      </w:pPr>
    </w:p>
    <w:p w14:paraId="29C981C6">
      <w:pPr>
        <w:snapToGrid w:val="0"/>
        <w:spacing w:line="560" w:lineRule="exact"/>
        <w:jc w:val="left"/>
        <w:rPr>
          <w:rFonts w:ascii="Times New Roman" w:hAnsi="Times New Roman" w:eastAsia="黑体"/>
          <w:snapToGrid w:val="0"/>
          <w:kern w:val="0"/>
          <w:sz w:val="32"/>
          <w:szCs w:val="32"/>
        </w:rPr>
      </w:pPr>
    </w:p>
    <w:p w14:paraId="25CD800C">
      <w:pPr>
        <w:bidi w:val="0"/>
        <w:jc w:val="left"/>
        <w:rPr>
          <w:rFonts w:hint="default" w:ascii="Calibri" w:hAnsi="Calibri" w:eastAsia="宋体" w:cs="Times New Roman"/>
          <w:kern w:val="2"/>
          <w:sz w:val="21"/>
          <w:lang w:val="en-US" w:eastAsia="zh-CN" w:bidi="ar-SA"/>
        </w:rPr>
      </w:pPr>
    </w:p>
    <w:p w14:paraId="43EF91DB">
      <w:pPr>
        <w:keepNext w:val="0"/>
        <w:keepLines w:val="0"/>
        <w:pageBreakBefore w:val="0"/>
        <w:kinsoku/>
        <w:wordWrap/>
        <w:overflowPunct/>
        <w:topLinePunct w:val="0"/>
        <w:autoSpaceDE/>
        <w:autoSpaceDN/>
        <w:bidi w:val="0"/>
        <w:spacing w:line="600" w:lineRule="exact"/>
        <w:textAlignment w:val="auto"/>
        <w:rPr>
          <w:rFonts w:hint="eastAsia" w:ascii="方正仿宋简体" w:hAnsi="方正仿宋简体" w:eastAsia="方正仿宋简体" w:cs="方正仿宋简体"/>
          <w:snapToGrid w:val="0"/>
          <w:color w:val="auto"/>
          <w:kern w:val="0"/>
          <w:sz w:val="16"/>
          <w:szCs w:val="16"/>
          <w:highlight w:val="cyan"/>
          <w:lang w:eastAsia="zh-CN"/>
        </w:rPr>
      </w:pPr>
    </w:p>
    <w:p w14:paraId="0BE28DBE">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方正仿宋简体" w:hAnsi="方正仿宋简体" w:eastAsia="方正仿宋简体" w:cs="方正仿宋简体"/>
          <w:snapToGrid w:val="0"/>
          <w:color w:val="auto"/>
          <w:kern w:val="0"/>
          <w:sz w:val="28"/>
          <w:szCs w:val="28"/>
          <w:highlight w:val="cyan"/>
          <w:lang w:eastAsia="zh-CN"/>
        </w:rPr>
      </w:pPr>
    </w:p>
    <w:p w14:paraId="3175BC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简体" w:hAnsi="方正仿宋简体" w:eastAsia="方正仿宋简体" w:cs="方正仿宋简体"/>
          <w:snapToGrid w:val="0"/>
          <w:color w:val="auto"/>
          <w:kern w:val="0"/>
          <w:sz w:val="28"/>
          <w:szCs w:val="28"/>
          <w:highlight w:val="none"/>
          <w:lang w:eastAsia="zh-CN"/>
        </w:rPr>
      </w:pPr>
    </w:p>
    <w:p w14:paraId="3659C68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简体" w:hAnsi="方正仿宋简体" w:eastAsia="方正仿宋简体" w:cs="方正仿宋简体"/>
          <w:snapToGrid w:val="0"/>
          <w:color w:val="auto"/>
          <w:kern w:val="0"/>
          <w:sz w:val="28"/>
          <w:szCs w:val="28"/>
          <w:highlight w:val="none"/>
          <w:lang w:eastAsia="zh-CN"/>
        </w:rPr>
      </w:pPr>
    </w:p>
    <w:p w14:paraId="1B6321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napToGrid w:val="0"/>
          <w:color w:val="auto"/>
          <w:kern w:val="0"/>
          <w:sz w:val="32"/>
          <w:szCs w:val="32"/>
          <w:highlight w:val="none"/>
          <w:lang w:val="en-US" w:eastAsia="zh-CN"/>
        </w:rPr>
      </w:pPr>
      <w:r>
        <w:rPr>
          <w:rFonts w:hint="eastAsia" w:ascii="方正仿宋简体" w:hAnsi="方正仿宋简体" w:eastAsia="方正仿宋简体" w:cs="方正仿宋简体"/>
          <w:snapToGrid w:val="0"/>
          <w:color w:val="auto"/>
          <w:kern w:val="0"/>
          <w:sz w:val="32"/>
          <w:szCs w:val="32"/>
          <w:highlight w:val="none"/>
          <w:lang w:eastAsia="zh-CN"/>
        </w:rPr>
        <w:t>本周期月度经费报表与</w:t>
      </w:r>
      <w:r>
        <w:rPr>
          <w:rFonts w:hint="eastAsia" w:ascii="方正仿宋简体" w:hAnsi="方正仿宋简体" w:eastAsia="方正仿宋简体" w:cs="方正仿宋简体"/>
          <w:snapToGrid w:val="0"/>
          <w:color w:val="auto"/>
          <w:kern w:val="0"/>
          <w:sz w:val="32"/>
          <w:szCs w:val="32"/>
          <w:highlight w:val="none"/>
          <w:lang w:val="en-US" w:eastAsia="zh-CN"/>
        </w:rPr>
        <w:t>2021-2023周期一致，市直医疗机构依据孕产妇/丈夫常住地将完成例数归属至各县（市、区），并填报在《江门市市直医疗单位出生缺陷防控及地贫防控项目经费使用情况月报表》；各县（市、区）定点服务机构则依据机构提供服务例数情况，填写《江门市出生缺陷防控及地贫防控项目经费使用情况月报表》。</w:t>
      </w:r>
    </w:p>
    <w:p w14:paraId="1175E51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简体" w:hAnsi="方正仿宋简体" w:eastAsia="方正仿宋简体" w:cs="方正仿宋简体"/>
          <w:snapToGrid w:val="0"/>
          <w:color w:val="auto"/>
          <w:kern w:val="0"/>
          <w:sz w:val="28"/>
          <w:szCs w:val="28"/>
          <w:highlight w:val="none"/>
          <w:lang w:val="en-US" w:eastAsia="zh-CN"/>
        </w:rPr>
      </w:pPr>
    </w:p>
    <w:p w14:paraId="1FF4661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简体" w:hAnsi="方正仿宋简体" w:eastAsia="方正仿宋简体" w:cs="方正仿宋简体"/>
          <w:snapToGrid w:val="0"/>
          <w:color w:val="auto"/>
          <w:kern w:val="0"/>
          <w:sz w:val="28"/>
          <w:szCs w:val="28"/>
          <w:highlight w:val="none"/>
          <w:lang w:val="en-US" w:eastAsia="zh-CN"/>
        </w:rPr>
      </w:pPr>
    </w:p>
    <w:p w14:paraId="213B897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简体" w:hAnsi="方正仿宋简体" w:eastAsia="方正仿宋简体" w:cs="方正仿宋简体"/>
          <w:snapToGrid w:val="0"/>
          <w:color w:val="auto"/>
          <w:kern w:val="0"/>
          <w:sz w:val="28"/>
          <w:szCs w:val="28"/>
          <w:highlight w:val="none"/>
          <w:lang w:val="en-US" w:eastAsia="zh-CN"/>
        </w:rPr>
      </w:pPr>
    </w:p>
    <w:p w14:paraId="1339CCC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简体" w:hAnsi="方正仿宋简体" w:eastAsia="方正仿宋简体" w:cs="方正仿宋简体"/>
          <w:snapToGrid w:val="0"/>
          <w:color w:val="auto"/>
          <w:kern w:val="0"/>
          <w:sz w:val="28"/>
          <w:szCs w:val="28"/>
          <w:highlight w:val="none"/>
          <w:lang w:val="en-US" w:eastAsia="zh-CN"/>
        </w:rPr>
      </w:pPr>
    </w:p>
    <w:p w14:paraId="262CCB6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简体" w:hAnsi="方正仿宋简体" w:eastAsia="方正仿宋简体" w:cs="方正仿宋简体"/>
          <w:snapToGrid w:val="0"/>
          <w:color w:val="auto"/>
          <w:kern w:val="0"/>
          <w:sz w:val="28"/>
          <w:szCs w:val="28"/>
          <w:highlight w:val="none"/>
          <w:lang w:val="en-US" w:eastAsia="zh-CN"/>
        </w:rPr>
      </w:pPr>
    </w:p>
    <w:p w14:paraId="164742AC">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简体" w:hAnsi="方正仿宋简体" w:eastAsia="方正仿宋简体" w:cs="方正仿宋简体"/>
          <w:snapToGrid w:val="0"/>
          <w:color w:val="auto"/>
          <w:kern w:val="0"/>
          <w:sz w:val="28"/>
          <w:szCs w:val="28"/>
          <w:highlight w:val="none"/>
          <w:lang w:val="en-US" w:eastAsia="zh-CN"/>
        </w:rPr>
      </w:pPr>
    </w:p>
    <w:p w14:paraId="48A83DD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简体" w:hAnsi="方正仿宋简体" w:eastAsia="方正仿宋简体" w:cs="方正仿宋简体"/>
          <w:snapToGrid w:val="0"/>
          <w:color w:val="auto"/>
          <w:kern w:val="0"/>
          <w:sz w:val="28"/>
          <w:szCs w:val="28"/>
          <w:highlight w:val="none"/>
          <w:lang w:val="en-US" w:eastAsia="zh-CN"/>
        </w:rPr>
      </w:pPr>
    </w:p>
    <w:p w14:paraId="7805B2E4">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简体" w:hAnsi="方正仿宋简体" w:eastAsia="方正仿宋简体" w:cs="方正仿宋简体"/>
          <w:snapToGrid w:val="0"/>
          <w:color w:val="auto"/>
          <w:kern w:val="0"/>
          <w:sz w:val="28"/>
          <w:szCs w:val="28"/>
          <w:highlight w:val="none"/>
          <w:lang w:val="en-US" w:eastAsia="zh-CN"/>
        </w:rPr>
      </w:pPr>
    </w:p>
    <w:p w14:paraId="65B24D8F">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简体" w:hAnsi="方正仿宋简体" w:eastAsia="方正仿宋简体" w:cs="方正仿宋简体"/>
          <w:snapToGrid w:val="0"/>
          <w:color w:val="auto"/>
          <w:kern w:val="0"/>
          <w:sz w:val="28"/>
          <w:szCs w:val="28"/>
          <w:highlight w:val="none"/>
          <w:lang w:val="en-US" w:eastAsia="zh-CN"/>
        </w:rPr>
      </w:pPr>
    </w:p>
    <w:p w14:paraId="70FEC74F">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简体" w:hAnsi="方正仿宋简体" w:eastAsia="方正仿宋简体" w:cs="方正仿宋简体"/>
          <w:snapToGrid w:val="0"/>
          <w:color w:val="auto"/>
          <w:kern w:val="0"/>
          <w:sz w:val="28"/>
          <w:szCs w:val="28"/>
          <w:highlight w:val="none"/>
          <w:lang w:val="en-US" w:eastAsia="zh-CN"/>
        </w:rPr>
      </w:pPr>
    </w:p>
    <w:p w14:paraId="3F18FD9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简体" w:hAnsi="方正仿宋简体" w:eastAsia="方正仿宋简体" w:cs="方正仿宋简体"/>
          <w:snapToGrid w:val="0"/>
          <w:color w:val="auto"/>
          <w:kern w:val="0"/>
          <w:sz w:val="28"/>
          <w:szCs w:val="28"/>
          <w:highlight w:val="none"/>
          <w:lang w:val="en-US" w:eastAsia="zh-CN"/>
        </w:rPr>
      </w:pPr>
    </w:p>
    <w:p w14:paraId="2FB1C01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简体" w:hAnsi="方正仿宋简体" w:eastAsia="方正仿宋简体" w:cs="方正仿宋简体"/>
          <w:snapToGrid w:val="0"/>
          <w:color w:val="auto"/>
          <w:kern w:val="0"/>
          <w:sz w:val="28"/>
          <w:szCs w:val="28"/>
          <w:highlight w:val="none"/>
          <w:lang w:val="en-US" w:eastAsia="zh-CN"/>
        </w:rPr>
      </w:pPr>
    </w:p>
    <w:p w14:paraId="2C43A41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简体" w:hAnsi="方正仿宋简体" w:eastAsia="方正仿宋简体" w:cs="方正仿宋简体"/>
          <w:snapToGrid w:val="0"/>
          <w:color w:val="auto"/>
          <w:kern w:val="0"/>
          <w:sz w:val="28"/>
          <w:szCs w:val="28"/>
          <w:highlight w:val="none"/>
          <w:lang w:val="en-US" w:eastAsia="zh-CN"/>
        </w:rPr>
      </w:pPr>
    </w:p>
    <w:p w14:paraId="2D78AA2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简体" w:hAnsi="方正仿宋简体" w:eastAsia="方正仿宋简体" w:cs="方正仿宋简体"/>
          <w:snapToGrid w:val="0"/>
          <w:color w:val="auto"/>
          <w:kern w:val="0"/>
          <w:sz w:val="28"/>
          <w:szCs w:val="28"/>
          <w:highlight w:val="none"/>
          <w:lang w:val="en-US" w:eastAsia="zh-CN"/>
        </w:rPr>
      </w:pPr>
    </w:p>
    <w:p w14:paraId="7B2E0FB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简体" w:hAnsi="方正仿宋简体" w:eastAsia="方正仿宋简体" w:cs="方正仿宋简体"/>
          <w:snapToGrid w:val="0"/>
          <w:color w:val="auto"/>
          <w:kern w:val="0"/>
          <w:sz w:val="28"/>
          <w:szCs w:val="28"/>
          <w:highlight w:val="none"/>
          <w:lang w:val="en-US" w:eastAsia="zh-CN"/>
        </w:rPr>
      </w:pPr>
    </w:p>
    <w:p w14:paraId="4BEB731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简体" w:hAnsi="方正仿宋简体" w:eastAsia="方正仿宋简体" w:cs="方正仿宋简体"/>
          <w:snapToGrid w:val="0"/>
          <w:color w:val="auto"/>
          <w:kern w:val="0"/>
          <w:sz w:val="28"/>
          <w:szCs w:val="28"/>
          <w:highlight w:val="none"/>
          <w:lang w:val="en-US" w:eastAsia="zh-CN"/>
        </w:rPr>
      </w:pPr>
    </w:p>
    <w:p w14:paraId="532AE9D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简体" w:hAnsi="方正仿宋简体" w:eastAsia="方正仿宋简体" w:cs="方正仿宋简体"/>
          <w:snapToGrid w:val="0"/>
          <w:color w:val="auto"/>
          <w:kern w:val="0"/>
          <w:sz w:val="28"/>
          <w:szCs w:val="28"/>
          <w:highlight w:val="none"/>
          <w:lang w:val="en-US" w:eastAsia="zh-CN"/>
        </w:rPr>
      </w:pPr>
    </w:p>
    <w:p w14:paraId="21B498C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简体" w:hAnsi="方正仿宋简体" w:eastAsia="方正仿宋简体" w:cs="方正仿宋简体"/>
          <w:snapToGrid w:val="0"/>
          <w:color w:val="auto"/>
          <w:kern w:val="0"/>
          <w:sz w:val="28"/>
          <w:szCs w:val="28"/>
          <w:highlight w:val="none"/>
          <w:lang w:val="en-US" w:eastAsia="zh-CN"/>
        </w:rPr>
      </w:pPr>
    </w:p>
    <w:p w14:paraId="670FD10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简体" w:hAnsi="方正仿宋简体" w:eastAsia="方正仿宋简体" w:cs="方正仿宋简体"/>
          <w:snapToGrid w:val="0"/>
          <w:color w:val="auto"/>
          <w:kern w:val="0"/>
          <w:sz w:val="28"/>
          <w:szCs w:val="28"/>
          <w:highlight w:val="none"/>
          <w:lang w:val="en-US" w:eastAsia="zh-CN"/>
        </w:rPr>
      </w:pPr>
    </w:p>
    <w:p w14:paraId="7B8A359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简体" w:hAnsi="方正仿宋简体" w:eastAsia="方正仿宋简体" w:cs="方正仿宋简体"/>
          <w:snapToGrid w:val="0"/>
          <w:color w:val="auto"/>
          <w:kern w:val="0"/>
          <w:sz w:val="28"/>
          <w:szCs w:val="28"/>
          <w:highlight w:val="none"/>
          <w:lang w:val="en-US" w:eastAsia="zh-CN"/>
        </w:rPr>
      </w:pPr>
    </w:p>
    <w:p w14:paraId="5B31C81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简体" w:hAnsi="方正仿宋简体" w:eastAsia="方正仿宋简体" w:cs="方正仿宋简体"/>
          <w:snapToGrid w:val="0"/>
          <w:color w:val="auto"/>
          <w:kern w:val="0"/>
          <w:sz w:val="28"/>
          <w:szCs w:val="28"/>
          <w:highlight w:val="none"/>
          <w:lang w:val="en-US" w:eastAsia="zh-CN"/>
        </w:rPr>
      </w:pPr>
    </w:p>
    <w:p w14:paraId="340889B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简体" w:hAnsi="方正仿宋简体" w:eastAsia="方正仿宋简体" w:cs="方正仿宋简体"/>
          <w:snapToGrid w:val="0"/>
          <w:color w:val="auto"/>
          <w:kern w:val="0"/>
          <w:sz w:val="28"/>
          <w:szCs w:val="28"/>
          <w:highlight w:val="none"/>
          <w:lang w:val="en-US" w:eastAsia="zh-CN"/>
        </w:rPr>
      </w:pPr>
    </w:p>
    <w:p w14:paraId="560FFF3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简体" w:hAnsi="方正仿宋简体" w:eastAsia="方正仿宋简体" w:cs="方正仿宋简体"/>
          <w:snapToGrid w:val="0"/>
          <w:color w:val="auto"/>
          <w:kern w:val="0"/>
          <w:sz w:val="28"/>
          <w:szCs w:val="28"/>
          <w:highlight w:val="none"/>
          <w:lang w:val="en-US" w:eastAsia="zh-CN"/>
        </w:rPr>
      </w:pPr>
    </w:p>
    <w:p w14:paraId="670B05AF">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简体" w:hAnsi="方正仿宋简体" w:eastAsia="方正仿宋简体" w:cs="方正仿宋简体"/>
          <w:snapToGrid w:val="0"/>
          <w:color w:val="auto"/>
          <w:kern w:val="0"/>
          <w:sz w:val="28"/>
          <w:szCs w:val="28"/>
          <w:highlight w:val="none"/>
          <w:lang w:val="en-US" w:eastAsia="zh-CN"/>
        </w:rPr>
      </w:pPr>
    </w:p>
    <w:p w14:paraId="16FC465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简体" w:hAnsi="方正仿宋简体" w:eastAsia="方正仿宋简体" w:cs="方正仿宋简体"/>
          <w:snapToGrid w:val="0"/>
          <w:color w:val="auto"/>
          <w:kern w:val="0"/>
          <w:sz w:val="28"/>
          <w:szCs w:val="28"/>
          <w:highlight w:val="none"/>
          <w:lang w:val="en-US" w:eastAsia="zh-CN"/>
        </w:rPr>
      </w:pPr>
    </w:p>
    <w:p w14:paraId="35B4164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简体" w:hAnsi="方正仿宋简体" w:eastAsia="方正仿宋简体" w:cs="方正仿宋简体"/>
          <w:snapToGrid w:val="0"/>
          <w:color w:val="auto"/>
          <w:kern w:val="0"/>
          <w:sz w:val="28"/>
          <w:szCs w:val="28"/>
          <w:highlight w:val="none"/>
          <w:lang w:val="en-US" w:eastAsia="zh-CN"/>
        </w:rPr>
      </w:pPr>
    </w:p>
    <w:p w14:paraId="0DF9F8A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简体" w:hAnsi="方正仿宋简体" w:eastAsia="方正仿宋简体" w:cs="方正仿宋简体"/>
          <w:snapToGrid w:val="0"/>
          <w:color w:val="auto"/>
          <w:kern w:val="0"/>
          <w:sz w:val="28"/>
          <w:szCs w:val="28"/>
          <w:highlight w:val="none"/>
          <w:lang w:val="en-US" w:eastAsia="zh-CN"/>
        </w:rPr>
      </w:pPr>
    </w:p>
    <w:p w14:paraId="5DA151D3">
      <w:pPr>
        <w:keepNext w:val="0"/>
        <w:keepLines w:val="0"/>
        <w:pageBreakBefore w:val="0"/>
        <w:widowControl w:val="0"/>
        <w:kinsoku/>
        <w:wordWrap/>
        <w:overflowPunct/>
        <w:topLinePunct w:val="0"/>
        <w:autoSpaceDE/>
        <w:autoSpaceDN/>
        <w:bidi w:val="0"/>
        <w:adjustRightInd/>
        <w:snapToGrid/>
        <w:spacing w:before="157" w:beforeLines="50" w:after="157" w:afterLines="50" w:line="576" w:lineRule="exact"/>
        <w:jc w:val="left"/>
        <w:textAlignment w:val="auto"/>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rPr>
        <w:t>附件</w:t>
      </w:r>
      <w:r>
        <w:rPr>
          <w:rFonts w:hint="eastAsia" w:ascii="黑体" w:hAnsi="黑体" w:eastAsia="黑体" w:cs="黑体"/>
          <w:snapToGrid w:val="0"/>
          <w:kern w:val="0"/>
          <w:sz w:val="32"/>
          <w:szCs w:val="32"/>
          <w:lang w:val="en-US" w:eastAsia="zh-CN"/>
        </w:rPr>
        <w:t>3</w:t>
      </w:r>
    </w:p>
    <w:p w14:paraId="0DA4C5E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简体" w:hAnsi="方正仿宋简体" w:eastAsia="方正仿宋简体" w:cs="方正仿宋简体"/>
          <w:snapToGrid w:val="0"/>
          <w:color w:val="auto"/>
          <w:kern w:val="0"/>
          <w:sz w:val="28"/>
          <w:szCs w:val="28"/>
          <w:highlight w:val="none"/>
          <w:lang w:val="en-US" w:eastAsia="zh-CN"/>
        </w:rPr>
      </w:pPr>
    </w:p>
    <w:p w14:paraId="0F9A65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napToGrid w:val="0"/>
          <w:color w:val="auto"/>
          <w:kern w:val="0"/>
          <w:sz w:val="36"/>
          <w:szCs w:val="36"/>
          <w:highlight w:val="none"/>
          <w:lang w:val="en-US" w:eastAsia="zh-CN"/>
        </w:rPr>
      </w:pPr>
      <w:r>
        <w:rPr>
          <w:rFonts w:hint="eastAsia" w:ascii="方正小标宋简体" w:hAnsi="方正小标宋简体" w:eastAsia="方正小标宋简体" w:cs="方正小标宋简体"/>
          <w:snapToGrid w:val="0"/>
          <w:color w:val="auto"/>
          <w:kern w:val="0"/>
          <w:sz w:val="36"/>
          <w:szCs w:val="36"/>
          <w:highlight w:val="none"/>
          <w:lang w:val="en-US" w:eastAsia="zh-CN"/>
        </w:rPr>
        <w:t>江门市出生缺陷综合防控项目需方经费</w:t>
      </w:r>
    </w:p>
    <w:p w14:paraId="6243F2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napToGrid w:val="0"/>
          <w:color w:val="auto"/>
          <w:kern w:val="0"/>
          <w:sz w:val="36"/>
          <w:szCs w:val="36"/>
          <w:highlight w:val="none"/>
          <w:lang w:val="en-US" w:eastAsia="zh-CN"/>
        </w:rPr>
      </w:pPr>
      <w:r>
        <w:rPr>
          <w:rFonts w:hint="eastAsia" w:ascii="方正小标宋简体" w:hAnsi="方正小标宋简体" w:eastAsia="方正小标宋简体" w:cs="方正小标宋简体"/>
          <w:snapToGrid w:val="0"/>
          <w:color w:val="auto"/>
          <w:kern w:val="0"/>
          <w:sz w:val="36"/>
          <w:szCs w:val="36"/>
          <w:highlight w:val="none"/>
          <w:lang w:val="en-US" w:eastAsia="zh-CN"/>
        </w:rPr>
        <w:t>各级财政承担比例</w:t>
      </w:r>
    </w:p>
    <w:p w14:paraId="0A4EBB8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简体" w:hAnsi="方正仿宋简体" w:eastAsia="方正仿宋简体" w:cs="方正仿宋简体"/>
          <w:snapToGrid w:val="0"/>
          <w:color w:val="auto"/>
          <w:kern w:val="0"/>
          <w:sz w:val="28"/>
          <w:szCs w:val="28"/>
          <w:highlight w:val="none"/>
          <w:lang w:val="en-US" w:eastAsia="zh-CN"/>
        </w:rPr>
      </w:pPr>
    </w:p>
    <w:tbl>
      <w:tblPr>
        <w:tblStyle w:val="5"/>
        <w:tblW w:w="94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0"/>
        <w:gridCol w:w="1350"/>
        <w:gridCol w:w="4265"/>
        <w:gridCol w:w="883"/>
        <w:gridCol w:w="900"/>
        <w:gridCol w:w="945"/>
      </w:tblGrid>
      <w:tr w14:paraId="713DE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7F3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地区</w:t>
            </w:r>
          </w:p>
        </w:tc>
        <w:tc>
          <w:tcPr>
            <w:tcW w:w="5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497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补助项目</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0EB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省级</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00BA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市级</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62D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县级</w:t>
            </w:r>
          </w:p>
        </w:tc>
      </w:tr>
      <w:tr w14:paraId="2A7ED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A0E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蓬江区 江海区 新会区 鹤山市</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ABC6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产前筛查</w:t>
            </w:r>
          </w:p>
        </w:tc>
        <w:tc>
          <w:tcPr>
            <w:tcW w:w="4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35CF">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地中海贫血</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DB9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A3D0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B06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r>
      <w:tr w14:paraId="0BD18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8C375">
            <w:pPr>
              <w:jc w:val="center"/>
              <w:rPr>
                <w:rFonts w:hint="eastAsia" w:ascii="宋体" w:hAnsi="宋体" w:eastAsia="宋体" w:cs="宋体"/>
                <w:i w:val="0"/>
                <w:iCs w:val="0"/>
                <w:color w:val="000000"/>
                <w:sz w:val="28"/>
                <w:szCs w:val="2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2A08D">
            <w:pPr>
              <w:jc w:val="center"/>
              <w:rPr>
                <w:rFonts w:hint="eastAsia" w:ascii="宋体" w:hAnsi="宋体" w:eastAsia="宋体" w:cs="宋体"/>
                <w:i w:val="0"/>
                <w:iCs w:val="0"/>
                <w:color w:val="000000"/>
                <w:sz w:val="28"/>
                <w:szCs w:val="28"/>
                <w:u w:val="none"/>
              </w:rPr>
            </w:pPr>
          </w:p>
        </w:tc>
        <w:tc>
          <w:tcPr>
            <w:tcW w:w="4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AC5BD">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唐氏综合征及其他染色体异常</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1A5B">
            <w:pPr>
              <w:jc w:val="center"/>
              <w:rPr>
                <w:rFonts w:hint="eastAsia" w:ascii="宋体" w:hAnsi="宋体" w:eastAsia="宋体" w:cs="宋体"/>
                <w:i w:val="0"/>
                <w:iCs w:val="0"/>
                <w:color w:val="000000"/>
                <w:sz w:val="28"/>
                <w:szCs w:val="2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17352">
            <w:pPr>
              <w:jc w:val="center"/>
              <w:rPr>
                <w:rFonts w:hint="eastAsia" w:ascii="宋体" w:hAnsi="宋体" w:eastAsia="宋体" w:cs="宋体"/>
                <w:i w:val="0"/>
                <w:iCs w:val="0"/>
                <w:color w:val="000000"/>
                <w:sz w:val="28"/>
                <w:szCs w:val="2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5537">
            <w:pPr>
              <w:jc w:val="center"/>
              <w:rPr>
                <w:rFonts w:hint="eastAsia" w:ascii="宋体" w:hAnsi="宋体" w:eastAsia="宋体" w:cs="宋体"/>
                <w:i w:val="0"/>
                <w:iCs w:val="0"/>
                <w:color w:val="000000"/>
                <w:sz w:val="28"/>
                <w:szCs w:val="28"/>
                <w:u w:val="none"/>
              </w:rPr>
            </w:pPr>
          </w:p>
        </w:tc>
      </w:tr>
      <w:tr w14:paraId="3C305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FF1B3">
            <w:pPr>
              <w:jc w:val="center"/>
              <w:rPr>
                <w:rFonts w:hint="eastAsia" w:ascii="宋体" w:hAnsi="宋体" w:eastAsia="宋体" w:cs="宋体"/>
                <w:i w:val="0"/>
                <w:iCs w:val="0"/>
                <w:color w:val="000000"/>
                <w:sz w:val="28"/>
                <w:szCs w:val="2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D7438">
            <w:pPr>
              <w:jc w:val="center"/>
              <w:rPr>
                <w:rFonts w:hint="eastAsia" w:ascii="宋体" w:hAnsi="宋体" w:eastAsia="宋体" w:cs="宋体"/>
                <w:i w:val="0"/>
                <w:iCs w:val="0"/>
                <w:color w:val="000000"/>
                <w:sz w:val="28"/>
                <w:szCs w:val="28"/>
                <w:u w:val="none"/>
              </w:rPr>
            </w:pPr>
          </w:p>
        </w:tc>
        <w:tc>
          <w:tcPr>
            <w:tcW w:w="4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CA692">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严重致死致残性结构畸形</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BE33">
            <w:pPr>
              <w:jc w:val="center"/>
              <w:rPr>
                <w:rFonts w:hint="eastAsia" w:ascii="宋体" w:hAnsi="宋体" w:eastAsia="宋体" w:cs="宋体"/>
                <w:i w:val="0"/>
                <w:iCs w:val="0"/>
                <w:color w:val="000000"/>
                <w:sz w:val="28"/>
                <w:szCs w:val="2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FE21">
            <w:pPr>
              <w:jc w:val="center"/>
              <w:rPr>
                <w:rFonts w:hint="eastAsia" w:ascii="宋体" w:hAnsi="宋体" w:eastAsia="宋体" w:cs="宋体"/>
                <w:i w:val="0"/>
                <w:iCs w:val="0"/>
                <w:color w:val="000000"/>
                <w:sz w:val="28"/>
                <w:szCs w:val="2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717D">
            <w:pPr>
              <w:jc w:val="center"/>
              <w:rPr>
                <w:rFonts w:hint="eastAsia" w:ascii="宋体" w:hAnsi="宋体" w:eastAsia="宋体" w:cs="宋体"/>
                <w:i w:val="0"/>
                <w:iCs w:val="0"/>
                <w:color w:val="000000"/>
                <w:sz w:val="28"/>
                <w:szCs w:val="28"/>
                <w:u w:val="none"/>
              </w:rPr>
            </w:pPr>
          </w:p>
        </w:tc>
      </w:tr>
      <w:tr w14:paraId="5F1D1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116F1">
            <w:pPr>
              <w:jc w:val="center"/>
              <w:rPr>
                <w:rFonts w:hint="eastAsia" w:ascii="宋体" w:hAnsi="宋体" w:eastAsia="宋体" w:cs="宋体"/>
                <w:i w:val="0"/>
                <w:iCs w:val="0"/>
                <w:color w:val="000000"/>
                <w:sz w:val="28"/>
                <w:szCs w:val="28"/>
                <w:u w:val="none"/>
              </w:rPr>
            </w:pPr>
          </w:p>
        </w:tc>
        <w:tc>
          <w:tcPr>
            <w:tcW w:w="5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42D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产前诊断（定额1850元/胎）</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A5088">
            <w:pPr>
              <w:jc w:val="center"/>
              <w:rPr>
                <w:rFonts w:hint="eastAsia" w:ascii="宋体" w:hAnsi="宋体" w:eastAsia="宋体" w:cs="宋体"/>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C26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2B7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r>
      <w:tr w14:paraId="4FF9D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F6692">
            <w:pPr>
              <w:jc w:val="center"/>
              <w:rPr>
                <w:rFonts w:hint="eastAsia" w:ascii="宋体" w:hAnsi="宋体" w:eastAsia="宋体" w:cs="宋体"/>
                <w:i w:val="0"/>
                <w:iCs w:val="0"/>
                <w:color w:val="000000"/>
                <w:sz w:val="28"/>
                <w:szCs w:val="28"/>
                <w:u w:val="none"/>
              </w:rPr>
            </w:pPr>
          </w:p>
        </w:tc>
        <w:tc>
          <w:tcPr>
            <w:tcW w:w="5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DA6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新生儿遗传代谢病筛查</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74E87">
            <w:pPr>
              <w:jc w:val="center"/>
              <w:rPr>
                <w:rFonts w:hint="eastAsia" w:ascii="宋体" w:hAnsi="宋体" w:eastAsia="宋体" w:cs="宋体"/>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25EC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4CB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r>
      <w:tr w14:paraId="51C69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ECA75">
            <w:pPr>
              <w:jc w:val="center"/>
              <w:rPr>
                <w:rFonts w:hint="eastAsia" w:ascii="宋体" w:hAnsi="宋体" w:eastAsia="宋体" w:cs="宋体"/>
                <w:i w:val="0"/>
                <w:iCs w:val="0"/>
                <w:color w:val="000000"/>
                <w:sz w:val="28"/>
                <w:szCs w:val="28"/>
                <w:u w:val="none"/>
              </w:rPr>
            </w:pPr>
          </w:p>
        </w:tc>
        <w:tc>
          <w:tcPr>
            <w:tcW w:w="5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4DC8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新生儿听力筛查+早产儿视网膜筛查</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942B">
            <w:pPr>
              <w:jc w:val="center"/>
              <w:rPr>
                <w:rFonts w:hint="eastAsia" w:ascii="宋体" w:hAnsi="宋体" w:eastAsia="宋体" w:cs="宋体"/>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549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41F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r>
      <w:tr w14:paraId="1309F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CA072">
            <w:pPr>
              <w:jc w:val="center"/>
              <w:rPr>
                <w:rFonts w:hint="eastAsia" w:ascii="宋体" w:hAnsi="宋体" w:eastAsia="宋体" w:cs="宋体"/>
                <w:i w:val="0"/>
                <w:iCs w:val="0"/>
                <w:color w:val="000000"/>
                <w:sz w:val="28"/>
                <w:szCs w:val="28"/>
                <w:u w:val="none"/>
              </w:rPr>
            </w:pPr>
          </w:p>
        </w:tc>
        <w:tc>
          <w:tcPr>
            <w:tcW w:w="5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28F8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kern w:val="0"/>
                <w:sz w:val="28"/>
                <w:szCs w:val="28"/>
                <w:u w:val="none"/>
                <w:lang w:val="en-US" w:eastAsia="zh-CN" w:bidi="ar"/>
              </w:rPr>
              <w:t>市级</w:t>
            </w:r>
            <w:r>
              <w:rPr>
                <w:rFonts w:hint="eastAsia" w:ascii="宋体" w:hAnsi="宋体" w:eastAsia="宋体" w:cs="宋体"/>
                <w:i w:val="0"/>
                <w:iCs w:val="0"/>
                <w:color w:val="000000"/>
                <w:kern w:val="0"/>
                <w:sz w:val="28"/>
                <w:szCs w:val="28"/>
                <w:u w:val="none"/>
                <w:lang w:val="en-US" w:eastAsia="zh-CN" w:bidi="ar"/>
              </w:rPr>
              <w:t>指定任务数的新生儿先天性心脏病筛查</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96AD0">
            <w:pPr>
              <w:jc w:val="center"/>
              <w:rPr>
                <w:rFonts w:hint="eastAsia" w:ascii="宋体" w:hAnsi="宋体" w:eastAsia="宋体" w:cs="宋体"/>
                <w:i w:val="0"/>
                <w:iCs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573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7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FA36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1955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台山市 开平市 恩平市</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F072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产前筛查</w:t>
            </w:r>
          </w:p>
        </w:tc>
        <w:tc>
          <w:tcPr>
            <w:tcW w:w="4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370D8">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地中海贫血</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20AE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7A0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37F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r>
      <w:tr w14:paraId="45752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60AED">
            <w:pPr>
              <w:jc w:val="center"/>
              <w:rPr>
                <w:rFonts w:hint="eastAsia" w:ascii="宋体" w:hAnsi="宋体" w:eastAsia="宋体" w:cs="宋体"/>
                <w:i w:val="0"/>
                <w:iCs w:val="0"/>
                <w:color w:val="000000"/>
                <w:sz w:val="28"/>
                <w:szCs w:val="2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2052">
            <w:pPr>
              <w:jc w:val="center"/>
              <w:rPr>
                <w:rFonts w:hint="eastAsia" w:ascii="宋体" w:hAnsi="宋体" w:eastAsia="宋体" w:cs="宋体"/>
                <w:i w:val="0"/>
                <w:iCs w:val="0"/>
                <w:color w:val="000000"/>
                <w:sz w:val="28"/>
                <w:szCs w:val="28"/>
                <w:u w:val="none"/>
              </w:rPr>
            </w:pPr>
          </w:p>
        </w:tc>
        <w:tc>
          <w:tcPr>
            <w:tcW w:w="4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29D2">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唐氏综合征及其他染色体异常</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166EC">
            <w:pPr>
              <w:jc w:val="center"/>
              <w:rPr>
                <w:rFonts w:hint="eastAsia" w:ascii="宋体" w:hAnsi="宋体" w:eastAsia="宋体" w:cs="宋体"/>
                <w:i w:val="0"/>
                <w:iCs w:val="0"/>
                <w:color w:val="000000"/>
                <w:sz w:val="28"/>
                <w:szCs w:val="2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AF96">
            <w:pPr>
              <w:jc w:val="center"/>
              <w:rPr>
                <w:rFonts w:hint="eastAsia" w:ascii="宋体" w:hAnsi="宋体" w:eastAsia="宋体" w:cs="宋体"/>
                <w:i w:val="0"/>
                <w:iCs w:val="0"/>
                <w:color w:val="000000"/>
                <w:sz w:val="28"/>
                <w:szCs w:val="2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1D06">
            <w:pPr>
              <w:jc w:val="center"/>
              <w:rPr>
                <w:rFonts w:hint="eastAsia" w:ascii="宋体" w:hAnsi="宋体" w:eastAsia="宋体" w:cs="宋体"/>
                <w:i w:val="0"/>
                <w:iCs w:val="0"/>
                <w:color w:val="000000"/>
                <w:sz w:val="28"/>
                <w:szCs w:val="28"/>
                <w:u w:val="none"/>
              </w:rPr>
            </w:pPr>
          </w:p>
        </w:tc>
      </w:tr>
      <w:tr w14:paraId="56A71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BB3C3">
            <w:pPr>
              <w:jc w:val="center"/>
              <w:rPr>
                <w:rFonts w:hint="eastAsia" w:ascii="宋体" w:hAnsi="宋体" w:eastAsia="宋体" w:cs="宋体"/>
                <w:i w:val="0"/>
                <w:iCs w:val="0"/>
                <w:color w:val="000000"/>
                <w:sz w:val="28"/>
                <w:szCs w:val="2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22550">
            <w:pPr>
              <w:jc w:val="center"/>
              <w:rPr>
                <w:rFonts w:hint="eastAsia" w:ascii="宋体" w:hAnsi="宋体" w:eastAsia="宋体" w:cs="宋体"/>
                <w:i w:val="0"/>
                <w:iCs w:val="0"/>
                <w:color w:val="000000"/>
                <w:sz w:val="28"/>
                <w:szCs w:val="28"/>
                <w:u w:val="none"/>
              </w:rPr>
            </w:pPr>
          </w:p>
        </w:tc>
        <w:tc>
          <w:tcPr>
            <w:tcW w:w="4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22E9">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严重致死致残性结构畸形</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3B93">
            <w:pPr>
              <w:jc w:val="center"/>
              <w:rPr>
                <w:rFonts w:hint="eastAsia" w:ascii="宋体" w:hAnsi="宋体" w:eastAsia="宋体" w:cs="宋体"/>
                <w:i w:val="0"/>
                <w:iCs w:val="0"/>
                <w:color w:val="000000"/>
                <w:sz w:val="28"/>
                <w:szCs w:val="2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C52A">
            <w:pPr>
              <w:jc w:val="center"/>
              <w:rPr>
                <w:rFonts w:hint="eastAsia" w:ascii="宋体" w:hAnsi="宋体" w:eastAsia="宋体" w:cs="宋体"/>
                <w:i w:val="0"/>
                <w:iCs w:val="0"/>
                <w:color w:val="000000"/>
                <w:sz w:val="28"/>
                <w:szCs w:val="2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BA51">
            <w:pPr>
              <w:jc w:val="center"/>
              <w:rPr>
                <w:rFonts w:hint="eastAsia" w:ascii="宋体" w:hAnsi="宋体" w:eastAsia="宋体" w:cs="宋体"/>
                <w:i w:val="0"/>
                <w:iCs w:val="0"/>
                <w:color w:val="000000"/>
                <w:sz w:val="28"/>
                <w:szCs w:val="28"/>
                <w:u w:val="none"/>
              </w:rPr>
            </w:pPr>
          </w:p>
        </w:tc>
      </w:tr>
      <w:tr w14:paraId="56B37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FCC8C">
            <w:pPr>
              <w:jc w:val="center"/>
              <w:rPr>
                <w:rFonts w:hint="eastAsia" w:ascii="宋体" w:hAnsi="宋体" w:eastAsia="宋体" w:cs="宋体"/>
                <w:i w:val="0"/>
                <w:iCs w:val="0"/>
                <w:color w:val="000000"/>
                <w:sz w:val="28"/>
                <w:szCs w:val="28"/>
                <w:u w:val="none"/>
              </w:rPr>
            </w:pPr>
          </w:p>
        </w:tc>
        <w:tc>
          <w:tcPr>
            <w:tcW w:w="5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EBD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产前诊断（定额1850元/胎）</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7BD54">
            <w:pPr>
              <w:jc w:val="center"/>
              <w:rPr>
                <w:rFonts w:hint="eastAsia" w:ascii="宋体" w:hAnsi="宋体" w:eastAsia="宋体" w:cs="宋体"/>
                <w:i w:val="0"/>
                <w:iCs w:val="0"/>
                <w:color w:val="000000"/>
                <w:sz w:val="28"/>
                <w:szCs w:val="2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6AE7">
            <w:pPr>
              <w:jc w:val="center"/>
              <w:rPr>
                <w:rFonts w:hint="eastAsia" w:ascii="宋体" w:hAnsi="宋体" w:eastAsia="宋体" w:cs="宋体"/>
                <w:i w:val="0"/>
                <w:iCs w:val="0"/>
                <w:color w:val="000000"/>
                <w:sz w:val="28"/>
                <w:szCs w:val="2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5FF5">
            <w:pPr>
              <w:jc w:val="center"/>
              <w:rPr>
                <w:rFonts w:hint="eastAsia" w:ascii="宋体" w:hAnsi="宋体" w:eastAsia="宋体" w:cs="宋体"/>
                <w:i w:val="0"/>
                <w:iCs w:val="0"/>
                <w:color w:val="000000"/>
                <w:sz w:val="28"/>
                <w:szCs w:val="28"/>
                <w:u w:val="none"/>
              </w:rPr>
            </w:pPr>
          </w:p>
        </w:tc>
      </w:tr>
      <w:tr w14:paraId="037DA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D4652">
            <w:pPr>
              <w:jc w:val="center"/>
              <w:rPr>
                <w:rFonts w:hint="eastAsia" w:ascii="宋体" w:hAnsi="宋体" w:eastAsia="宋体" w:cs="宋体"/>
                <w:i w:val="0"/>
                <w:iCs w:val="0"/>
                <w:color w:val="000000"/>
                <w:sz w:val="28"/>
                <w:szCs w:val="28"/>
                <w:u w:val="none"/>
              </w:rPr>
            </w:pPr>
          </w:p>
        </w:tc>
        <w:tc>
          <w:tcPr>
            <w:tcW w:w="5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2AC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新生儿遗传代谢病筛查</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DCF45">
            <w:pPr>
              <w:jc w:val="center"/>
              <w:rPr>
                <w:rFonts w:hint="eastAsia" w:ascii="宋体" w:hAnsi="宋体" w:eastAsia="宋体" w:cs="宋体"/>
                <w:i w:val="0"/>
                <w:iCs w:val="0"/>
                <w:color w:val="000000"/>
                <w:sz w:val="28"/>
                <w:szCs w:val="2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846A">
            <w:pPr>
              <w:jc w:val="center"/>
              <w:rPr>
                <w:rFonts w:hint="eastAsia" w:ascii="宋体" w:hAnsi="宋体" w:eastAsia="宋体" w:cs="宋体"/>
                <w:i w:val="0"/>
                <w:iCs w:val="0"/>
                <w:color w:val="000000"/>
                <w:sz w:val="28"/>
                <w:szCs w:val="2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B297">
            <w:pPr>
              <w:jc w:val="center"/>
              <w:rPr>
                <w:rFonts w:hint="eastAsia" w:ascii="宋体" w:hAnsi="宋体" w:eastAsia="宋体" w:cs="宋体"/>
                <w:i w:val="0"/>
                <w:iCs w:val="0"/>
                <w:color w:val="000000"/>
                <w:sz w:val="28"/>
                <w:szCs w:val="28"/>
                <w:u w:val="none"/>
              </w:rPr>
            </w:pPr>
          </w:p>
        </w:tc>
      </w:tr>
      <w:tr w14:paraId="4FD4A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B0BF1">
            <w:pPr>
              <w:jc w:val="center"/>
              <w:rPr>
                <w:rFonts w:hint="eastAsia" w:ascii="宋体" w:hAnsi="宋体" w:eastAsia="宋体" w:cs="宋体"/>
                <w:i w:val="0"/>
                <w:iCs w:val="0"/>
                <w:color w:val="000000"/>
                <w:sz w:val="28"/>
                <w:szCs w:val="28"/>
                <w:u w:val="none"/>
              </w:rPr>
            </w:pPr>
          </w:p>
        </w:tc>
        <w:tc>
          <w:tcPr>
            <w:tcW w:w="5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9C9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新生儿听力筛查+早产儿视网膜筛查</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706A">
            <w:pPr>
              <w:jc w:val="center"/>
              <w:rPr>
                <w:rFonts w:hint="eastAsia" w:ascii="宋体" w:hAnsi="宋体" w:eastAsia="宋体" w:cs="宋体"/>
                <w:i w:val="0"/>
                <w:iCs w:val="0"/>
                <w:color w:val="000000"/>
                <w:sz w:val="28"/>
                <w:szCs w:val="2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0E43">
            <w:pPr>
              <w:jc w:val="center"/>
              <w:rPr>
                <w:rFonts w:hint="eastAsia" w:ascii="宋体" w:hAnsi="宋体" w:eastAsia="宋体" w:cs="宋体"/>
                <w:i w:val="0"/>
                <w:iCs w:val="0"/>
                <w:color w:val="000000"/>
                <w:sz w:val="28"/>
                <w:szCs w:val="2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84D7">
            <w:pPr>
              <w:jc w:val="center"/>
              <w:rPr>
                <w:rFonts w:hint="eastAsia" w:ascii="宋体" w:hAnsi="宋体" w:eastAsia="宋体" w:cs="宋体"/>
                <w:i w:val="0"/>
                <w:iCs w:val="0"/>
                <w:color w:val="000000"/>
                <w:sz w:val="28"/>
                <w:szCs w:val="28"/>
                <w:u w:val="none"/>
              </w:rPr>
            </w:pPr>
          </w:p>
        </w:tc>
      </w:tr>
      <w:tr w14:paraId="0FB09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06E12">
            <w:pPr>
              <w:jc w:val="center"/>
              <w:rPr>
                <w:rFonts w:hint="eastAsia" w:ascii="宋体" w:hAnsi="宋体" w:eastAsia="宋体" w:cs="宋体"/>
                <w:i w:val="0"/>
                <w:iCs w:val="0"/>
                <w:color w:val="000000"/>
                <w:sz w:val="28"/>
                <w:szCs w:val="28"/>
                <w:u w:val="none"/>
              </w:rPr>
            </w:pPr>
          </w:p>
        </w:tc>
        <w:tc>
          <w:tcPr>
            <w:tcW w:w="5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89C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kern w:val="0"/>
                <w:sz w:val="28"/>
                <w:szCs w:val="28"/>
                <w:u w:val="none"/>
                <w:lang w:val="en-US" w:eastAsia="zh-CN" w:bidi="ar"/>
              </w:rPr>
              <w:t>市级</w:t>
            </w:r>
            <w:r>
              <w:rPr>
                <w:rFonts w:hint="eastAsia" w:ascii="宋体" w:hAnsi="宋体" w:eastAsia="宋体" w:cs="宋体"/>
                <w:i w:val="0"/>
                <w:iCs w:val="0"/>
                <w:color w:val="000000"/>
                <w:kern w:val="0"/>
                <w:sz w:val="28"/>
                <w:szCs w:val="28"/>
                <w:u w:val="none"/>
                <w:lang w:val="en-US" w:eastAsia="zh-CN" w:bidi="ar"/>
              </w:rPr>
              <w:t>指定任务数的新生儿先天性心脏病筛查</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47B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7E87">
            <w:pPr>
              <w:keepNext w:val="0"/>
              <w:keepLines w:val="0"/>
              <w:widowControl/>
              <w:suppressLineNumbers w:val="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E0F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r>
    </w:tbl>
    <w:p w14:paraId="036F6F9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简体" w:hAnsi="方正仿宋简体" w:eastAsia="方正仿宋简体" w:cs="方正仿宋简体"/>
          <w:snapToGrid w:val="0"/>
          <w:color w:val="auto"/>
          <w:kern w:val="0"/>
          <w:sz w:val="28"/>
          <w:szCs w:val="28"/>
          <w:highlight w:val="none"/>
          <w:lang w:val="en-US" w:eastAsia="zh-CN"/>
        </w:rPr>
      </w:pPr>
    </w:p>
    <w:p w14:paraId="6F2CA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简体" w:hAnsi="方正仿宋简体" w:eastAsia="方正仿宋简体" w:cs="方正仿宋简体"/>
          <w:snapToGrid w:val="0"/>
          <w:color w:val="auto"/>
          <w:kern w:val="0"/>
          <w:sz w:val="28"/>
          <w:szCs w:val="28"/>
          <w:highlight w:val="none"/>
          <w:lang w:val="en-US" w:eastAsia="zh-CN"/>
        </w:rPr>
      </w:pPr>
    </w:p>
    <w:p w14:paraId="50253EA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简体" w:hAnsi="方正仿宋简体" w:eastAsia="方正仿宋简体" w:cs="方正仿宋简体"/>
          <w:snapToGrid w:val="0"/>
          <w:color w:val="auto"/>
          <w:kern w:val="0"/>
          <w:sz w:val="28"/>
          <w:szCs w:val="28"/>
          <w:highlight w:val="none"/>
          <w:lang w:val="en-US" w:eastAsia="zh-CN"/>
        </w:rPr>
      </w:pPr>
    </w:p>
    <w:p w14:paraId="681FCF5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简体" w:hAnsi="方正仿宋简体" w:eastAsia="方正仿宋简体" w:cs="方正仿宋简体"/>
          <w:snapToGrid w:val="0"/>
          <w:color w:val="auto"/>
          <w:kern w:val="0"/>
          <w:sz w:val="28"/>
          <w:szCs w:val="28"/>
          <w:highlight w:val="none"/>
          <w:lang w:val="en-US" w:eastAsia="zh-CN"/>
        </w:rPr>
      </w:pPr>
    </w:p>
    <w:p w14:paraId="22546A2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简体" w:hAnsi="方正仿宋简体" w:eastAsia="方正仿宋简体" w:cs="方正仿宋简体"/>
          <w:snapToGrid w:val="0"/>
          <w:color w:val="auto"/>
          <w:kern w:val="0"/>
          <w:sz w:val="28"/>
          <w:szCs w:val="28"/>
          <w:highlight w:val="none"/>
          <w:lang w:val="en-US" w:eastAsia="zh-CN"/>
        </w:rPr>
        <w:sectPr>
          <w:pgSz w:w="11906" w:h="16838"/>
          <w:pgMar w:top="1587" w:right="1587" w:bottom="1587" w:left="1587" w:header="851" w:footer="1134" w:gutter="0"/>
          <w:pgBorders>
            <w:top w:val="none" w:sz="0" w:space="0"/>
            <w:left w:val="none" w:sz="0" w:space="0"/>
            <w:bottom w:val="none" w:sz="0" w:space="0"/>
            <w:right w:val="none" w:sz="0" w:space="0"/>
          </w:pgBorders>
          <w:pgNumType w:fmt="decimal"/>
          <w:cols w:space="425" w:num="1"/>
          <w:rtlGutter w:val="0"/>
          <w:docGrid w:type="lines" w:linePitch="312" w:charSpace="0"/>
        </w:sectPr>
      </w:pPr>
    </w:p>
    <w:p w14:paraId="45310945">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附件4</w:t>
      </w:r>
    </w:p>
    <w:p w14:paraId="2088A311">
      <w:pPr>
        <w:keepNext w:val="0"/>
        <w:keepLines w:val="0"/>
        <w:pageBreakBefore w:val="0"/>
        <w:widowControl w:val="0"/>
        <w:kinsoku/>
        <w:wordWrap/>
        <w:overflowPunct/>
        <w:topLinePunct w:val="0"/>
        <w:autoSpaceDE/>
        <w:autoSpaceDN/>
        <w:bidi w:val="0"/>
        <w:adjustRightInd/>
        <w:snapToGrid/>
        <w:spacing w:before="157" w:beforeLines="50" w:after="157" w:afterLines="50" w:line="640" w:lineRule="exact"/>
        <w:jc w:val="center"/>
        <w:textAlignment w:val="auto"/>
        <w:rPr>
          <w:rFonts w:hint="eastAsia" w:eastAsia="方正小标宋简体" w:cs="Times New Roman"/>
          <w:bCs/>
          <w:sz w:val="40"/>
          <w:szCs w:val="40"/>
          <w:lang w:val="en-US" w:eastAsia="zh-CN"/>
        </w:rPr>
      </w:pPr>
      <w:r>
        <w:rPr>
          <w:rFonts w:hint="eastAsia" w:eastAsia="方正小标宋简体" w:cs="Times New Roman"/>
          <w:bCs/>
          <w:sz w:val="40"/>
          <w:szCs w:val="40"/>
          <w:lang w:val="en-US" w:eastAsia="zh-CN"/>
        </w:rPr>
        <w:t>江门市出生缺陷综合防控项目月度经费结算表</w:t>
      </w:r>
    </w:p>
    <w:p w14:paraId="274CBB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b/>
          <w:bCs w:val="0"/>
          <w:sz w:val="32"/>
          <w:szCs w:val="32"/>
          <w:lang w:val="en-US" w:eastAsia="zh-CN"/>
        </w:rPr>
      </w:pPr>
      <w:r>
        <w:rPr>
          <w:rFonts w:hint="eastAsia" w:ascii="方正仿宋简体" w:hAnsi="方正仿宋简体" w:eastAsia="方正仿宋简体" w:cs="方正仿宋简体"/>
          <w:b/>
          <w:bCs w:val="0"/>
          <w:sz w:val="32"/>
          <w:szCs w:val="32"/>
          <w:lang w:val="en-US" w:eastAsia="zh-CN"/>
        </w:rPr>
        <w:t>（一）江门市市直医疗机构出生缺陷综合防控项目经费月报表</w:t>
      </w:r>
    </w:p>
    <w:tbl>
      <w:tblPr>
        <w:tblStyle w:val="5"/>
        <w:tblW w:w="137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5"/>
        <w:gridCol w:w="560"/>
        <w:gridCol w:w="560"/>
        <w:gridCol w:w="560"/>
        <w:gridCol w:w="892"/>
        <w:gridCol w:w="561"/>
        <w:gridCol w:w="561"/>
        <w:gridCol w:w="639"/>
        <w:gridCol w:w="661"/>
        <w:gridCol w:w="561"/>
        <w:gridCol w:w="561"/>
        <w:gridCol w:w="561"/>
        <w:gridCol w:w="566"/>
        <w:gridCol w:w="561"/>
        <w:gridCol w:w="561"/>
        <w:gridCol w:w="561"/>
        <w:gridCol w:w="561"/>
        <w:gridCol w:w="561"/>
        <w:gridCol w:w="658"/>
        <w:gridCol w:w="561"/>
        <w:gridCol w:w="561"/>
        <w:gridCol w:w="561"/>
        <w:gridCol w:w="561"/>
      </w:tblGrid>
      <w:tr w14:paraId="4DF49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093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地区</w:t>
            </w:r>
          </w:p>
        </w:tc>
        <w:tc>
          <w:tcPr>
            <w:tcW w:w="17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D38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地贫防控</w:t>
            </w:r>
          </w:p>
        </w:tc>
        <w:tc>
          <w:tcPr>
            <w:tcW w:w="292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90F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出生缺陷防控（产筛部分）</w:t>
            </w:r>
          </w:p>
        </w:tc>
        <w:tc>
          <w:tcPr>
            <w:tcW w:w="292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ED1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出生缺陷防控（产前诊断）</w:t>
            </w:r>
          </w:p>
        </w:tc>
        <w:tc>
          <w:tcPr>
            <w:tcW w:w="5265" w:type="dxa"/>
            <w:gridSpan w:val="9"/>
            <w:tcBorders>
              <w:top w:val="single" w:color="000000" w:sz="4" w:space="0"/>
              <w:left w:val="nil"/>
              <w:bottom w:val="single" w:color="000000" w:sz="4" w:space="0"/>
              <w:right w:val="single" w:color="000000" w:sz="4" w:space="0"/>
            </w:tcBorders>
            <w:shd w:val="clear" w:color="auto" w:fill="auto"/>
            <w:vAlign w:val="center"/>
          </w:tcPr>
          <w:p w14:paraId="749179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出生缺陷防控（新筛部分）</w:t>
            </w:r>
          </w:p>
        </w:tc>
      </w:tr>
      <w:tr w14:paraId="5A2FB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979E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17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7819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292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06FB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292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E7C4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1755" w:type="dxa"/>
            <w:gridSpan w:val="3"/>
            <w:tcBorders>
              <w:top w:val="single" w:color="000000" w:sz="4" w:space="0"/>
              <w:left w:val="nil"/>
              <w:bottom w:val="nil"/>
              <w:right w:val="single" w:color="000000" w:sz="4" w:space="0"/>
            </w:tcBorders>
            <w:shd w:val="clear" w:color="auto" w:fill="auto"/>
            <w:vAlign w:val="center"/>
          </w:tcPr>
          <w:p w14:paraId="287D98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初筛</w:t>
            </w:r>
          </w:p>
        </w:tc>
        <w:tc>
          <w:tcPr>
            <w:tcW w:w="3510" w:type="dxa"/>
            <w:gridSpan w:val="6"/>
            <w:tcBorders>
              <w:top w:val="single" w:color="000000" w:sz="4" w:space="0"/>
              <w:left w:val="single" w:color="000000" w:sz="4" w:space="0"/>
              <w:bottom w:val="nil"/>
              <w:right w:val="single" w:color="000000" w:sz="4" w:space="0"/>
            </w:tcBorders>
            <w:shd w:val="clear" w:color="auto" w:fill="auto"/>
            <w:vAlign w:val="center"/>
          </w:tcPr>
          <w:p w14:paraId="56E5E1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复筛</w:t>
            </w:r>
          </w:p>
        </w:tc>
      </w:tr>
      <w:tr w14:paraId="6C15A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B2CC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CA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血红蛋白分析例数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E6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基因检测例数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69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产前诊断例数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06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孕早期超声筛查（NT）例数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1F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早期唐氏血清例数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23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中期唐氏血清例数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11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NIPT检查例数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17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严重致死致残性结构畸形筛查（II级）例数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4A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致死致残性染色体病例数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19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致死致残性结构畸形例数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EB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严重单基因病例数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1F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III级超声诊断例数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57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胎儿心脏彩超例数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71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新生儿遗传代谢病例数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89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新生儿听力筛查例数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32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早产儿视网膜病变例数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FF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新生儿先天性甲状腺功能减低症例数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E9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新生儿G6PD缺乏症例数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AC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新生儿苯丙酮尿症例数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65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新生儿先天性肾上腺皮质增生症例数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B8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新生儿听力筛查例数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75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早产儿视网膜病变例数</w:t>
            </w:r>
          </w:p>
        </w:tc>
      </w:tr>
      <w:tr w14:paraId="1FA94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5" w:type="dxa"/>
            <w:tcBorders>
              <w:top w:val="single" w:color="000000" w:sz="4" w:space="0"/>
              <w:left w:val="single" w:color="000000" w:sz="4" w:space="0"/>
              <w:bottom w:val="single" w:color="000000" w:sz="4" w:space="0"/>
              <w:right w:val="nil"/>
            </w:tcBorders>
            <w:shd w:val="clear" w:color="auto" w:fill="auto"/>
            <w:vAlign w:val="center"/>
          </w:tcPr>
          <w:p w14:paraId="606F93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蓬江区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74EF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E0D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D3B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8FB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089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CE9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C09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B65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75F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33E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7E7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1CB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CA13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D95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F94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C6C5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BDB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EE6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7FB9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5FF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A787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536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r>
      <w:tr w14:paraId="3EF54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5" w:type="dxa"/>
            <w:tcBorders>
              <w:top w:val="single" w:color="000000" w:sz="4" w:space="0"/>
              <w:left w:val="single" w:color="000000" w:sz="4" w:space="0"/>
              <w:bottom w:val="single" w:color="000000" w:sz="4" w:space="0"/>
              <w:right w:val="nil"/>
            </w:tcBorders>
            <w:shd w:val="clear" w:color="auto" w:fill="auto"/>
            <w:vAlign w:val="center"/>
          </w:tcPr>
          <w:p w14:paraId="6477AE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江海区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89F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3E5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E12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FF83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2324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54AB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6C3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A31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FC8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45B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F241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FD5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31DF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864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2A0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590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986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3FBC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BC9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7E2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654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8F0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r>
      <w:tr w14:paraId="4DD74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5" w:type="dxa"/>
            <w:tcBorders>
              <w:top w:val="single" w:color="000000" w:sz="4" w:space="0"/>
              <w:left w:val="single" w:color="000000" w:sz="4" w:space="0"/>
              <w:bottom w:val="single" w:color="000000" w:sz="4" w:space="0"/>
              <w:right w:val="nil"/>
            </w:tcBorders>
            <w:shd w:val="clear" w:color="auto" w:fill="auto"/>
            <w:vAlign w:val="center"/>
          </w:tcPr>
          <w:p w14:paraId="7B9D79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新会区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05DF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DB2C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F8B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8F9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106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030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0C9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B03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E6E8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1C0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EB9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7C7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C33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B0E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746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902C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6D6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027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463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8C3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D47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C64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r>
      <w:tr w14:paraId="38723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915" w:type="dxa"/>
            <w:tcBorders>
              <w:top w:val="single" w:color="000000" w:sz="4" w:space="0"/>
              <w:left w:val="single" w:color="000000" w:sz="4" w:space="0"/>
              <w:bottom w:val="single" w:color="000000" w:sz="4" w:space="0"/>
              <w:right w:val="nil"/>
            </w:tcBorders>
            <w:shd w:val="clear" w:color="auto" w:fill="auto"/>
            <w:vAlign w:val="center"/>
          </w:tcPr>
          <w:p w14:paraId="0C3FA5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台山市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BB5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629E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E68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349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939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BE0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C3A5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97A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B7B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FAF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DC0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8A3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AD15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3B2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FBF6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1DE6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D7F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C99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0CE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3A0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8C5B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626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r>
      <w:tr w14:paraId="53252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5" w:type="dxa"/>
            <w:tcBorders>
              <w:top w:val="single" w:color="000000" w:sz="4" w:space="0"/>
              <w:left w:val="single" w:color="000000" w:sz="4" w:space="0"/>
              <w:bottom w:val="single" w:color="000000" w:sz="4" w:space="0"/>
              <w:right w:val="nil"/>
            </w:tcBorders>
            <w:shd w:val="clear" w:color="auto" w:fill="auto"/>
            <w:vAlign w:val="center"/>
          </w:tcPr>
          <w:p w14:paraId="0BDFFC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开平市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34C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72F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559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251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A75B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E8D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6F9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C9B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B7C8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5BBC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365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47E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E9E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526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5E5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91C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923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320E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535E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34F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A2C3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360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r>
      <w:tr w14:paraId="00434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5" w:type="dxa"/>
            <w:tcBorders>
              <w:top w:val="single" w:color="000000" w:sz="4" w:space="0"/>
              <w:left w:val="single" w:color="000000" w:sz="4" w:space="0"/>
              <w:bottom w:val="single" w:color="000000" w:sz="4" w:space="0"/>
              <w:right w:val="nil"/>
            </w:tcBorders>
            <w:shd w:val="clear" w:color="auto" w:fill="auto"/>
            <w:vAlign w:val="center"/>
          </w:tcPr>
          <w:p w14:paraId="684C12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鹤山市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C8C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D5E3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A6F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5A4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1594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1965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2D6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0782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623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BD3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4CA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984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448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650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57A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99B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C91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098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DE2A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D28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C9D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9A8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r>
      <w:tr w14:paraId="48242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5" w:type="dxa"/>
            <w:tcBorders>
              <w:top w:val="single" w:color="000000" w:sz="4" w:space="0"/>
              <w:left w:val="single" w:color="000000" w:sz="4" w:space="0"/>
              <w:bottom w:val="single" w:color="000000" w:sz="4" w:space="0"/>
              <w:right w:val="nil"/>
            </w:tcBorders>
            <w:shd w:val="clear" w:color="auto" w:fill="auto"/>
            <w:vAlign w:val="center"/>
          </w:tcPr>
          <w:p w14:paraId="174135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恩平市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90DE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D72F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3FA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048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32C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C9C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C11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44E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FBB4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287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143E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38A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F72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981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347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D9F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1FE2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AC1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73C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AE6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E45D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0DA3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r>
      <w:tr w14:paraId="2B3CC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5" w:type="dxa"/>
            <w:tcBorders>
              <w:top w:val="single" w:color="000000" w:sz="4" w:space="0"/>
              <w:left w:val="single" w:color="000000" w:sz="4" w:space="0"/>
              <w:bottom w:val="single" w:color="000000" w:sz="4" w:space="0"/>
              <w:right w:val="nil"/>
            </w:tcBorders>
            <w:shd w:val="clear" w:color="auto" w:fill="auto"/>
            <w:vAlign w:val="center"/>
          </w:tcPr>
          <w:p w14:paraId="749E63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2C8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F66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CB3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C663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9CD4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193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666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6828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5E7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CE1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7F4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98F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5EDA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E64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185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27F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2C4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0A4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6E2A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F29E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D689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E62E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简体" w:hAnsi="方正仿宋简体" w:eastAsia="方正仿宋简体" w:cs="方正仿宋简体"/>
                <w:i w:val="0"/>
                <w:iCs w:val="0"/>
                <w:color w:val="000000"/>
                <w:sz w:val="24"/>
                <w:szCs w:val="24"/>
                <w:u w:val="none"/>
              </w:rPr>
            </w:pPr>
          </w:p>
        </w:tc>
      </w:tr>
    </w:tbl>
    <w:p w14:paraId="4E64660C">
      <w:pPr>
        <w:spacing w:line="640" w:lineRule="exact"/>
        <w:jc w:val="left"/>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注意：上表（1）为市直医疗机构每月10日前在江门市妇幼卫生信息系统报送的经费报表。</w:t>
      </w:r>
    </w:p>
    <w:p w14:paraId="4CDE5910">
      <w:pPr>
        <w:spacing w:line="640" w:lineRule="exact"/>
        <w:jc w:val="left"/>
        <w:rPr>
          <w:rFonts w:hint="eastAsia" w:ascii="方正仿宋简体" w:hAnsi="方正仿宋简体" w:eastAsia="方正仿宋简体" w:cs="方正仿宋简体"/>
          <w:bCs/>
          <w:sz w:val="24"/>
          <w:szCs w:val="24"/>
          <w:lang w:val="en-US" w:eastAsia="zh-CN"/>
        </w:rPr>
      </w:pPr>
    </w:p>
    <w:p w14:paraId="61D671E9">
      <w:pPr>
        <w:spacing w:line="640" w:lineRule="exact"/>
        <w:jc w:val="left"/>
        <w:rPr>
          <w:rFonts w:hint="eastAsia" w:ascii="方正仿宋简体" w:hAnsi="方正仿宋简体" w:eastAsia="方正仿宋简体" w:cs="方正仿宋简体"/>
          <w:bCs/>
          <w:sz w:val="24"/>
          <w:szCs w:val="24"/>
          <w:lang w:val="en-US" w:eastAsia="zh-CN"/>
        </w:rPr>
      </w:pPr>
    </w:p>
    <w:p w14:paraId="1B198D89">
      <w:pPr>
        <w:spacing w:line="640" w:lineRule="exact"/>
        <w:jc w:val="left"/>
        <w:rPr>
          <w:rFonts w:hint="eastAsia" w:ascii="方正仿宋简体" w:hAnsi="方正仿宋简体" w:eastAsia="方正仿宋简体" w:cs="方正仿宋简体"/>
          <w:bCs/>
          <w:sz w:val="24"/>
          <w:szCs w:val="24"/>
          <w:lang w:val="en-US" w:eastAsia="zh-CN"/>
        </w:rPr>
      </w:pPr>
    </w:p>
    <w:p w14:paraId="46A3CC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b/>
          <w:bCs w:val="0"/>
          <w:sz w:val="32"/>
          <w:szCs w:val="32"/>
          <w:lang w:val="en-US" w:eastAsia="zh-CN"/>
        </w:rPr>
      </w:pPr>
    </w:p>
    <w:p w14:paraId="56D876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bCs/>
          <w:sz w:val="16"/>
          <w:szCs w:val="16"/>
          <w:lang w:val="en-US" w:eastAsia="zh-CN"/>
        </w:rPr>
      </w:pPr>
      <w:r>
        <w:rPr>
          <w:rFonts w:hint="eastAsia" w:ascii="方正仿宋简体" w:hAnsi="方正仿宋简体" w:eastAsia="方正仿宋简体" w:cs="方正仿宋简体"/>
          <w:b/>
          <w:bCs w:val="0"/>
          <w:sz w:val="32"/>
          <w:szCs w:val="32"/>
          <w:lang w:val="en-US" w:eastAsia="zh-CN"/>
        </w:rPr>
        <w:t>（二）江门市各县（市、区）出生缺陷综合防控项目经费月报表</w:t>
      </w:r>
    </w:p>
    <w:tbl>
      <w:tblPr>
        <w:tblStyle w:val="5"/>
        <w:tblpPr w:leftFromText="180" w:rightFromText="180" w:vertAnchor="text" w:horzAnchor="page" w:tblpX="1521" w:tblpY="409"/>
        <w:tblOverlap w:val="never"/>
        <w:tblW w:w="137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569"/>
        <w:gridCol w:w="569"/>
        <w:gridCol w:w="569"/>
        <w:gridCol w:w="892"/>
        <w:gridCol w:w="569"/>
        <w:gridCol w:w="569"/>
        <w:gridCol w:w="639"/>
        <w:gridCol w:w="661"/>
        <w:gridCol w:w="569"/>
        <w:gridCol w:w="569"/>
        <w:gridCol w:w="569"/>
        <w:gridCol w:w="573"/>
        <w:gridCol w:w="569"/>
        <w:gridCol w:w="569"/>
        <w:gridCol w:w="569"/>
        <w:gridCol w:w="570"/>
        <w:gridCol w:w="570"/>
        <w:gridCol w:w="658"/>
        <w:gridCol w:w="570"/>
        <w:gridCol w:w="570"/>
        <w:gridCol w:w="570"/>
        <w:gridCol w:w="570"/>
      </w:tblGrid>
      <w:tr w14:paraId="34EEB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87A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机构名称</w:t>
            </w:r>
          </w:p>
        </w:tc>
        <w:tc>
          <w:tcPr>
            <w:tcW w:w="170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475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地贫防控</w:t>
            </w:r>
          </w:p>
        </w:tc>
        <w:tc>
          <w:tcPr>
            <w:tcW w:w="3176"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F70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出生缺陷防控（产筛部分）</w:t>
            </w:r>
          </w:p>
        </w:tc>
        <w:tc>
          <w:tcPr>
            <w:tcW w:w="284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2D8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出生缺陷防控（产前诊断）</w:t>
            </w:r>
          </w:p>
        </w:tc>
        <w:tc>
          <w:tcPr>
            <w:tcW w:w="51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765B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出生缺陷防控（新筛部分）</w:t>
            </w:r>
          </w:p>
        </w:tc>
      </w:tr>
      <w:tr w14:paraId="4FA1A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56EE3">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简体" w:hAnsi="方正仿宋简体" w:eastAsia="方正仿宋简体" w:cs="方正仿宋简体"/>
                <w:i w:val="0"/>
                <w:iCs w:val="0"/>
                <w:color w:val="000000"/>
                <w:sz w:val="24"/>
                <w:szCs w:val="24"/>
                <w:u w:val="none"/>
              </w:rPr>
            </w:pPr>
          </w:p>
        </w:tc>
        <w:tc>
          <w:tcPr>
            <w:tcW w:w="170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C6CE4">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简体" w:hAnsi="方正仿宋简体" w:eastAsia="方正仿宋简体" w:cs="方正仿宋简体"/>
                <w:i w:val="0"/>
                <w:iCs w:val="0"/>
                <w:color w:val="000000"/>
                <w:sz w:val="24"/>
                <w:szCs w:val="24"/>
                <w:u w:val="none"/>
              </w:rPr>
            </w:pPr>
          </w:p>
        </w:tc>
        <w:tc>
          <w:tcPr>
            <w:tcW w:w="317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07FF8">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简体" w:hAnsi="方正仿宋简体" w:eastAsia="方正仿宋简体" w:cs="方正仿宋简体"/>
                <w:i w:val="0"/>
                <w:iCs w:val="0"/>
                <w:color w:val="000000"/>
                <w:sz w:val="24"/>
                <w:szCs w:val="24"/>
                <w:u w:val="none"/>
              </w:rPr>
            </w:pPr>
          </w:p>
        </w:tc>
        <w:tc>
          <w:tcPr>
            <w:tcW w:w="284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69E60">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简体" w:hAnsi="方正仿宋简体" w:eastAsia="方正仿宋简体" w:cs="方正仿宋简体"/>
                <w:i w:val="0"/>
                <w:iCs w:val="0"/>
                <w:color w:val="000000"/>
                <w:sz w:val="24"/>
                <w:szCs w:val="24"/>
                <w:u w:val="none"/>
              </w:rPr>
            </w:pP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8DB5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初筛</w:t>
            </w:r>
          </w:p>
        </w:tc>
        <w:tc>
          <w:tcPr>
            <w:tcW w:w="34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7180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复筛</w:t>
            </w:r>
          </w:p>
        </w:tc>
      </w:tr>
      <w:tr w14:paraId="414AD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2"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1BCC7">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简体" w:hAnsi="方正仿宋简体" w:eastAsia="方正仿宋简体" w:cs="方正仿宋简体"/>
                <w:i w:val="0"/>
                <w:iCs w:val="0"/>
                <w:color w:val="000000"/>
                <w:sz w:val="24"/>
                <w:szCs w:val="24"/>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CE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血红蛋白分析例数</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84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基因检测例数</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D6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产前诊断例数</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E9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孕早期超声筛查（NT）例数</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F2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早期唐氏血清例数</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C9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中期唐氏血清例数</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5B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NIPT检查例数</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B2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严重致死致残性结构畸形筛查（II级）例数</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4F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致死致残性染色体病例数</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F8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致死致残性结构畸形例数</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87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严重单基因病例数</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52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III级超声诊断例数</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57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胎儿心脏彩超例数</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75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新生儿遗传代谢病例数</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C4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新生儿听力筛查例数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06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早产儿视网膜病变例数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34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新生儿先天性甲状腺功能减低症例数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82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新生儿G6PD缺乏症例数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46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新生儿苯丙酮尿症例数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26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新生儿先天性肾上腺皮质增生症例数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34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新生儿听力筛查例数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29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早产儿视网膜病变例数</w:t>
            </w:r>
          </w:p>
        </w:tc>
      </w:tr>
      <w:tr w14:paraId="4AB05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16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***机构</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0F4B7">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4"/>
                <w:szCs w:val="24"/>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4F70">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4"/>
                <w:szCs w:val="24"/>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436A">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4"/>
                <w:szCs w:val="24"/>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31704">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4"/>
                <w:szCs w:val="24"/>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DFBA">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4"/>
                <w:szCs w:val="24"/>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603B">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4"/>
                <w:szCs w:val="24"/>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2637">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4"/>
                <w:szCs w:val="24"/>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A742">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4"/>
                <w:szCs w:val="24"/>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0D331">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4"/>
                <w:szCs w:val="24"/>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BEE0">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4"/>
                <w:szCs w:val="24"/>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7D351">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4"/>
                <w:szCs w:val="24"/>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C478">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4"/>
                <w:szCs w:val="24"/>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6D917">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4"/>
                <w:szCs w:val="24"/>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22820">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4"/>
                <w:szCs w:val="24"/>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6389">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2149">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089F">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DA1B">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B1E9">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0801">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C5EA">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85EF">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4"/>
                <w:szCs w:val="24"/>
                <w:u w:val="none"/>
              </w:rPr>
            </w:pPr>
          </w:p>
        </w:tc>
      </w:tr>
    </w:tbl>
    <w:p w14:paraId="57316C66">
      <w:pPr>
        <w:spacing w:line="640" w:lineRule="exact"/>
        <w:jc w:val="left"/>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注意：上表（2）为各市（县、区）定点服务机构每月10日前在江门市妇幼卫生信息平台每月需报送的经费报表。</w:t>
      </w:r>
    </w:p>
    <w:p w14:paraId="6408C977">
      <w:pPr>
        <w:spacing w:line="640" w:lineRule="exact"/>
        <w:jc w:val="left"/>
        <w:rPr>
          <w:rFonts w:hint="eastAsia" w:ascii="方正仿宋简体" w:hAnsi="方正仿宋简体" w:eastAsia="方正仿宋简体" w:cs="方正仿宋简体"/>
          <w:bCs/>
          <w:sz w:val="24"/>
          <w:szCs w:val="24"/>
          <w:lang w:val="en-US" w:eastAsia="zh-CN"/>
        </w:rPr>
        <w:sectPr>
          <w:pgSz w:w="16838" w:h="11906" w:orient="landscape"/>
          <w:pgMar w:top="1587" w:right="1587" w:bottom="1587" w:left="1587" w:header="851" w:footer="1134" w:gutter="0"/>
          <w:pgBorders>
            <w:top w:val="none" w:sz="0" w:space="0"/>
            <w:left w:val="none" w:sz="0" w:space="0"/>
            <w:bottom w:val="none" w:sz="0" w:space="0"/>
            <w:right w:val="none" w:sz="0" w:space="0"/>
          </w:pgBorders>
          <w:pgNumType w:fmt="decimal"/>
          <w:cols w:space="425" w:num="1"/>
          <w:rtlGutter w:val="0"/>
          <w:docGrid w:type="lines" w:linePitch="312" w:charSpace="0"/>
        </w:sect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8"/>
        <w:gridCol w:w="1278"/>
        <w:gridCol w:w="642"/>
        <w:gridCol w:w="2266"/>
        <w:gridCol w:w="926"/>
        <w:gridCol w:w="1278"/>
        <w:gridCol w:w="1281"/>
      </w:tblGrid>
      <w:tr w14:paraId="7BFB8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7" w:hRule="atLeast"/>
        </w:trPr>
        <w:tc>
          <w:tcPr>
            <w:tcW w:w="5000" w:type="pct"/>
            <w:gridSpan w:val="7"/>
            <w:tcBorders>
              <w:top w:val="nil"/>
              <w:left w:val="nil"/>
              <w:bottom w:val="single" w:color="auto" w:sz="4" w:space="0"/>
              <w:right w:val="nil"/>
            </w:tcBorders>
            <w:shd w:val="clear" w:color="auto" w:fill="auto"/>
            <w:noWrap/>
            <w:vAlign w:val="center"/>
          </w:tcPr>
          <w:p w14:paraId="7EEBE5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仿宋简体" w:hAnsi="方正仿宋简体" w:eastAsia="方正仿宋简体" w:cs="方正仿宋简体"/>
                <w:b/>
                <w:bCs/>
                <w:i w:val="0"/>
                <w:iCs w:val="0"/>
                <w:color w:val="000000"/>
                <w:sz w:val="36"/>
                <w:szCs w:val="36"/>
                <w:u w:val="none"/>
              </w:rPr>
            </w:pPr>
            <w:r>
              <w:rPr>
                <w:rFonts w:hint="eastAsia" w:ascii="方正仿宋简体" w:hAnsi="方正仿宋简体" w:eastAsia="方正仿宋简体" w:cs="方正仿宋简体"/>
                <w:b/>
                <w:bCs w:val="0"/>
                <w:sz w:val="32"/>
                <w:szCs w:val="32"/>
                <w:lang w:val="en-US" w:eastAsia="zh-CN"/>
              </w:rPr>
              <w:t>（三）江门市出生缺陷防控项目经费使用情况月度汇总表（****年**月）</w:t>
            </w:r>
          </w:p>
        </w:tc>
      </w:tr>
      <w:tr w14:paraId="05DE9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305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A4C2C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bCs/>
                <w:i w:val="0"/>
                <w:iCs w:val="0"/>
                <w:color w:val="000000"/>
                <w:sz w:val="22"/>
                <w:szCs w:val="22"/>
                <w:u w:val="none"/>
              </w:rPr>
            </w:pPr>
            <w:r>
              <w:rPr>
                <w:rFonts w:hint="eastAsia" w:ascii="方正仿宋简体" w:hAnsi="方正仿宋简体" w:eastAsia="方正仿宋简体" w:cs="方正仿宋简体"/>
                <w:b/>
                <w:bCs/>
                <w:i w:val="0"/>
                <w:iCs w:val="0"/>
                <w:color w:val="000000"/>
                <w:kern w:val="0"/>
                <w:sz w:val="22"/>
                <w:szCs w:val="22"/>
                <w:u w:val="none"/>
                <w:lang w:val="en-US" w:eastAsia="zh-CN" w:bidi="ar"/>
              </w:rPr>
              <w:t>费用统计单位（盖章）：</w:t>
            </w:r>
          </w:p>
        </w:tc>
        <w:tc>
          <w:tcPr>
            <w:tcW w:w="194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21C26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简体" w:hAnsi="方正仿宋简体" w:eastAsia="方正仿宋简体" w:cs="方正仿宋简体"/>
                <w:b/>
                <w:bCs/>
                <w:i w:val="0"/>
                <w:iCs w:val="0"/>
                <w:color w:val="000000"/>
                <w:sz w:val="22"/>
                <w:szCs w:val="22"/>
                <w:u w:val="none"/>
                <w:lang w:val="en-US"/>
              </w:rPr>
            </w:pPr>
            <w:r>
              <w:rPr>
                <w:rFonts w:hint="eastAsia" w:ascii="方正仿宋简体" w:hAnsi="方正仿宋简体" w:eastAsia="方正仿宋简体" w:cs="方正仿宋简体"/>
                <w:b/>
                <w:bCs/>
                <w:i w:val="0"/>
                <w:iCs w:val="0"/>
                <w:color w:val="000000"/>
                <w:kern w:val="0"/>
                <w:sz w:val="22"/>
                <w:szCs w:val="22"/>
                <w:u w:val="none"/>
                <w:lang w:val="en-US" w:eastAsia="zh-CN" w:bidi="ar"/>
              </w:rPr>
              <w:t>统计人：****</w:t>
            </w:r>
          </w:p>
        </w:tc>
      </w:tr>
      <w:tr w14:paraId="3C454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3052" w:type="pct"/>
            <w:gridSpan w:val="4"/>
            <w:tcBorders>
              <w:top w:val="single" w:color="auto" w:sz="4" w:space="0"/>
              <w:left w:val="single" w:color="000000" w:sz="4" w:space="0"/>
              <w:bottom w:val="single" w:color="000000" w:sz="4" w:space="0"/>
              <w:right w:val="single" w:color="000000" w:sz="4" w:space="0"/>
            </w:tcBorders>
            <w:shd w:val="clear" w:color="auto" w:fill="auto"/>
            <w:vAlign w:val="center"/>
          </w:tcPr>
          <w:p w14:paraId="185889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bCs/>
                <w:i w:val="0"/>
                <w:iCs w:val="0"/>
                <w:color w:val="000000"/>
                <w:sz w:val="32"/>
                <w:szCs w:val="32"/>
                <w:u w:val="none"/>
              </w:rPr>
            </w:pPr>
            <w:r>
              <w:rPr>
                <w:rFonts w:hint="eastAsia" w:ascii="方正仿宋简体" w:hAnsi="方正仿宋简体" w:eastAsia="方正仿宋简体" w:cs="方正仿宋简体"/>
                <w:b/>
                <w:bCs/>
                <w:i w:val="0"/>
                <w:iCs w:val="0"/>
                <w:color w:val="000000"/>
                <w:kern w:val="0"/>
                <w:sz w:val="32"/>
                <w:szCs w:val="32"/>
                <w:u w:val="none"/>
                <w:lang w:val="en-US" w:eastAsia="zh-CN" w:bidi="ar"/>
              </w:rPr>
              <w:t>***机构</w:t>
            </w:r>
            <w:r>
              <w:rPr>
                <w:rFonts w:hint="eastAsia" w:ascii="方正仿宋简体" w:hAnsi="方正仿宋简体" w:eastAsia="方正仿宋简体" w:cs="方正仿宋简体"/>
                <w:b/>
                <w:bCs/>
                <w:i w:val="0"/>
                <w:iCs w:val="0"/>
                <w:color w:val="000000"/>
                <w:kern w:val="0"/>
                <w:sz w:val="32"/>
                <w:szCs w:val="32"/>
                <w:u w:val="none"/>
                <w:lang w:val="en-US" w:eastAsia="zh-CN" w:bidi="ar"/>
              </w:rPr>
              <w:br w:type="textWrapping"/>
            </w:r>
            <w:r>
              <w:rPr>
                <w:rFonts w:hint="eastAsia" w:ascii="方正仿宋简体" w:hAnsi="方正仿宋简体" w:eastAsia="方正仿宋简体" w:cs="方正仿宋简体"/>
                <w:b/>
                <w:bCs/>
                <w:i w:val="0"/>
                <w:iCs w:val="0"/>
                <w:color w:val="000000"/>
                <w:kern w:val="0"/>
                <w:sz w:val="32"/>
                <w:szCs w:val="32"/>
                <w:u w:val="none"/>
                <w:lang w:val="en-US" w:eastAsia="zh-CN" w:bidi="ar"/>
              </w:rPr>
              <w:t>（**区）</w:t>
            </w:r>
          </w:p>
        </w:tc>
        <w:tc>
          <w:tcPr>
            <w:tcW w:w="517" w:type="pct"/>
            <w:tcBorders>
              <w:top w:val="single" w:color="auto" w:sz="4" w:space="0"/>
              <w:left w:val="single" w:color="000000" w:sz="4" w:space="0"/>
              <w:bottom w:val="single" w:color="000000" w:sz="4" w:space="0"/>
              <w:right w:val="single" w:color="000000" w:sz="4" w:space="0"/>
            </w:tcBorders>
            <w:shd w:val="clear" w:color="auto" w:fill="auto"/>
            <w:vAlign w:val="center"/>
          </w:tcPr>
          <w:p w14:paraId="229D6F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例数</w:t>
            </w:r>
          </w:p>
        </w:tc>
        <w:tc>
          <w:tcPr>
            <w:tcW w:w="714" w:type="pct"/>
            <w:tcBorders>
              <w:top w:val="single" w:color="auto" w:sz="4" w:space="0"/>
              <w:left w:val="single" w:color="000000" w:sz="4" w:space="0"/>
              <w:bottom w:val="single" w:color="000000" w:sz="4" w:space="0"/>
              <w:right w:val="single" w:color="000000" w:sz="4" w:space="0"/>
            </w:tcBorders>
            <w:shd w:val="clear" w:color="auto" w:fill="auto"/>
            <w:vAlign w:val="center"/>
          </w:tcPr>
          <w:p w14:paraId="7B4E24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结算单价（元）</w:t>
            </w:r>
          </w:p>
        </w:tc>
        <w:tc>
          <w:tcPr>
            <w:tcW w:w="715" w:type="pct"/>
            <w:tcBorders>
              <w:top w:val="single" w:color="auto" w:sz="4" w:space="0"/>
              <w:left w:val="single" w:color="000000" w:sz="4" w:space="0"/>
              <w:bottom w:val="single" w:color="000000" w:sz="4" w:space="0"/>
              <w:right w:val="single" w:color="000000" w:sz="4" w:space="0"/>
            </w:tcBorders>
            <w:shd w:val="clear" w:color="auto" w:fill="auto"/>
            <w:vAlign w:val="center"/>
          </w:tcPr>
          <w:p w14:paraId="3E8CD6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金额（元）</w:t>
            </w:r>
          </w:p>
        </w:tc>
      </w:tr>
      <w:tr w14:paraId="11E3C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FB5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需方补助经费</w:t>
            </w:r>
          </w:p>
        </w:tc>
        <w:tc>
          <w:tcPr>
            <w:tcW w:w="107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9F1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地贫防控</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28C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血红蛋白分析</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6AF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A6AF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iCs w:val="0"/>
                <w:color w:val="000000"/>
                <w:sz w:val="24"/>
                <w:szCs w:val="24"/>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732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0CD73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BC19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10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34B5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565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基因检测</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5DC1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2BA28">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iCs w:val="0"/>
                <w:color w:val="000000"/>
                <w:sz w:val="24"/>
                <w:szCs w:val="24"/>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0A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05DFD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6F2D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10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DB48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A28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产前诊断</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58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E4F2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iCs w:val="0"/>
                <w:color w:val="000000"/>
                <w:sz w:val="24"/>
                <w:szCs w:val="24"/>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3A17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35365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1ED7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107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4D6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出生缺陷防控（产筛部分）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B6F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孕早期超声筛查（NT）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E75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D537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iCs w:val="0"/>
                <w:color w:val="000000"/>
                <w:sz w:val="24"/>
                <w:szCs w:val="24"/>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B83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341BA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1AF8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10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2FB8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ED0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早期唐氏血清</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EB7F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C0D8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iCs w:val="0"/>
                <w:color w:val="000000"/>
                <w:sz w:val="24"/>
                <w:szCs w:val="24"/>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B0A8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2B074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A042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10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2E4C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A1D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中期唐氏血清</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75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2E22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iCs w:val="0"/>
                <w:color w:val="000000"/>
                <w:sz w:val="24"/>
                <w:szCs w:val="24"/>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B91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433DD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E357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10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6F7B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365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NIPT检查</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533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71D4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iCs w:val="0"/>
                <w:color w:val="000000"/>
                <w:sz w:val="24"/>
                <w:szCs w:val="24"/>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CDB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69230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trPr>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0EC4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10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F319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243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严重致死致残性结构畸形筛查（II级）</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926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CDDDE">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iCs w:val="0"/>
                <w:color w:val="000000"/>
                <w:sz w:val="24"/>
                <w:szCs w:val="24"/>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AED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64C03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9714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107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BB8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出生缺陷防控（产前诊断）</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C30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唐氏综合征及其他致死致残性染色体病异常</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DD6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75598">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iCs w:val="0"/>
                <w:color w:val="000000"/>
                <w:sz w:val="24"/>
                <w:szCs w:val="24"/>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392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7127E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1523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10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47C14">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650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严重致死致残性结构畸形</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52A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0D3F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iCs w:val="0"/>
                <w:color w:val="000000"/>
                <w:sz w:val="24"/>
                <w:szCs w:val="24"/>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E67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4A2F6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D9B0E">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10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8957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8DA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其他严重致死致残基因疾病</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C9F4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2DF4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iCs w:val="0"/>
                <w:color w:val="000000"/>
                <w:sz w:val="24"/>
                <w:szCs w:val="24"/>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6F2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3AB63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563A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10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5539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D05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III级超声诊断</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DD2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8BEB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iCs w:val="0"/>
                <w:color w:val="000000"/>
                <w:sz w:val="24"/>
                <w:szCs w:val="24"/>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69C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0987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9C98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10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6890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EF3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胎儿心脏彩超（超声心动图）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93A2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0C4B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iCs w:val="0"/>
                <w:color w:val="000000"/>
                <w:sz w:val="24"/>
                <w:szCs w:val="24"/>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D12C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5F000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0038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0B1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出生缺陷防控（新筛部分）</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0E9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初筛</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00F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新生儿遗传代谢病（四种）</w:t>
            </w:r>
          </w:p>
        </w:tc>
        <w:tc>
          <w:tcPr>
            <w:tcW w:w="194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7B6B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lang w:eastAsia="zh-CN"/>
              </w:rPr>
            </w:pPr>
            <w:r>
              <w:rPr>
                <w:rFonts w:hint="eastAsia" w:ascii="方正仿宋简体" w:hAnsi="方正仿宋简体" w:eastAsia="方正仿宋简体" w:cs="方正仿宋简体"/>
                <w:i w:val="0"/>
                <w:iCs w:val="0"/>
                <w:color w:val="000000"/>
                <w:sz w:val="22"/>
                <w:szCs w:val="22"/>
                <w:u w:val="none"/>
                <w:lang w:eastAsia="zh-CN"/>
              </w:rPr>
              <w:t>季度结算，以新筛中心结算表为准</w:t>
            </w:r>
          </w:p>
        </w:tc>
      </w:tr>
      <w:tr w14:paraId="0B81B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4843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B400E">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0F7E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9DF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新生儿听力筛查</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D91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E91F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iCs w:val="0"/>
                <w:color w:val="000000"/>
                <w:sz w:val="24"/>
                <w:szCs w:val="24"/>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27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5AF9A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FB522">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216C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3DE8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858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早产儿视网膜病变</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5F01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EBBE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iCs w:val="0"/>
                <w:color w:val="000000"/>
                <w:sz w:val="24"/>
                <w:szCs w:val="24"/>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39B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5D0C2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EBF1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4865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D5F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复筛</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8CF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新生儿先天性甲状腺功能减低症</w:t>
            </w:r>
          </w:p>
        </w:tc>
        <w:tc>
          <w:tcPr>
            <w:tcW w:w="1947" w:type="pct"/>
            <w:gridSpan w:val="3"/>
            <w:vMerge w:val="restart"/>
            <w:tcBorders>
              <w:top w:val="single" w:color="000000" w:sz="4" w:space="0"/>
              <w:left w:val="single" w:color="000000" w:sz="4" w:space="0"/>
              <w:right w:val="single" w:color="000000" w:sz="4" w:space="0"/>
            </w:tcBorders>
            <w:shd w:val="clear" w:color="auto" w:fill="auto"/>
            <w:noWrap/>
            <w:vAlign w:val="center"/>
          </w:tcPr>
          <w:p w14:paraId="523DE0D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kern w:val="2"/>
                <w:sz w:val="22"/>
                <w:szCs w:val="22"/>
                <w:u w:val="none"/>
                <w:lang w:val="en-US" w:eastAsia="zh-CN" w:bidi="ar-SA"/>
              </w:rPr>
            </w:pPr>
            <w:r>
              <w:rPr>
                <w:rFonts w:hint="eastAsia" w:ascii="方正仿宋简体" w:hAnsi="方正仿宋简体" w:eastAsia="方正仿宋简体" w:cs="方正仿宋简体"/>
                <w:i w:val="0"/>
                <w:iCs w:val="0"/>
                <w:color w:val="000000"/>
                <w:sz w:val="22"/>
                <w:szCs w:val="22"/>
                <w:u w:val="none"/>
                <w:lang w:eastAsia="zh-CN"/>
              </w:rPr>
              <w:t>季度结算，以新筛中心结算表为准</w:t>
            </w:r>
          </w:p>
        </w:tc>
      </w:tr>
      <w:tr w14:paraId="10A1C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9A0B8">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2AF7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2A704">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CBC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新生儿G6PD缺乏症</w:t>
            </w:r>
          </w:p>
        </w:tc>
        <w:tc>
          <w:tcPr>
            <w:tcW w:w="1947" w:type="pct"/>
            <w:gridSpan w:val="3"/>
            <w:vMerge w:val="continue"/>
            <w:tcBorders>
              <w:left w:val="single" w:color="000000" w:sz="4" w:space="0"/>
              <w:right w:val="single" w:color="000000" w:sz="4" w:space="0"/>
            </w:tcBorders>
            <w:shd w:val="clear" w:color="auto" w:fill="auto"/>
            <w:noWrap/>
            <w:vAlign w:val="center"/>
          </w:tcPr>
          <w:p w14:paraId="21A3512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0C927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17CC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BBE68">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0E7C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E06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新生儿苯丙酮尿症</w:t>
            </w:r>
          </w:p>
        </w:tc>
        <w:tc>
          <w:tcPr>
            <w:tcW w:w="1947" w:type="pct"/>
            <w:gridSpan w:val="3"/>
            <w:vMerge w:val="continue"/>
            <w:tcBorders>
              <w:left w:val="single" w:color="000000" w:sz="4" w:space="0"/>
              <w:right w:val="single" w:color="000000" w:sz="4" w:space="0"/>
            </w:tcBorders>
            <w:shd w:val="clear" w:color="auto" w:fill="auto"/>
            <w:noWrap/>
            <w:vAlign w:val="center"/>
          </w:tcPr>
          <w:p w14:paraId="5EC903F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1D92E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4E6F8">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E2874">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7D05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DD9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新生儿先天性肾上腺皮质增生症</w:t>
            </w:r>
          </w:p>
        </w:tc>
        <w:tc>
          <w:tcPr>
            <w:tcW w:w="1947" w:type="pct"/>
            <w:gridSpan w:val="3"/>
            <w:vMerge w:val="continue"/>
            <w:tcBorders>
              <w:left w:val="single" w:color="000000" w:sz="4" w:space="0"/>
              <w:bottom w:val="single" w:color="000000" w:sz="4" w:space="0"/>
              <w:right w:val="single" w:color="000000" w:sz="4" w:space="0"/>
            </w:tcBorders>
            <w:shd w:val="clear" w:color="auto" w:fill="auto"/>
            <w:noWrap/>
            <w:vAlign w:val="center"/>
          </w:tcPr>
          <w:p w14:paraId="151E2F0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70080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F0C8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A1E1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4BBE4">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807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新生儿听力筛查</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F43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2A98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iCs w:val="0"/>
                <w:color w:val="000000"/>
                <w:sz w:val="24"/>
                <w:szCs w:val="24"/>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C3E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0322C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9FEF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57B12">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1AC5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4CB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早产儿视网膜病变</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BAD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C485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iCs w:val="0"/>
                <w:color w:val="000000"/>
                <w:sz w:val="24"/>
                <w:szCs w:val="24"/>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2AF9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72327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0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4C0E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需方补助支出经费合计（元）</w:t>
            </w:r>
          </w:p>
        </w:tc>
        <w:tc>
          <w:tcPr>
            <w:tcW w:w="194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058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r>
      <w:tr w14:paraId="7D4B4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86" w:type="pct"/>
            <w:gridSpan w:val="3"/>
            <w:tcBorders>
              <w:top w:val="nil"/>
              <w:left w:val="nil"/>
              <w:bottom w:val="nil"/>
              <w:right w:val="nil"/>
            </w:tcBorders>
            <w:shd w:val="clear" w:color="auto" w:fill="auto"/>
            <w:noWrap/>
            <w:vAlign w:val="center"/>
          </w:tcPr>
          <w:p w14:paraId="3D667D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bCs/>
                <w:i w:val="0"/>
                <w:iCs w:val="0"/>
                <w:color w:val="000000"/>
                <w:sz w:val="22"/>
                <w:szCs w:val="22"/>
                <w:u w:val="none"/>
              </w:rPr>
            </w:pPr>
            <w:r>
              <w:rPr>
                <w:rFonts w:hint="eastAsia" w:ascii="方正仿宋简体" w:hAnsi="方正仿宋简体" w:eastAsia="方正仿宋简体" w:cs="方正仿宋简体"/>
                <w:b/>
                <w:bCs/>
                <w:i w:val="0"/>
                <w:iCs w:val="0"/>
                <w:color w:val="000000"/>
                <w:kern w:val="0"/>
                <w:sz w:val="22"/>
                <w:szCs w:val="22"/>
                <w:u w:val="none"/>
                <w:lang w:val="en-US" w:eastAsia="zh-CN" w:bidi="ar"/>
              </w:rPr>
              <w:t>县区卫生健康局审核（盖章）</w:t>
            </w:r>
          </w:p>
        </w:tc>
        <w:tc>
          <w:tcPr>
            <w:tcW w:w="1266" w:type="pct"/>
            <w:tcBorders>
              <w:top w:val="nil"/>
              <w:left w:val="nil"/>
              <w:bottom w:val="nil"/>
              <w:right w:val="nil"/>
            </w:tcBorders>
            <w:shd w:val="clear" w:color="auto" w:fill="auto"/>
            <w:noWrap/>
            <w:vAlign w:val="center"/>
          </w:tcPr>
          <w:p w14:paraId="25063110">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2"/>
                <w:szCs w:val="22"/>
                <w:u w:val="none"/>
              </w:rPr>
            </w:pPr>
          </w:p>
        </w:tc>
        <w:tc>
          <w:tcPr>
            <w:tcW w:w="1947" w:type="pct"/>
            <w:gridSpan w:val="3"/>
            <w:tcBorders>
              <w:top w:val="nil"/>
              <w:left w:val="nil"/>
              <w:bottom w:val="nil"/>
              <w:right w:val="nil"/>
            </w:tcBorders>
            <w:shd w:val="clear" w:color="auto" w:fill="auto"/>
            <w:noWrap/>
            <w:vAlign w:val="center"/>
          </w:tcPr>
          <w:p w14:paraId="324C30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bCs/>
                <w:i w:val="0"/>
                <w:iCs w:val="0"/>
                <w:color w:val="000000"/>
                <w:sz w:val="22"/>
                <w:szCs w:val="22"/>
                <w:u w:val="none"/>
              </w:rPr>
            </w:pPr>
            <w:r>
              <w:rPr>
                <w:rFonts w:hint="eastAsia" w:ascii="方正仿宋简体" w:hAnsi="方正仿宋简体" w:eastAsia="方正仿宋简体" w:cs="方正仿宋简体"/>
                <w:b/>
                <w:bCs/>
                <w:i w:val="0"/>
                <w:iCs w:val="0"/>
                <w:color w:val="000000"/>
                <w:kern w:val="0"/>
                <w:sz w:val="22"/>
                <w:szCs w:val="22"/>
                <w:u w:val="none"/>
                <w:lang w:val="en-US" w:eastAsia="zh-CN" w:bidi="ar"/>
              </w:rPr>
              <w:t>市级卫生健康局审核（盖章）</w:t>
            </w:r>
          </w:p>
        </w:tc>
      </w:tr>
      <w:tr w14:paraId="5AE65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86" w:type="pct"/>
            <w:gridSpan w:val="3"/>
            <w:tcBorders>
              <w:top w:val="nil"/>
              <w:left w:val="nil"/>
              <w:bottom w:val="nil"/>
              <w:right w:val="nil"/>
            </w:tcBorders>
            <w:shd w:val="clear" w:color="auto" w:fill="auto"/>
            <w:noWrap/>
            <w:vAlign w:val="center"/>
          </w:tcPr>
          <w:p w14:paraId="3ADE95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bCs/>
                <w:i w:val="0"/>
                <w:iCs w:val="0"/>
                <w:color w:val="000000"/>
                <w:sz w:val="22"/>
                <w:szCs w:val="22"/>
                <w:u w:val="none"/>
              </w:rPr>
            </w:pPr>
            <w:r>
              <w:rPr>
                <w:rFonts w:hint="eastAsia" w:ascii="方正仿宋简体" w:hAnsi="方正仿宋简体" w:eastAsia="方正仿宋简体" w:cs="方正仿宋简体"/>
                <w:b/>
                <w:bCs/>
                <w:i w:val="0"/>
                <w:iCs w:val="0"/>
                <w:color w:val="000000"/>
                <w:kern w:val="0"/>
                <w:sz w:val="22"/>
                <w:szCs w:val="22"/>
                <w:u w:val="none"/>
                <w:lang w:val="en-US" w:eastAsia="zh-CN" w:bidi="ar"/>
              </w:rPr>
              <w:t>日期：</w:t>
            </w:r>
          </w:p>
        </w:tc>
        <w:tc>
          <w:tcPr>
            <w:tcW w:w="1266" w:type="pct"/>
            <w:tcBorders>
              <w:top w:val="nil"/>
              <w:left w:val="nil"/>
              <w:bottom w:val="nil"/>
              <w:right w:val="nil"/>
            </w:tcBorders>
            <w:shd w:val="clear" w:color="auto" w:fill="auto"/>
            <w:noWrap/>
            <w:vAlign w:val="center"/>
          </w:tcPr>
          <w:p w14:paraId="2F254BE6">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2"/>
                <w:szCs w:val="22"/>
                <w:u w:val="none"/>
              </w:rPr>
            </w:pPr>
          </w:p>
        </w:tc>
        <w:tc>
          <w:tcPr>
            <w:tcW w:w="1947" w:type="pct"/>
            <w:gridSpan w:val="3"/>
            <w:tcBorders>
              <w:top w:val="nil"/>
              <w:left w:val="nil"/>
              <w:bottom w:val="nil"/>
              <w:right w:val="nil"/>
            </w:tcBorders>
            <w:shd w:val="clear" w:color="auto" w:fill="auto"/>
            <w:noWrap/>
            <w:vAlign w:val="center"/>
          </w:tcPr>
          <w:p w14:paraId="208ACA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bCs/>
                <w:i w:val="0"/>
                <w:iCs w:val="0"/>
                <w:color w:val="000000"/>
                <w:sz w:val="22"/>
                <w:szCs w:val="22"/>
                <w:u w:val="none"/>
              </w:rPr>
            </w:pPr>
            <w:r>
              <w:rPr>
                <w:rFonts w:hint="eastAsia" w:ascii="方正仿宋简体" w:hAnsi="方正仿宋简体" w:eastAsia="方正仿宋简体" w:cs="方正仿宋简体"/>
                <w:b/>
                <w:bCs/>
                <w:i w:val="0"/>
                <w:iCs w:val="0"/>
                <w:color w:val="000000"/>
                <w:kern w:val="0"/>
                <w:sz w:val="22"/>
                <w:szCs w:val="22"/>
                <w:u w:val="none"/>
                <w:lang w:val="en-US" w:eastAsia="zh-CN" w:bidi="ar"/>
              </w:rPr>
              <w:t>日期：</w:t>
            </w:r>
          </w:p>
        </w:tc>
      </w:tr>
    </w:tbl>
    <w:p w14:paraId="379FF46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注意：上表（3）为各市直医疗机构、定点服务机构经表（1）、（2）审核无误后，将例数填在本表中，交至县级出生缺陷综合干预中心、各县（市、区）卫生健康部门确认无误后完成结算安排。</w:t>
      </w:r>
    </w:p>
    <w:p w14:paraId="6DACF7F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简体" w:hAnsi="方正仿宋简体" w:eastAsia="方正仿宋简体" w:cs="方正仿宋简体"/>
          <w:bCs/>
          <w:sz w:val="24"/>
          <w:szCs w:val="24"/>
          <w:lang w:val="en-US" w:eastAsia="zh-CN"/>
        </w:rPr>
      </w:pPr>
    </w:p>
    <w:p w14:paraId="5412703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简体" w:hAnsi="方正仿宋简体" w:eastAsia="方正仿宋简体" w:cs="方正仿宋简体"/>
          <w:bCs/>
          <w:sz w:val="24"/>
          <w:szCs w:val="24"/>
          <w:lang w:val="en-US" w:eastAsia="zh-CN"/>
        </w:rPr>
      </w:pPr>
    </w:p>
    <w:p w14:paraId="6997B3D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简体" w:hAnsi="方正仿宋简体" w:eastAsia="方正仿宋简体" w:cs="方正仿宋简体"/>
          <w:bCs/>
          <w:sz w:val="24"/>
          <w:szCs w:val="24"/>
          <w:lang w:val="en-US" w:eastAsia="zh-CN"/>
        </w:rPr>
      </w:pPr>
    </w:p>
    <w:p w14:paraId="0F5447E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简体" w:hAnsi="方正仿宋简体" w:eastAsia="方正仿宋简体" w:cs="方正仿宋简体"/>
          <w:bCs/>
          <w:sz w:val="24"/>
          <w:szCs w:val="24"/>
          <w:lang w:val="en-US" w:eastAsia="zh-CN"/>
        </w:rPr>
      </w:pPr>
    </w:p>
    <w:p w14:paraId="266C9FC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简体" w:hAnsi="方正仿宋简体" w:eastAsia="方正仿宋简体" w:cs="方正仿宋简体"/>
          <w:bCs/>
          <w:sz w:val="24"/>
          <w:szCs w:val="24"/>
          <w:lang w:val="en-US" w:eastAsia="zh-CN"/>
        </w:rPr>
      </w:pPr>
    </w:p>
    <w:p w14:paraId="0CDFC24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简体" w:hAnsi="方正仿宋简体" w:eastAsia="方正仿宋简体" w:cs="方正仿宋简体"/>
          <w:bCs/>
          <w:sz w:val="24"/>
          <w:szCs w:val="24"/>
          <w:lang w:val="en-US" w:eastAsia="zh-CN"/>
        </w:rPr>
      </w:pPr>
    </w:p>
    <w:p w14:paraId="0690909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简体" w:hAnsi="方正仿宋简体" w:eastAsia="方正仿宋简体" w:cs="方正仿宋简体"/>
          <w:bCs/>
          <w:sz w:val="24"/>
          <w:szCs w:val="24"/>
          <w:lang w:val="en-US" w:eastAsia="zh-CN"/>
        </w:rPr>
      </w:pPr>
    </w:p>
    <w:p w14:paraId="184A075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简体" w:hAnsi="方正仿宋简体" w:eastAsia="方正仿宋简体" w:cs="方正仿宋简体"/>
          <w:bCs/>
          <w:sz w:val="24"/>
          <w:szCs w:val="24"/>
          <w:lang w:val="en-US" w:eastAsia="zh-CN"/>
        </w:rPr>
      </w:pPr>
    </w:p>
    <w:p w14:paraId="26D494B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简体" w:hAnsi="方正仿宋简体" w:eastAsia="方正仿宋简体" w:cs="方正仿宋简体"/>
          <w:bCs/>
          <w:sz w:val="24"/>
          <w:szCs w:val="24"/>
          <w:lang w:val="en-US" w:eastAsia="zh-CN"/>
        </w:rPr>
      </w:pPr>
    </w:p>
    <w:p w14:paraId="732AD22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简体" w:hAnsi="方正仿宋简体" w:eastAsia="方正仿宋简体" w:cs="方正仿宋简体"/>
          <w:bCs/>
          <w:sz w:val="24"/>
          <w:szCs w:val="24"/>
          <w:lang w:val="en-US" w:eastAsia="zh-CN"/>
        </w:rPr>
      </w:pPr>
    </w:p>
    <w:p w14:paraId="45A7EB7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简体" w:hAnsi="方正仿宋简体" w:eastAsia="方正仿宋简体" w:cs="方正仿宋简体"/>
          <w:bCs/>
          <w:sz w:val="24"/>
          <w:szCs w:val="24"/>
          <w:lang w:val="en-US" w:eastAsia="zh-CN"/>
        </w:rPr>
      </w:pPr>
    </w:p>
    <w:p w14:paraId="3A0969D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简体" w:hAnsi="方正仿宋简体" w:eastAsia="方正仿宋简体" w:cs="方正仿宋简体"/>
          <w:bCs/>
          <w:sz w:val="24"/>
          <w:szCs w:val="24"/>
          <w:lang w:val="en-US" w:eastAsia="zh-CN"/>
        </w:rPr>
      </w:pPr>
    </w:p>
    <w:p w14:paraId="403351F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简体" w:hAnsi="方正仿宋简体" w:eastAsia="方正仿宋简体" w:cs="方正仿宋简体"/>
          <w:bCs/>
          <w:sz w:val="24"/>
          <w:szCs w:val="24"/>
          <w:lang w:val="en-US" w:eastAsia="zh-CN"/>
        </w:rPr>
      </w:pPr>
    </w:p>
    <w:p w14:paraId="082B30C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方正仿宋简体" w:hAnsi="方正仿宋简体" w:eastAsia="方正仿宋简体" w:cs="方正仿宋简体"/>
          <w:bCs/>
          <w:sz w:val="24"/>
          <w:szCs w:val="24"/>
          <w:lang w:val="en-US" w:eastAsia="zh-CN"/>
        </w:rPr>
      </w:pPr>
    </w:p>
    <w:p w14:paraId="07607C38">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方正黑体简体" w:hAnsi="方正黑体简体" w:eastAsia="方正黑体简体" w:cs="方正黑体简体"/>
          <w:snapToGrid w:val="0"/>
          <w:kern w:val="0"/>
          <w:sz w:val="32"/>
          <w:szCs w:val="32"/>
          <w:lang w:val="en-US" w:eastAsia="zh-CN"/>
        </w:rPr>
        <w:sectPr>
          <w:pgSz w:w="11906" w:h="16838"/>
          <w:pgMar w:top="1587" w:right="1587" w:bottom="1587" w:left="1587" w:header="851" w:footer="1134" w:gutter="0"/>
          <w:pgBorders>
            <w:top w:val="none" w:sz="0" w:space="0"/>
            <w:left w:val="none" w:sz="0" w:space="0"/>
            <w:bottom w:val="none" w:sz="0" w:space="0"/>
            <w:right w:val="none" w:sz="0" w:space="0"/>
          </w:pgBorders>
          <w:pgNumType w:fmt="decimal"/>
          <w:cols w:space="425" w:num="1"/>
          <w:rtlGutter w:val="0"/>
          <w:docGrid w:type="lines" w:linePitch="312" w:charSpace="0"/>
        </w:sectPr>
      </w:pPr>
    </w:p>
    <w:p w14:paraId="48C6390C">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附件5</w:t>
      </w:r>
    </w:p>
    <w:p w14:paraId="7FBCCA98">
      <w:pPr>
        <w:keepNext w:val="0"/>
        <w:keepLines w:val="0"/>
        <w:pageBreakBefore w:val="0"/>
        <w:widowControl w:val="0"/>
        <w:kinsoku/>
        <w:wordWrap/>
        <w:overflowPunct/>
        <w:topLinePunct w:val="0"/>
        <w:autoSpaceDE/>
        <w:autoSpaceDN/>
        <w:bidi w:val="0"/>
        <w:adjustRightInd/>
        <w:snapToGrid/>
        <w:spacing w:before="157" w:beforeLines="50" w:after="157" w:afterLines="50" w:line="640" w:lineRule="exact"/>
        <w:jc w:val="center"/>
        <w:textAlignment w:val="auto"/>
        <w:rPr>
          <w:rFonts w:hint="eastAsia" w:eastAsia="方正小标宋简体" w:cs="Times New Roman"/>
          <w:bCs/>
          <w:sz w:val="40"/>
          <w:szCs w:val="40"/>
          <w:lang w:val="en-US" w:eastAsia="zh-CN"/>
        </w:rPr>
      </w:pPr>
      <w:r>
        <w:rPr>
          <w:rFonts w:hint="eastAsia" w:eastAsia="方正小标宋简体" w:cs="Times New Roman"/>
          <w:bCs/>
          <w:sz w:val="40"/>
          <w:szCs w:val="40"/>
          <w:lang w:val="en-US" w:eastAsia="zh-CN"/>
        </w:rPr>
        <w:t>江门市出生缺陷综合防控项目——地贫月报表</w:t>
      </w:r>
    </w:p>
    <w:p w14:paraId="171D40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b/>
          <w:bCs w:val="0"/>
          <w:sz w:val="32"/>
          <w:szCs w:val="32"/>
          <w:lang w:val="en-US" w:eastAsia="zh-CN"/>
        </w:rPr>
      </w:pPr>
      <w:r>
        <w:rPr>
          <w:rFonts w:hint="eastAsia" w:ascii="方正仿宋简体" w:hAnsi="方正仿宋简体" w:eastAsia="方正仿宋简体" w:cs="方正仿宋简体"/>
          <w:b/>
          <w:bCs w:val="0"/>
          <w:sz w:val="32"/>
          <w:szCs w:val="32"/>
          <w:lang w:val="en-US" w:eastAsia="zh-CN"/>
        </w:rPr>
        <w:t>（一）地贫筛查月报表</w:t>
      </w:r>
    </w:p>
    <w:tbl>
      <w:tblPr>
        <w:tblStyle w:val="5"/>
        <w:tblW w:w="531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2"/>
        <w:gridCol w:w="4052"/>
        <w:gridCol w:w="4528"/>
      </w:tblGrid>
      <w:tr w14:paraId="10F9F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DAC2">
            <w:pPr>
              <w:keepNext w:val="0"/>
              <w:keepLines w:val="0"/>
              <w:pageBreakBefore w:val="0"/>
              <w:widowControl/>
              <w:kinsoku/>
              <w:wordWrap/>
              <w:overflowPunct/>
              <w:topLinePunct w:val="0"/>
              <w:autoSpaceDE/>
              <w:autoSpaceDN/>
              <w:bidi w:val="0"/>
              <w:adjustRightInd/>
              <w:snapToGrid/>
              <w:spacing w:line="400" w:lineRule="exact"/>
              <w:rPr>
                <w:rFonts w:hint="eastAsia" w:ascii="方正仿宋简体" w:hAnsi="方正仿宋简体" w:eastAsia="方正仿宋简体" w:cs="方正仿宋简体"/>
                <w:i w:val="0"/>
                <w:iCs w:val="0"/>
                <w:color w:val="000000"/>
                <w:sz w:val="24"/>
                <w:szCs w:val="24"/>
                <w:u w:val="none"/>
              </w:rPr>
            </w:pPr>
          </w:p>
        </w:tc>
        <w:tc>
          <w:tcPr>
            <w:tcW w:w="2129" w:type="pct"/>
            <w:tcBorders>
              <w:top w:val="single" w:color="000000" w:sz="4" w:space="0"/>
              <w:left w:val="nil"/>
              <w:bottom w:val="single" w:color="000000" w:sz="4" w:space="0"/>
              <w:right w:val="single" w:color="000000" w:sz="4" w:space="0"/>
            </w:tcBorders>
            <w:shd w:val="clear" w:color="auto" w:fill="auto"/>
            <w:noWrap/>
            <w:vAlign w:val="center"/>
          </w:tcPr>
          <w:p w14:paraId="027577F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机构名称</w:t>
            </w:r>
          </w:p>
        </w:tc>
        <w:tc>
          <w:tcPr>
            <w:tcW w:w="2379" w:type="pct"/>
            <w:tcBorders>
              <w:top w:val="single" w:color="000000" w:sz="4" w:space="0"/>
              <w:left w:val="nil"/>
              <w:bottom w:val="single" w:color="000000" w:sz="4" w:space="0"/>
              <w:right w:val="single" w:color="000000" w:sz="4" w:space="0"/>
            </w:tcBorders>
            <w:shd w:val="clear" w:color="auto" w:fill="auto"/>
            <w:noWrap/>
            <w:vAlign w:val="center"/>
          </w:tcPr>
          <w:p w14:paraId="470103E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备注</w:t>
            </w:r>
          </w:p>
        </w:tc>
      </w:tr>
      <w:tr w14:paraId="1D41D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C21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活产分娩情况</w:t>
            </w:r>
          </w:p>
        </w:tc>
        <w:tc>
          <w:tcPr>
            <w:tcW w:w="2129" w:type="pct"/>
            <w:tcBorders>
              <w:top w:val="nil"/>
              <w:left w:val="nil"/>
              <w:bottom w:val="single" w:color="000000" w:sz="4" w:space="0"/>
              <w:right w:val="single" w:color="000000" w:sz="4" w:space="0"/>
            </w:tcBorders>
            <w:shd w:val="clear" w:color="auto" w:fill="auto"/>
            <w:vAlign w:val="center"/>
          </w:tcPr>
          <w:p w14:paraId="3FCD6DD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1门诊首次就诊孕妇人数</w:t>
            </w:r>
          </w:p>
        </w:tc>
        <w:tc>
          <w:tcPr>
            <w:tcW w:w="2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6D5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初次建档孕产妇数</w:t>
            </w:r>
          </w:p>
        </w:tc>
      </w:tr>
      <w:tr w14:paraId="75E80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80B7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2129" w:type="pct"/>
            <w:tcBorders>
              <w:top w:val="nil"/>
              <w:left w:val="nil"/>
              <w:bottom w:val="single" w:color="000000" w:sz="4" w:space="0"/>
              <w:right w:val="single" w:color="000000" w:sz="4" w:space="0"/>
            </w:tcBorders>
            <w:shd w:val="clear" w:color="auto" w:fill="auto"/>
            <w:vAlign w:val="center"/>
          </w:tcPr>
          <w:p w14:paraId="34DA3C0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2分娩胎儿总数</w:t>
            </w:r>
          </w:p>
        </w:tc>
        <w:tc>
          <w:tcPr>
            <w:tcW w:w="2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31EB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＜28周存活儿及≥28周以上活产均需要统计</w:t>
            </w:r>
          </w:p>
        </w:tc>
      </w:tr>
      <w:tr w14:paraId="05834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38F5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2129" w:type="pct"/>
            <w:tcBorders>
              <w:top w:val="nil"/>
              <w:left w:val="nil"/>
              <w:bottom w:val="single" w:color="000000" w:sz="4" w:space="0"/>
              <w:right w:val="single" w:color="000000" w:sz="4" w:space="0"/>
            </w:tcBorders>
            <w:shd w:val="clear" w:color="auto" w:fill="auto"/>
            <w:vAlign w:val="center"/>
          </w:tcPr>
          <w:p w14:paraId="6EC7E62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3其中：活产胎儿数</w:t>
            </w:r>
          </w:p>
        </w:tc>
        <w:tc>
          <w:tcPr>
            <w:tcW w:w="2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ABA6E">
            <w:pPr>
              <w:keepNext w:val="0"/>
              <w:keepLines w:val="0"/>
              <w:pageBreakBefore w:val="0"/>
              <w:widowControl/>
              <w:kinsoku/>
              <w:wordWrap/>
              <w:overflowPunct/>
              <w:topLinePunct w:val="0"/>
              <w:autoSpaceDE/>
              <w:autoSpaceDN/>
              <w:bidi w:val="0"/>
              <w:adjustRightInd/>
              <w:snapToGrid/>
              <w:spacing w:line="380" w:lineRule="exact"/>
              <w:jc w:val="left"/>
              <w:rPr>
                <w:rFonts w:hint="eastAsia" w:ascii="方正仿宋简体" w:hAnsi="方正仿宋简体" w:eastAsia="方正仿宋简体" w:cs="方正仿宋简体"/>
                <w:i w:val="0"/>
                <w:iCs w:val="0"/>
                <w:color w:val="000000"/>
                <w:sz w:val="24"/>
                <w:szCs w:val="24"/>
                <w:u w:val="none"/>
              </w:rPr>
            </w:pPr>
          </w:p>
        </w:tc>
      </w:tr>
      <w:tr w14:paraId="239BE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D04B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2129" w:type="pct"/>
            <w:tcBorders>
              <w:top w:val="nil"/>
              <w:left w:val="nil"/>
              <w:bottom w:val="single" w:color="000000" w:sz="4" w:space="0"/>
              <w:right w:val="single" w:color="000000" w:sz="4" w:space="0"/>
            </w:tcBorders>
            <w:shd w:val="clear" w:color="auto" w:fill="auto"/>
            <w:vAlign w:val="center"/>
          </w:tcPr>
          <w:p w14:paraId="1202659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4胎儿水肿综合征例数</w:t>
            </w:r>
          </w:p>
        </w:tc>
        <w:tc>
          <w:tcPr>
            <w:tcW w:w="2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36B4F">
            <w:pPr>
              <w:keepNext w:val="0"/>
              <w:keepLines w:val="0"/>
              <w:pageBreakBefore w:val="0"/>
              <w:widowControl/>
              <w:kinsoku/>
              <w:wordWrap/>
              <w:overflowPunct/>
              <w:topLinePunct w:val="0"/>
              <w:autoSpaceDE/>
              <w:autoSpaceDN/>
              <w:bidi w:val="0"/>
              <w:adjustRightInd/>
              <w:snapToGrid/>
              <w:spacing w:line="380" w:lineRule="exact"/>
              <w:jc w:val="left"/>
              <w:rPr>
                <w:rFonts w:hint="eastAsia" w:ascii="方正仿宋简体" w:hAnsi="方正仿宋简体" w:eastAsia="方正仿宋简体" w:cs="方正仿宋简体"/>
                <w:i w:val="0"/>
                <w:iCs w:val="0"/>
                <w:color w:val="000000"/>
                <w:sz w:val="24"/>
                <w:szCs w:val="24"/>
                <w:u w:val="none"/>
              </w:rPr>
            </w:pPr>
          </w:p>
        </w:tc>
      </w:tr>
      <w:tr w14:paraId="628CD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43F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死胎死产、终止妊娠情况</w:t>
            </w:r>
          </w:p>
        </w:tc>
        <w:tc>
          <w:tcPr>
            <w:tcW w:w="2129" w:type="pct"/>
            <w:tcBorders>
              <w:top w:val="nil"/>
              <w:left w:val="nil"/>
              <w:bottom w:val="single" w:color="000000" w:sz="4" w:space="0"/>
              <w:right w:val="single" w:color="000000" w:sz="4" w:space="0"/>
            </w:tcBorders>
            <w:shd w:val="clear" w:color="auto" w:fill="auto"/>
            <w:vAlign w:val="center"/>
          </w:tcPr>
          <w:p w14:paraId="4D9F734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5死胎数</w:t>
            </w:r>
          </w:p>
        </w:tc>
        <w:tc>
          <w:tcPr>
            <w:tcW w:w="2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0F95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≥14周以上的死胎死产、终止妊娠均需要统计（统计的为胎儿数，非孕产妇数）</w:t>
            </w:r>
          </w:p>
        </w:tc>
      </w:tr>
      <w:tr w14:paraId="79D86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D4DD2">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2129" w:type="pct"/>
            <w:tcBorders>
              <w:top w:val="nil"/>
              <w:left w:val="nil"/>
              <w:bottom w:val="single" w:color="000000" w:sz="4" w:space="0"/>
              <w:right w:val="single" w:color="000000" w:sz="4" w:space="0"/>
            </w:tcBorders>
            <w:shd w:val="clear" w:color="auto" w:fill="auto"/>
            <w:vAlign w:val="center"/>
          </w:tcPr>
          <w:p w14:paraId="29A55DA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6其中：治疗性引产胎儿数</w:t>
            </w:r>
          </w:p>
        </w:tc>
        <w:tc>
          <w:tcPr>
            <w:tcW w:w="2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1C947">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i w:val="0"/>
                <w:iCs w:val="0"/>
                <w:color w:val="000000"/>
                <w:sz w:val="24"/>
                <w:szCs w:val="24"/>
                <w:u w:val="none"/>
              </w:rPr>
            </w:pPr>
          </w:p>
        </w:tc>
      </w:tr>
      <w:tr w14:paraId="65A5D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6FA7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2129" w:type="pct"/>
            <w:tcBorders>
              <w:top w:val="nil"/>
              <w:left w:val="nil"/>
              <w:bottom w:val="single" w:color="000000" w:sz="4" w:space="0"/>
              <w:right w:val="single" w:color="000000" w:sz="4" w:space="0"/>
            </w:tcBorders>
            <w:shd w:val="clear" w:color="auto" w:fill="auto"/>
            <w:vAlign w:val="center"/>
          </w:tcPr>
          <w:p w14:paraId="10E7626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7因胎儿水肿引产胎儿数</w:t>
            </w:r>
          </w:p>
        </w:tc>
        <w:tc>
          <w:tcPr>
            <w:tcW w:w="2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03B26">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i w:val="0"/>
                <w:iCs w:val="0"/>
                <w:color w:val="000000"/>
                <w:sz w:val="24"/>
                <w:szCs w:val="24"/>
                <w:u w:val="none"/>
              </w:rPr>
            </w:pPr>
          </w:p>
        </w:tc>
      </w:tr>
      <w:tr w14:paraId="5F9A4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3CF4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2129" w:type="pct"/>
            <w:tcBorders>
              <w:top w:val="nil"/>
              <w:left w:val="nil"/>
              <w:bottom w:val="single" w:color="000000" w:sz="4" w:space="0"/>
              <w:right w:val="single" w:color="000000" w:sz="4" w:space="0"/>
            </w:tcBorders>
            <w:shd w:val="clear" w:color="auto" w:fill="auto"/>
            <w:vAlign w:val="center"/>
          </w:tcPr>
          <w:p w14:paraId="3A383B8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8因中间型地贫引产胎儿数</w:t>
            </w:r>
          </w:p>
        </w:tc>
        <w:tc>
          <w:tcPr>
            <w:tcW w:w="2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21009">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i w:val="0"/>
                <w:iCs w:val="0"/>
                <w:color w:val="000000"/>
                <w:sz w:val="24"/>
                <w:szCs w:val="24"/>
                <w:u w:val="none"/>
              </w:rPr>
            </w:pPr>
          </w:p>
        </w:tc>
      </w:tr>
      <w:tr w14:paraId="05AC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2076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2129" w:type="pct"/>
            <w:tcBorders>
              <w:top w:val="nil"/>
              <w:left w:val="nil"/>
              <w:bottom w:val="single" w:color="000000" w:sz="4" w:space="0"/>
              <w:right w:val="single" w:color="000000" w:sz="4" w:space="0"/>
            </w:tcBorders>
            <w:shd w:val="clear" w:color="auto" w:fill="auto"/>
            <w:vAlign w:val="center"/>
          </w:tcPr>
          <w:p w14:paraId="0CC5678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9因重型α地贫引产胎儿数</w:t>
            </w:r>
          </w:p>
        </w:tc>
        <w:tc>
          <w:tcPr>
            <w:tcW w:w="2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9E510">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i w:val="0"/>
                <w:iCs w:val="0"/>
                <w:color w:val="000000"/>
                <w:sz w:val="24"/>
                <w:szCs w:val="24"/>
                <w:u w:val="none"/>
              </w:rPr>
            </w:pPr>
          </w:p>
        </w:tc>
      </w:tr>
      <w:tr w14:paraId="004CF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8AAD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2129" w:type="pct"/>
            <w:tcBorders>
              <w:top w:val="nil"/>
              <w:left w:val="nil"/>
              <w:bottom w:val="single" w:color="000000" w:sz="4" w:space="0"/>
              <w:right w:val="single" w:color="000000" w:sz="4" w:space="0"/>
            </w:tcBorders>
            <w:shd w:val="clear" w:color="auto" w:fill="auto"/>
            <w:vAlign w:val="center"/>
          </w:tcPr>
          <w:p w14:paraId="45A3A35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10因重型β地贫引产胎儿数</w:t>
            </w:r>
          </w:p>
        </w:tc>
        <w:tc>
          <w:tcPr>
            <w:tcW w:w="2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F420A">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i w:val="0"/>
                <w:iCs w:val="0"/>
                <w:color w:val="000000"/>
                <w:sz w:val="24"/>
                <w:szCs w:val="24"/>
                <w:u w:val="none"/>
              </w:rPr>
            </w:pPr>
          </w:p>
        </w:tc>
      </w:tr>
      <w:tr w14:paraId="1B801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75A6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2129" w:type="pct"/>
            <w:tcBorders>
              <w:top w:val="nil"/>
              <w:left w:val="nil"/>
              <w:bottom w:val="single" w:color="000000" w:sz="4" w:space="0"/>
              <w:right w:val="single" w:color="000000" w:sz="4" w:space="0"/>
            </w:tcBorders>
            <w:shd w:val="clear" w:color="auto" w:fill="auto"/>
            <w:vAlign w:val="center"/>
          </w:tcPr>
          <w:p w14:paraId="17965708">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11因重型α+β地贫引产胎儿数</w:t>
            </w:r>
          </w:p>
        </w:tc>
        <w:tc>
          <w:tcPr>
            <w:tcW w:w="2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9E105">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i w:val="0"/>
                <w:iCs w:val="0"/>
                <w:color w:val="000000"/>
                <w:sz w:val="24"/>
                <w:szCs w:val="24"/>
                <w:u w:val="none"/>
              </w:rPr>
            </w:pPr>
          </w:p>
        </w:tc>
      </w:tr>
      <w:tr w14:paraId="507CD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3720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2129" w:type="pct"/>
            <w:tcBorders>
              <w:top w:val="nil"/>
              <w:left w:val="nil"/>
              <w:bottom w:val="single" w:color="000000" w:sz="4" w:space="0"/>
              <w:right w:val="single" w:color="000000" w:sz="4" w:space="0"/>
            </w:tcBorders>
            <w:shd w:val="clear" w:color="auto" w:fill="auto"/>
            <w:vAlign w:val="center"/>
          </w:tcPr>
          <w:p w14:paraId="705752E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12因其他罕见型重型地贫引产胎儿数</w:t>
            </w:r>
          </w:p>
        </w:tc>
        <w:tc>
          <w:tcPr>
            <w:tcW w:w="2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4FD2F">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i w:val="0"/>
                <w:iCs w:val="0"/>
                <w:color w:val="000000"/>
                <w:sz w:val="24"/>
                <w:szCs w:val="24"/>
                <w:u w:val="none"/>
              </w:rPr>
            </w:pPr>
          </w:p>
        </w:tc>
      </w:tr>
      <w:tr w14:paraId="5EE75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866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初筛血常规检测</w:t>
            </w:r>
          </w:p>
        </w:tc>
        <w:tc>
          <w:tcPr>
            <w:tcW w:w="2129" w:type="pct"/>
            <w:tcBorders>
              <w:top w:val="nil"/>
              <w:left w:val="nil"/>
              <w:bottom w:val="single" w:color="000000" w:sz="4" w:space="0"/>
              <w:right w:val="single" w:color="000000" w:sz="4" w:space="0"/>
            </w:tcBorders>
            <w:shd w:val="clear" w:color="auto" w:fill="auto"/>
            <w:vAlign w:val="center"/>
          </w:tcPr>
          <w:p w14:paraId="5BE20A6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13血常规单方筛查数（女方）</w:t>
            </w:r>
          </w:p>
        </w:tc>
        <w:tc>
          <w:tcPr>
            <w:tcW w:w="2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2A0E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不需要包含婚前孕前检查情况</w:t>
            </w:r>
            <w:r>
              <w:rPr>
                <w:rFonts w:hint="eastAsia" w:ascii="方正仿宋简体" w:hAnsi="方正仿宋简体" w:eastAsia="方正仿宋简体" w:cs="方正仿宋简体"/>
                <w:i w:val="0"/>
                <w:iCs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iCs w:val="0"/>
                <w:color w:val="000000"/>
                <w:kern w:val="0"/>
                <w:sz w:val="24"/>
                <w:szCs w:val="24"/>
                <w:u w:val="none"/>
                <w:lang w:val="en-US" w:eastAsia="zh-CN" w:bidi="ar"/>
              </w:rPr>
              <w:t>13与14存在逻辑关系；</w:t>
            </w:r>
            <w:r>
              <w:rPr>
                <w:rFonts w:hint="eastAsia" w:ascii="方正仿宋简体" w:hAnsi="方正仿宋简体" w:eastAsia="方正仿宋简体" w:cs="方正仿宋简体"/>
                <w:i w:val="0"/>
                <w:iCs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iCs w:val="0"/>
                <w:color w:val="000000"/>
                <w:kern w:val="0"/>
                <w:sz w:val="24"/>
                <w:szCs w:val="24"/>
                <w:u w:val="none"/>
                <w:lang w:val="en-US" w:eastAsia="zh-CN" w:bidi="ar"/>
              </w:rPr>
              <w:t>15与16存在逻辑关系。</w:t>
            </w:r>
          </w:p>
        </w:tc>
      </w:tr>
      <w:tr w14:paraId="76F11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971E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2129" w:type="pct"/>
            <w:tcBorders>
              <w:top w:val="nil"/>
              <w:left w:val="nil"/>
              <w:bottom w:val="single" w:color="000000" w:sz="4" w:space="0"/>
              <w:right w:val="single" w:color="000000" w:sz="4" w:space="0"/>
            </w:tcBorders>
            <w:shd w:val="clear" w:color="auto" w:fill="auto"/>
            <w:vAlign w:val="center"/>
          </w:tcPr>
          <w:p w14:paraId="5B8B013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14血常规单方筛查阳性人数</w:t>
            </w:r>
          </w:p>
        </w:tc>
        <w:tc>
          <w:tcPr>
            <w:tcW w:w="2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E86FC">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i w:val="0"/>
                <w:iCs w:val="0"/>
                <w:color w:val="000000"/>
                <w:sz w:val="24"/>
                <w:szCs w:val="24"/>
                <w:u w:val="none"/>
              </w:rPr>
            </w:pPr>
          </w:p>
        </w:tc>
      </w:tr>
      <w:tr w14:paraId="45AE7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BEA0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2129" w:type="pct"/>
            <w:tcBorders>
              <w:top w:val="nil"/>
              <w:left w:val="nil"/>
              <w:bottom w:val="single" w:color="000000" w:sz="4" w:space="0"/>
              <w:right w:val="single" w:color="000000" w:sz="4" w:space="0"/>
            </w:tcBorders>
            <w:shd w:val="clear" w:color="auto" w:fill="auto"/>
            <w:vAlign w:val="center"/>
          </w:tcPr>
          <w:p w14:paraId="4D8DDB1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仿宋简体" w:hAnsi="方正仿宋简体" w:eastAsia="方正仿宋简体" w:cs="方正仿宋简体"/>
                <w:i w:val="0"/>
                <w:iCs w:val="0"/>
                <w:color w:val="000000"/>
                <w:sz w:val="24"/>
                <w:szCs w:val="24"/>
                <w:u w:val="none"/>
              </w:rPr>
            </w:pPr>
            <w:r>
              <w:rPr>
                <w:rStyle w:val="8"/>
                <w:rFonts w:hint="eastAsia" w:ascii="方正仿宋简体" w:hAnsi="方正仿宋简体" w:eastAsia="方正仿宋简体" w:cs="方正仿宋简体"/>
                <w:sz w:val="24"/>
                <w:szCs w:val="24"/>
                <w:lang w:val="en-US" w:eastAsia="zh-CN" w:bidi="ar"/>
              </w:rPr>
              <w:t>15血常规夫妇检测</w:t>
            </w:r>
            <w:r>
              <w:rPr>
                <w:rStyle w:val="9"/>
                <w:rFonts w:hint="eastAsia" w:ascii="方正仿宋简体" w:hAnsi="方正仿宋简体" w:eastAsia="方正仿宋简体" w:cs="方正仿宋简体"/>
                <w:color w:val="auto"/>
                <w:sz w:val="24"/>
                <w:szCs w:val="24"/>
                <w:lang w:val="en-US" w:eastAsia="zh-CN" w:bidi="ar"/>
              </w:rPr>
              <w:t>对数</w:t>
            </w:r>
            <w:r>
              <w:rPr>
                <w:rStyle w:val="8"/>
                <w:rFonts w:hint="eastAsia" w:ascii="方正仿宋简体" w:hAnsi="方正仿宋简体" w:eastAsia="方正仿宋简体" w:cs="方正仿宋简体"/>
                <w:color w:val="auto"/>
                <w:sz w:val="24"/>
                <w:szCs w:val="24"/>
                <w:lang w:val="en-US" w:eastAsia="zh-CN" w:bidi="ar"/>
              </w:rPr>
              <w:t>（双方）</w:t>
            </w:r>
          </w:p>
        </w:tc>
        <w:tc>
          <w:tcPr>
            <w:tcW w:w="2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5D873">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i w:val="0"/>
                <w:iCs w:val="0"/>
                <w:color w:val="000000"/>
                <w:sz w:val="24"/>
                <w:szCs w:val="24"/>
                <w:u w:val="none"/>
              </w:rPr>
            </w:pPr>
          </w:p>
        </w:tc>
      </w:tr>
      <w:tr w14:paraId="0B039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B965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2129" w:type="pct"/>
            <w:tcBorders>
              <w:top w:val="nil"/>
              <w:left w:val="nil"/>
              <w:bottom w:val="single" w:color="000000" w:sz="4" w:space="0"/>
              <w:right w:val="single" w:color="000000" w:sz="4" w:space="0"/>
            </w:tcBorders>
            <w:shd w:val="clear" w:color="auto" w:fill="auto"/>
            <w:vAlign w:val="center"/>
          </w:tcPr>
          <w:p w14:paraId="2F082D0A">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16血常规一方/双方阳性对数</w:t>
            </w:r>
          </w:p>
        </w:tc>
        <w:tc>
          <w:tcPr>
            <w:tcW w:w="2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A8144">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i w:val="0"/>
                <w:iCs w:val="0"/>
                <w:color w:val="000000"/>
                <w:sz w:val="24"/>
                <w:szCs w:val="24"/>
                <w:u w:val="none"/>
              </w:rPr>
            </w:pPr>
          </w:p>
        </w:tc>
      </w:tr>
      <w:tr w14:paraId="03857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037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复筛电泳</w:t>
            </w:r>
          </w:p>
        </w:tc>
        <w:tc>
          <w:tcPr>
            <w:tcW w:w="2129" w:type="pct"/>
            <w:tcBorders>
              <w:top w:val="nil"/>
              <w:left w:val="nil"/>
              <w:bottom w:val="single" w:color="000000" w:sz="4" w:space="0"/>
              <w:right w:val="single" w:color="000000" w:sz="4" w:space="0"/>
            </w:tcBorders>
            <w:shd w:val="clear" w:color="auto" w:fill="auto"/>
            <w:vAlign w:val="center"/>
          </w:tcPr>
          <w:p w14:paraId="4AF8F05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17双方血红蛋白电泳复筛对数</w:t>
            </w:r>
          </w:p>
        </w:tc>
        <w:tc>
          <w:tcPr>
            <w:tcW w:w="2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68E8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不需与血常规检测存在逻辑关系</w:t>
            </w:r>
          </w:p>
        </w:tc>
      </w:tr>
      <w:tr w14:paraId="21909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63A1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2129" w:type="pct"/>
            <w:tcBorders>
              <w:top w:val="nil"/>
              <w:left w:val="nil"/>
              <w:bottom w:val="single" w:color="000000" w:sz="4" w:space="0"/>
              <w:right w:val="single" w:color="000000" w:sz="4" w:space="0"/>
            </w:tcBorders>
            <w:shd w:val="clear" w:color="auto" w:fill="auto"/>
            <w:vAlign w:val="center"/>
          </w:tcPr>
          <w:p w14:paraId="7BA35108">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仿宋简体" w:hAnsi="方正仿宋简体" w:eastAsia="方正仿宋简体" w:cs="方正仿宋简体"/>
                <w:i w:val="0"/>
                <w:iCs w:val="0"/>
                <w:color w:val="auto"/>
                <w:sz w:val="24"/>
                <w:szCs w:val="24"/>
                <w:u w:val="none"/>
              </w:rPr>
            </w:pPr>
            <w:r>
              <w:rPr>
                <w:rFonts w:hint="eastAsia" w:ascii="方正仿宋简体" w:hAnsi="方正仿宋简体" w:eastAsia="方正仿宋简体" w:cs="方正仿宋简体"/>
                <w:i w:val="0"/>
                <w:iCs w:val="0"/>
                <w:color w:val="auto"/>
                <w:kern w:val="0"/>
                <w:sz w:val="24"/>
                <w:szCs w:val="24"/>
                <w:u w:val="none"/>
                <w:lang w:val="en-US" w:eastAsia="zh-CN" w:bidi="ar"/>
              </w:rPr>
              <w:t>18双方复筛阳性对数</w:t>
            </w:r>
          </w:p>
        </w:tc>
        <w:tc>
          <w:tcPr>
            <w:tcW w:w="2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1409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仿宋简体" w:hAnsi="方正仿宋简体" w:eastAsia="方正仿宋简体" w:cs="方正仿宋简体"/>
                <w:i w:val="0"/>
                <w:iCs w:val="0"/>
                <w:color w:val="auto"/>
                <w:sz w:val="24"/>
                <w:szCs w:val="24"/>
                <w:u w:val="none"/>
              </w:rPr>
            </w:pPr>
            <w:r>
              <w:rPr>
                <w:rStyle w:val="8"/>
                <w:rFonts w:hint="eastAsia" w:ascii="方正仿宋简体" w:hAnsi="方正仿宋简体" w:eastAsia="方正仿宋简体" w:cs="方正仿宋简体"/>
                <w:color w:val="auto"/>
                <w:sz w:val="24"/>
                <w:szCs w:val="24"/>
                <w:lang w:val="en-US" w:eastAsia="zh-CN" w:bidi="ar"/>
              </w:rPr>
              <w:t>18项不需与17项存在逻辑关系，本月实际发现多少例双方复筛阳性对数即报送多少。</w:t>
            </w:r>
            <w:r>
              <w:rPr>
                <w:rStyle w:val="8"/>
                <w:rFonts w:hint="eastAsia" w:ascii="方正仿宋简体" w:hAnsi="方正仿宋简体" w:eastAsia="方正仿宋简体" w:cs="方正仿宋简体"/>
                <w:color w:val="auto"/>
                <w:sz w:val="24"/>
                <w:szCs w:val="24"/>
                <w:lang w:val="en-US" w:eastAsia="zh-CN" w:bidi="ar"/>
              </w:rPr>
              <w:br w:type="textWrapping"/>
            </w:r>
            <w:r>
              <w:rPr>
                <w:rStyle w:val="9"/>
                <w:rFonts w:hint="eastAsia" w:ascii="方正仿宋简体" w:hAnsi="方正仿宋简体" w:eastAsia="方正仿宋简体" w:cs="方正仿宋简体"/>
                <w:color w:val="auto"/>
                <w:sz w:val="24"/>
                <w:szCs w:val="24"/>
                <w:lang w:val="en-US" w:eastAsia="zh-CN" w:bidi="ar"/>
              </w:rPr>
              <w:t>如：</w:t>
            </w:r>
            <w:r>
              <w:rPr>
                <w:rStyle w:val="10"/>
                <w:rFonts w:hint="eastAsia" w:ascii="方正仿宋简体" w:hAnsi="方正仿宋简体" w:eastAsia="方正仿宋简体" w:cs="方正仿宋简体"/>
                <w:color w:val="auto"/>
                <w:sz w:val="24"/>
                <w:szCs w:val="24"/>
                <w:lang w:val="en-US" w:eastAsia="zh-CN" w:bidi="ar"/>
              </w:rPr>
              <w:t>本月女方电泳筛查阳性，次月男方电泳筛查阳性，即在下个月报送。</w:t>
            </w:r>
          </w:p>
        </w:tc>
      </w:tr>
      <w:tr w14:paraId="73B7D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4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E4D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地贫基因检测</w:t>
            </w:r>
          </w:p>
        </w:tc>
        <w:tc>
          <w:tcPr>
            <w:tcW w:w="2129" w:type="pct"/>
            <w:tcBorders>
              <w:top w:val="nil"/>
              <w:left w:val="nil"/>
              <w:bottom w:val="single" w:color="000000" w:sz="4" w:space="0"/>
              <w:right w:val="single" w:color="000000" w:sz="4" w:space="0"/>
            </w:tcBorders>
            <w:shd w:val="clear" w:color="auto" w:fill="auto"/>
            <w:vAlign w:val="center"/>
          </w:tcPr>
          <w:p w14:paraId="5CC9EBB8">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仿宋简体" w:hAnsi="方正仿宋简体" w:eastAsia="方正仿宋简体" w:cs="方正仿宋简体"/>
                <w:i w:val="0"/>
                <w:iCs w:val="0"/>
                <w:color w:val="auto"/>
                <w:sz w:val="24"/>
                <w:szCs w:val="24"/>
                <w:u w:val="none"/>
              </w:rPr>
            </w:pPr>
            <w:r>
              <w:rPr>
                <w:rFonts w:hint="eastAsia" w:ascii="方正仿宋简体" w:hAnsi="方正仿宋简体" w:eastAsia="方正仿宋简体" w:cs="方正仿宋简体"/>
                <w:i w:val="0"/>
                <w:iCs w:val="0"/>
                <w:color w:val="auto"/>
                <w:kern w:val="0"/>
                <w:sz w:val="24"/>
                <w:szCs w:val="24"/>
                <w:u w:val="none"/>
                <w:lang w:val="en-US" w:eastAsia="zh-CN" w:bidi="ar"/>
              </w:rPr>
              <w:t>19其中，双方基因检测对数</w:t>
            </w:r>
          </w:p>
        </w:tc>
        <w:tc>
          <w:tcPr>
            <w:tcW w:w="2379" w:type="pct"/>
            <w:tcBorders>
              <w:top w:val="nil"/>
              <w:left w:val="nil"/>
              <w:bottom w:val="single" w:color="000000" w:sz="4" w:space="0"/>
              <w:right w:val="single" w:color="000000" w:sz="4" w:space="0"/>
            </w:tcBorders>
            <w:shd w:val="clear" w:color="auto" w:fill="auto"/>
            <w:vAlign w:val="center"/>
          </w:tcPr>
          <w:p w14:paraId="716F3AC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仿宋简体" w:hAnsi="方正仿宋简体" w:eastAsia="方正仿宋简体" w:cs="方正仿宋简体"/>
                <w:i w:val="0"/>
                <w:iCs w:val="0"/>
                <w:color w:val="auto"/>
                <w:sz w:val="24"/>
                <w:szCs w:val="24"/>
                <w:u w:val="none"/>
              </w:rPr>
            </w:pPr>
            <w:r>
              <w:rPr>
                <w:rStyle w:val="8"/>
                <w:rFonts w:hint="eastAsia" w:ascii="方正仿宋简体" w:hAnsi="方正仿宋简体" w:eastAsia="方正仿宋简体" w:cs="方正仿宋简体"/>
                <w:color w:val="auto"/>
                <w:sz w:val="24"/>
                <w:szCs w:val="24"/>
                <w:lang w:val="en-US" w:eastAsia="zh-CN" w:bidi="ar"/>
              </w:rPr>
              <w:t>不需要与18存在逻辑关系，本月进行双方基因检测对数。</w:t>
            </w:r>
            <w:r>
              <w:rPr>
                <w:rStyle w:val="8"/>
                <w:rFonts w:hint="eastAsia" w:ascii="方正仿宋简体" w:hAnsi="方正仿宋简体" w:eastAsia="方正仿宋简体" w:cs="方正仿宋简体"/>
                <w:color w:val="auto"/>
                <w:sz w:val="24"/>
                <w:szCs w:val="24"/>
                <w:lang w:val="en-US" w:eastAsia="zh-CN" w:bidi="ar"/>
              </w:rPr>
              <w:br w:type="textWrapping"/>
            </w:r>
            <w:r>
              <w:rPr>
                <w:rStyle w:val="9"/>
                <w:rFonts w:hint="eastAsia" w:ascii="方正仿宋简体" w:hAnsi="方正仿宋简体" w:eastAsia="方正仿宋简体" w:cs="方正仿宋简体"/>
                <w:color w:val="auto"/>
                <w:sz w:val="24"/>
                <w:szCs w:val="24"/>
                <w:lang w:val="en-US" w:eastAsia="zh-CN" w:bidi="ar"/>
              </w:rPr>
              <w:t>如：</w:t>
            </w:r>
            <w:r>
              <w:rPr>
                <w:rStyle w:val="10"/>
                <w:rFonts w:hint="eastAsia" w:ascii="方正仿宋简体" w:hAnsi="方正仿宋简体" w:eastAsia="方正仿宋简体" w:cs="方正仿宋简体"/>
                <w:color w:val="auto"/>
                <w:sz w:val="24"/>
                <w:szCs w:val="24"/>
                <w:lang w:val="en-US" w:eastAsia="zh-CN" w:bidi="ar"/>
              </w:rPr>
              <w:t>本月女方基因检测阳性，次月男方电泳基因检测阳性，即在下个月报送。</w:t>
            </w:r>
          </w:p>
        </w:tc>
      </w:tr>
      <w:tr w14:paraId="2AB98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C12B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2129" w:type="pct"/>
            <w:tcBorders>
              <w:top w:val="nil"/>
              <w:left w:val="nil"/>
              <w:bottom w:val="single" w:color="000000" w:sz="4" w:space="0"/>
              <w:right w:val="single" w:color="000000" w:sz="4" w:space="0"/>
            </w:tcBorders>
            <w:shd w:val="clear" w:color="auto" w:fill="auto"/>
            <w:vAlign w:val="center"/>
          </w:tcPr>
          <w:p w14:paraId="62C2F30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仿宋简体" w:hAnsi="方正仿宋简体" w:eastAsia="方正仿宋简体" w:cs="方正仿宋简体"/>
                <w:i w:val="0"/>
                <w:iCs w:val="0"/>
                <w:color w:val="auto"/>
                <w:sz w:val="24"/>
                <w:szCs w:val="24"/>
                <w:u w:val="none"/>
              </w:rPr>
            </w:pPr>
            <w:r>
              <w:rPr>
                <w:rFonts w:hint="eastAsia" w:ascii="方正仿宋简体" w:hAnsi="方正仿宋简体" w:eastAsia="方正仿宋简体" w:cs="方正仿宋简体"/>
                <w:i w:val="0"/>
                <w:iCs w:val="0"/>
                <w:color w:val="auto"/>
                <w:kern w:val="0"/>
                <w:sz w:val="24"/>
                <w:szCs w:val="24"/>
                <w:u w:val="none"/>
                <w:lang w:val="en-US" w:eastAsia="zh-CN" w:bidi="ar"/>
              </w:rPr>
              <w:t>20夫妇双方携带同型地贫基因孕妇数</w:t>
            </w:r>
          </w:p>
        </w:tc>
        <w:tc>
          <w:tcPr>
            <w:tcW w:w="2379" w:type="pct"/>
            <w:tcBorders>
              <w:top w:val="nil"/>
              <w:left w:val="nil"/>
              <w:bottom w:val="single" w:color="000000" w:sz="4" w:space="0"/>
              <w:right w:val="single" w:color="000000" w:sz="4" w:space="0"/>
            </w:tcBorders>
            <w:shd w:val="clear" w:color="auto" w:fill="auto"/>
            <w:vAlign w:val="center"/>
          </w:tcPr>
          <w:p w14:paraId="4F09E8B1">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仿宋简体" w:hAnsi="方正仿宋简体" w:eastAsia="方正仿宋简体" w:cs="方正仿宋简体"/>
                <w:i w:val="0"/>
                <w:iCs w:val="0"/>
                <w:color w:val="auto"/>
                <w:sz w:val="24"/>
                <w:szCs w:val="24"/>
                <w:u w:val="none"/>
              </w:rPr>
            </w:pPr>
            <w:r>
              <w:rPr>
                <w:rFonts w:hint="eastAsia" w:ascii="方正仿宋简体" w:hAnsi="方正仿宋简体" w:eastAsia="方正仿宋简体" w:cs="方正仿宋简体"/>
                <w:i w:val="0"/>
                <w:iCs w:val="0"/>
                <w:color w:val="auto"/>
                <w:kern w:val="0"/>
                <w:sz w:val="24"/>
                <w:szCs w:val="24"/>
                <w:u w:val="none"/>
                <w:lang w:val="en-US" w:eastAsia="zh-CN" w:bidi="ar"/>
              </w:rPr>
              <w:t>20项与19项不需存在逻辑关系，本月实际发现多少同型地贫基因即报送。</w:t>
            </w:r>
          </w:p>
        </w:tc>
      </w:tr>
      <w:tr w14:paraId="5E51D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2C30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2129" w:type="pct"/>
            <w:tcBorders>
              <w:top w:val="nil"/>
              <w:left w:val="nil"/>
              <w:bottom w:val="single" w:color="000000" w:sz="4" w:space="0"/>
              <w:right w:val="single" w:color="000000" w:sz="4" w:space="0"/>
            </w:tcBorders>
            <w:shd w:val="clear" w:color="auto" w:fill="auto"/>
            <w:vAlign w:val="center"/>
          </w:tcPr>
          <w:p w14:paraId="0976A67A">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仿宋简体" w:hAnsi="方正仿宋简体" w:eastAsia="方正仿宋简体" w:cs="方正仿宋简体"/>
                <w:i w:val="0"/>
                <w:iCs w:val="0"/>
                <w:color w:val="auto"/>
                <w:sz w:val="24"/>
                <w:szCs w:val="24"/>
                <w:u w:val="none"/>
              </w:rPr>
            </w:pPr>
            <w:r>
              <w:rPr>
                <w:rFonts w:hint="eastAsia" w:ascii="方正仿宋简体" w:hAnsi="方正仿宋简体" w:eastAsia="方正仿宋简体" w:cs="方正仿宋简体"/>
                <w:i w:val="0"/>
                <w:iCs w:val="0"/>
                <w:color w:val="auto"/>
                <w:kern w:val="0"/>
                <w:sz w:val="24"/>
                <w:szCs w:val="24"/>
                <w:u w:val="none"/>
                <w:lang w:val="en-US" w:eastAsia="zh-CN" w:bidi="ar"/>
              </w:rPr>
              <w:t>21其中，需要产前诊断夫妇对数</w:t>
            </w:r>
          </w:p>
        </w:tc>
        <w:tc>
          <w:tcPr>
            <w:tcW w:w="2379" w:type="pct"/>
            <w:tcBorders>
              <w:top w:val="nil"/>
              <w:left w:val="nil"/>
              <w:bottom w:val="single" w:color="000000" w:sz="4" w:space="0"/>
              <w:right w:val="single" w:color="000000" w:sz="4" w:space="0"/>
            </w:tcBorders>
            <w:shd w:val="clear" w:color="auto" w:fill="auto"/>
            <w:vAlign w:val="center"/>
          </w:tcPr>
          <w:p w14:paraId="52DCBD7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仿宋简体" w:hAnsi="方正仿宋简体" w:eastAsia="方正仿宋简体" w:cs="方正仿宋简体"/>
                <w:i w:val="0"/>
                <w:iCs w:val="0"/>
                <w:color w:val="auto"/>
                <w:sz w:val="24"/>
                <w:szCs w:val="24"/>
                <w:u w:val="none"/>
              </w:rPr>
            </w:pPr>
            <w:r>
              <w:rPr>
                <w:rFonts w:hint="eastAsia" w:ascii="方正仿宋简体" w:hAnsi="方正仿宋简体" w:eastAsia="方正仿宋简体" w:cs="方正仿宋简体"/>
                <w:i w:val="0"/>
                <w:iCs w:val="0"/>
                <w:color w:val="auto"/>
                <w:kern w:val="0"/>
                <w:sz w:val="24"/>
                <w:szCs w:val="24"/>
                <w:u w:val="none"/>
                <w:lang w:val="en-US" w:eastAsia="zh-CN" w:bidi="ar"/>
              </w:rPr>
              <w:t>本月发现的同型地贫中经医生判断需要进行产前诊断夫妇对数</w:t>
            </w:r>
          </w:p>
        </w:tc>
      </w:tr>
      <w:tr w14:paraId="70AA9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A0844">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2129" w:type="pct"/>
            <w:tcBorders>
              <w:top w:val="nil"/>
              <w:left w:val="nil"/>
              <w:bottom w:val="single" w:color="000000" w:sz="4" w:space="0"/>
              <w:right w:val="single" w:color="000000" w:sz="4" w:space="0"/>
            </w:tcBorders>
            <w:shd w:val="clear" w:color="auto" w:fill="auto"/>
            <w:vAlign w:val="center"/>
          </w:tcPr>
          <w:p w14:paraId="69B367B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仿宋简体" w:hAnsi="方正仿宋简体" w:eastAsia="方正仿宋简体" w:cs="方正仿宋简体"/>
                <w:i w:val="0"/>
                <w:iCs w:val="0"/>
                <w:color w:val="auto"/>
                <w:sz w:val="24"/>
                <w:szCs w:val="24"/>
                <w:u w:val="none"/>
              </w:rPr>
            </w:pPr>
            <w:r>
              <w:rPr>
                <w:rFonts w:hint="eastAsia" w:ascii="方正仿宋简体" w:hAnsi="方正仿宋简体" w:eastAsia="方正仿宋简体" w:cs="方正仿宋简体"/>
                <w:i w:val="0"/>
                <w:iCs w:val="0"/>
                <w:color w:val="auto"/>
                <w:kern w:val="0"/>
                <w:sz w:val="24"/>
                <w:szCs w:val="24"/>
                <w:u w:val="none"/>
                <w:lang w:val="en-US" w:eastAsia="zh-CN" w:bidi="ar"/>
              </w:rPr>
              <w:t>22其中，需要产前诊断且妊娠夫妇对数</w:t>
            </w:r>
          </w:p>
        </w:tc>
        <w:tc>
          <w:tcPr>
            <w:tcW w:w="2379" w:type="pct"/>
            <w:tcBorders>
              <w:top w:val="nil"/>
              <w:left w:val="nil"/>
              <w:bottom w:val="single" w:color="000000" w:sz="4" w:space="0"/>
              <w:right w:val="single" w:color="000000" w:sz="4" w:space="0"/>
            </w:tcBorders>
            <w:shd w:val="clear" w:color="auto" w:fill="auto"/>
            <w:vAlign w:val="center"/>
          </w:tcPr>
          <w:p w14:paraId="6E59B0BA">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仿宋简体" w:hAnsi="方正仿宋简体" w:eastAsia="方正仿宋简体" w:cs="方正仿宋简体"/>
                <w:i w:val="0"/>
                <w:iCs w:val="0"/>
                <w:color w:val="auto"/>
                <w:sz w:val="24"/>
                <w:szCs w:val="24"/>
                <w:u w:val="none"/>
              </w:rPr>
            </w:pPr>
            <w:r>
              <w:rPr>
                <w:rFonts w:hint="eastAsia" w:ascii="方正仿宋简体" w:hAnsi="方正仿宋简体" w:eastAsia="方正仿宋简体" w:cs="方正仿宋简体"/>
                <w:i w:val="0"/>
                <w:iCs w:val="0"/>
                <w:color w:val="auto"/>
                <w:kern w:val="0"/>
                <w:sz w:val="24"/>
                <w:szCs w:val="24"/>
                <w:u w:val="none"/>
                <w:lang w:val="en-US" w:eastAsia="zh-CN" w:bidi="ar"/>
              </w:rPr>
              <w:t>本月发现的同型地贫中经医生判断需要进行产前诊断且妊娠夫妇对数</w:t>
            </w:r>
          </w:p>
        </w:tc>
      </w:tr>
      <w:tr w14:paraId="6296A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F1C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产前诊断就诊情况</w:t>
            </w:r>
          </w:p>
        </w:tc>
        <w:tc>
          <w:tcPr>
            <w:tcW w:w="2129" w:type="pct"/>
            <w:tcBorders>
              <w:top w:val="nil"/>
              <w:left w:val="nil"/>
              <w:bottom w:val="single" w:color="000000" w:sz="4" w:space="0"/>
              <w:right w:val="single" w:color="000000" w:sz="4" w:space="0"/>
            </w:tcBorders>
            <w:shd w:val="clear" w:color="auto" w:fill="auto"/>
            <w:vAlign w:val="center"/>
          </w:tcPr>
          <w:p w14:paraId="1CED261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仿宋简体" w:hAnsi="方正仿宋简体" w:eastAsia="方正仿宋简体" w:cs="方正仿宋简体"/>
                <w:i w:val="0"/>
                <w:iCs w:val="0"/>
                <w:color w:val="auto"/>
                <w:sz w:val="24"/>
                <w:szCs w:val="24"/>
                <w:u w:val="none"/>
              </w:rPr>
            </w:pPr>
            <w:r>
              <w:rPr>
                <w:rFonts w:hint="eastAsia" w:ascii="方正仿宋简体" w:hAnsi="方正仿宋简体" w:eastAsia="方正仿宋简体" w:cs="方正仿宋简体"/>
                <w:i w:val="0"/>
                <w:iCs w:val="0"/>
                <w:color w:val="auto"/>
                <w:kern w:val="0"/>
                <w:sz w:val="24"/>
                <w:szCs w:val="24"/>
                <w:u w:val="none"/>
                <w:lang w:val="en-US" w:eastAsia="zh-CN" w:bidi="ar"/>
              </w:rPr>
              <w:t>23其中：已接受胎儿地贫产前诊断的孕妇数</w:t>
            </w:r>
          </w:p>
        </w:tc>
        <w:tc>
          <w:tcPr>
            <w:tcW w:w="2379" w:type="pct"/>
            <w:tcBorders>
              <w:top w:val="nil"/>
              <w:left w:val="nil"/>
              <w:bottom w:val="single" w:color="000000" w:sz="4" w:space="0"/>
              <w:right w:val="single" w:color="000000" w:sz="4" w:space="0"/>
            </w:tcBorders>
            <w:shd w:val="clear" w:color="auto" w:fill="auto"/>
            <w:noWrap/>
            <w:vAlign w:val="center"/>
          </w:tcPr>
          <w:p w14:paraId="0306CEB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i w:val="0"/>
                <w:iCs w:val="0"/>
                <w:color w:val="auto"/>
                <w:sz w:val="24"/>
                <w:szCs w:val="24"/>
                <w:u w:val="none"/>
              </w:rPr>
            </w:pPr>
            <w:r>
              <w:rPr>
                <w:rFonts w:hint="eastAsia" w:ascii="方正仿宋简体" w:hAnsi="方正仿宋简体" w:eastAsia="方正仿宋简体" w:cs="方正仿宋简体"/>
                <w:i w:val="0"/>
                <w:iCs w:val="0"/>
                <w:color w:val="auto"/>
                <w:kern w:val="0"/>
                <w:sz w:val="24"/>
                <w:szCs w:val="24"/>
                <w:u w:val="none"/>
                <w:lang w:val="en-US" w:eastAsia="zh-CN" w:bidi="ar"/>
              </w:rPr>
              <w:t>江门市内外合计</w:t>
            </w:r>
          </w:p>
        </w:tc>
      </w:tr>
      <w:tr w14:paraId="4C4E9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7A2F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2129" w:type="pct"/>
            <w:tcBorders>
              <w:top w:val="nil"/>
              <w:left w:val="nil"/>
              <w:bottom w:val="single" w:color="000000" w:sz="4" w:space="0"/>
              <w:right w:val="single" w:color="000000" w:sz="4" w:space="0"/>
            </w:tcBorders>
            <w:shd w:val="clear" w:color="auto" w:fill="auto"/>
            <w:vAlign w:val="center"/>
          </w:tcPr>
          <w:p w14:paraId="5638075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仿宋简体" w:hAnsi="方正仿宋简体" w:eastAsia="方正仿宋简体" w:cs="方正仿宋简体"/>
                <w:i w:val="0"/>
                <w:iCs w:val="0"/>
                <w:color w:val="auto"/>
                <w:sz w:val="24"/>
                <w:szCs w:val="24"/>
                <w:u w:val="none"/>
              </w:rPr>
            </w:pPr>
            <w:r>
              <w:rPr>
                <w:rFonts w:hint="eastAsia" w:ascii="方正仿宋简体" w:hAnsi="方正仿宋简体" w:eastAsia="方正仿宋简体" w:cs="方正仿宋简体"/>
                <w:i w:val="0"/>
                <w:iCs w:val="0"/>
                <w:color w:val="auto"/>
                <w:kern w:val="0"/>
                <w:sz w:val="24"/>
                <w:szCs w:val="24"/>
                <w:u w:val="none"/>
                <w:lang w:val="en-US" w:eastAsia="zh-CN" w:bidi="ar"/>
              </w:rPr>
              <w:t>24其中，已接受胎儿地贫产前诊断的胎儿数</w:t>
            </w:r>
          </w:p>
        </w:tc>
        <w:tc>
          <w:tcPr>
            <w:tcW w:w="2379" w:type="pct"/>
            <w:tcBorders>
              <w:top w:val="nil"/>
              <w:left w:val="nil"/>
              <w:bottom w:val="single" w:color="000000" w:sz="4" w:space="0"/>
              <w:right w:val="single" w:color="000000" w:sz="4" w:space="0"/>
            </w:tcBorders>
            <w:shd w:val="clear" w:color="auto" w:fill="auto"/>
            <w:noWrap/>
            <w:vAlign w:val="center"/>
          </w:tcPr>
          <w:p w14:paraId="1CFBE54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i w:val="0"/>
                <w:iCs w:val="0"/>
                <w:color w:val="auto"/>
                <w:sz w:val="24"/>
                <w:szCs w:val="24"/>
                <w:u w:val="none"/>
              </w:rPr>
            </w:pPr>
            <w:r>
              <w:rPr>
                <w:rFonts w:hint="eastAsia" w:ascii="方正仿宋简体" w:hAnsi="方正仿宋简体" w:eastAsia="方正仿宋简体" w:cs="方正仿宋简体"/>
                <w:i w:val="0"/>
                <w:iCs w:val="0"/>
                <w:color w:val="auto"/>
                <w:kern w:val="0"/>
                <w:sz w:val="24"/>
                <w:szCs w:val="24"/>
                <w:u w:val="none"/>
                <w:lang w:val="en-US" w:eastAsia="zh-CN" w:bidi="ar"/>
              </w:rPr>
              <w:t>江门市内外合计</w:t>
            </w:r>
          </w:p>
        </w:tc>
      </w:tr>
      <w:tr w14:paraId="0361D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6AA4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2129" w:type="pct"/>
            <w:tcBorders>
              <w:top w:val="nil"/>
              <w:left w:val="nil"/>
              <w:bottom w:val="single" w:color="000000" w:sz="4" w:space="0"/>
              <w:right w:val="single" w:color="000000" w:sz="4" w:space="0"/>
            </w:tcBorders>
            <w:shd w:val="clear" w:color="auto" w:fill="auto"/>
            <w:vAlign w:val="center"/>
          </w:tcPr>
          <w:p w14:paraId="5224878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仿宋简体" w:hAnsi="方正仿宋简体" w:eastAsia="方正仿宋简体" w:cs="方正仿宋简体"/>
                <w:i w:val="0"/>
                <w:iCs w:val="0"/>
                <w:color w:val="auto"/>
                <w:sz w:val="24"/>
                <w:szCs w:val="24"/>
                <w:u w:val="none"/>
              </w:rPr>
            </w:pPr>
            <w:r>
              <w:rPr>
                <w:rFonts w:hint="eastAsia" w:ascii="方正仿宋简体" w:hAnsi="方正仿宋简体" w:eastAsia="方正仿宋简体" w:cs="方正仿宋简体"/>
                <w:i w:val="0"/>
                <w:iCs w:val="0"/>
                <w:color w:val="auto"/>
                <w:kern w:val="0"/>
                <w:sz w:val="24"/>
                <w:szCs w:val="24"/>
                <w:u w:val="none"/>
                <w:lang w:val="en-US" w:eastAsia="zh-CN" w:bidi="ar"/>
              </w:rPr>
              <w:t>25其中，转诊到市外机构进行产前诊断孕妇数</w:t>
            </w:r>
          </w:p>
        </w:tc>
        <w:tc>
          <w:tcPr>
            <w:tcW w:w="2379" w:type="pct"/>
            <w:tcBorders>
              <w:top w:val="nil"/>
              <w:left w:val="nil"/>
              <w:bottom w:val="single" w:color="000000" w:sz="4" w:space="0"/>
              <w:right w:val="single" w:color="000000" w:sz="4" w:space="0"/>
            </w:tcBorders>
            <w:shd w:val="clear" w:color="auto" w:fill="auto"/>
            <w:noWrap/>
            <w:vAlign w:val="center"/>
          </w:tcPr>
          <w:p w14:paraId="0964E6A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i w:val="0"/>
                <w:iCs w:val="0"/>
                <w:color w:val="auto"/>
                <w:sz w:val="24"/>
                <w:szCs w:val="24"/>
                <w:u w:val="none"/>
              </w:rPr>
            </w:pPr>
            <w:r>
              <w:rPr>
                <w:rFonts w:hint="eastAsia" w:ascii="方正仿宋简体" w:hAnsi="方正仿宋简体" w:eastAsia="方正仿宋简体" w:cs="方正仿宋简体"/>
                <w:i w:val="0"/>
                <w:iCs w:val="0"/>
                <w:color w:val="auto"/>
                <w:kern w:val="0"/>
                <w:sz w:val="24"/>
                <w:szCs w:val="24"/>
                <w:u w:val="none"/>
                <w:lang w:val="en-US" w:eastAsia="zh-CN" w:bidi="ar"/>
              </w:rPr>
              <w:t>江门市外</w:t>
            </w:r>
          </w:p>
        </w:tc>
      </w:tr>
      <w:tr w14:paraId="61945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46A1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2129" w:type="pct"/>
            <w:tcBorders>
              <w:top w:val="nil"/>
              <w:left w:val="nil"/>
              <w:bottom w:val="single" w:color="000000" w:sz="4" w:space="0"/>
              <w:right w:val="single" w:color="000000" w:sz="4" w:space="0"/>
            </w:tcBorders>
            <w:shd w:val="clear" w:color="auto" w:fill="auto"/>
            <w:vAlign w:val="center"/>
          </w:tcPr>
          <w:p w14:paraId="69CA0CB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仿宋简体" w:hAnsi="方正仿宋简体" w:eastAsia="方正仿宋简体" w:cs="方正仿宋简体"/>
                <w:i w:val="0"/>
                <w:iCs w:val="0"/>
                <w:color w:val="auto"/>
                <w:sz w:val="24"/>
                <w:szCs w:val="24"/>
                <w:u w:val="none"/>
              </w:rPr>
            </w:pPr>
            <w:r>
              <w:rPr>
                <w:rFonts w:hint="eastAsia" w:ascii="方正仿宋简体" w:hAnsi="方正仿宋简体" w:eastAsia="方正仿宋简体" w:cs="方正仿宋简体"/>
                <w:i w:val="0"/>
                <w:iCs w:val="0"/>
                <w:color w:val="auto"/>
                <w:kern w:val="0"/>
                <w:sz w:val="24"/>
                <w:szCs w:val="24"/>
                <w:u w:val="none"/>
                <w:lang w:val="en-US" w:eastAsia="zh-CN" w:bidi="ar"/>
              </w:rPr>
              <w:t>26其中，转诊到市外机构进行产前诊断胎儿数</w:t>
            </w:r>
          </w:p>
        </w:tc>
        <w:tc>
          <w:tcPr>
            <w:tcW w:w="2379" w:type="pct"/>
            <w:tcBorders>
              <w:top w:val="nil"/>
              <w:left w:val="nil"/>
              <w:bottom w:val="single" w:color="000000" w:sz="4" w:space="0"/>
              <w:right w:val="single" w:color="000000" w:sz="4" w:space="0"/>
            </w:tcBorders>
            <w:shd w:val="clear" w:color="auto" w:fill="auto"/>
            <w:noWrap/>
            <w:vAlign w:val="center"/>
          </w:tcPr>
          <w:p w14:paraId="12A18CD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i w:val="0"/>
                <w:iCs w:val="0"/>
                <w:color w:val="auto"/>
                <w:sz w:val="24"/>
                <w:szCs w:val="24"/>
                <w:u w:val="none"/>
              </w:rPr>
            </w:pPr>
            <w:r>
              <w:rPr>
                <w:rFonts w:hint="eastAsia" w:ascii="方正仿宋简体" w:hAnsi="方正仿宋简体" w:eastAsia="方正仿宋简体" w:cs="方正仿宋简体"/>
                <w:i w:val="0"/>
                <w:iCs w:val="0"/>
                <w:color w:val="auto"/>
                <w:kern w:val="0"/>
                <w:sz w:val="24"/>
                <w:szCs w:val="24"/>
                <w:u w:val="none"/>
                <w:lang w:val="en-US" w:eastAsia="zh-CN" w:bidi="ar"/>
              </w:rPr>
              <w:t>江门市外</w:t>
            </w:r>
          </w:p>
        </w:tc>
      </w:tr>
      <w:tr w14:paraId="478A1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4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5A8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转诊到市外机构进行产前诊断确诊情况</w:t>
            </w:r>
          </w:p>
        </w:tc>
        <w:tc>
          <w:tcPr>
            <w:tcW w:w="2129" w:type="pct"/>
            <w:tcBorders>
              <w:top w:val="nil"/>
              <w:left w:val="nil"/>
              <w:bottom w:val="single" w:color="000000" w:sz="4" w:space="0"/>
              <w:right w:val="single" w:color="000000" w:sz="4" w:space="0"/>
            </w:tcBorders>
            <w:shd w:val="clear" w:color="auto" w:fill="auto"/>
            <w:noWrap/>
            <w:vAlign w:val="center"/>
          </w:tcPr>
          <w:p w14:paraId="551C49C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中间型α地贫</w:t>
            </w:r>
          </w:p>
        </w:tc>
        <w:tc>
          <w:tcPr>
            <w:tcW w:w="2379" w:type="pct"/>
            <w:vMerge w:val="restart"/>
            <w:tcBorders>
              <w:top w:val="nil"/>
              <w:left w:val="nil"/>
              <w:bottom w:val="single" w:color="000000" w:sz="4" w:space="0"/>
              <w:right w:val="single" w:color="000000" w:sz="4" w:space="0"/>
            </w:tcBorders>
            <w:shd w:val="clear" w:color="auto" w:fill="auto"/>
            <w:vAlign w:val="center"/>
          </w:tcPr>
          <w:p w14:paraId="01232F7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转诊至市外进行产前诊断确诊为这些基因型的地贫</w:t>
            </w:r>
          </w:p>
        </w:tc>
      </w:tr>
      <w:tr w14:paraId="7CC0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7BC8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2129" w:type="pct"/>
            <w:tcBorders>
              <w:top w:val="nil"/>
              <w:left w:val="nil"/>
              <w:bottom w:val="single" w:color="000000" w:sz="4" w:space="0"/>
              <w:right w:val="single" w:color="000000" w:sz="4" w:space="0"/>
            </w:tcBorders>
            <w:shd w:val="clear" w:color="auto" w:fill="auto"/>
            <w:noWrap/>
            <w:vAlign w:val="center"/>
          </w:tcPr>
          <w:p w14:paraId="5DBFAFD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中间型β地贫</w:t>
            </w:r>
          </w:p>
        </w:tc>
        <w:tc>
          <w:tcPr>
            <w:tcW w:w="2379" w:type="pct"/>
            <w:vMerge w:val="continue"/>
            <w:tcBorders>
              <w:top w:val="nil"/>
              <w:left w:val="nil"/>
              <w:bottom w:val="single" w:color="000000" w:sz="4" w:space="0"/>
              <w:right w:val="single" w:color="000000" w:sz="4" w:space="0"/>
            </w:tcBorders>
            <w:shd w:val="clear" w:color="auto" w:fill="auto"/>
            <w:vAlign w:val="center"/>
          </w:tcPr>
          <w:p w14:paraId="1152FA49">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i w:val="0"/>
                <w:iCs w:val="0"/>
                <w:color w:val="000000"/>
                <w:sz w:val="24"/>
                <w:szCs w:val="24"/>
                <w:u w:val="none"/>
              </w:rPr>
            </w:pPr>
          </w:p>
        </w:tc>
      </w:tr>
      <w:tr w14:paraId="01A62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3CF1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2129" w:type="pct"/>
            <w:tcBorders>
              <w:top w:val="nil"/>
              <w:left w:val="nil"/>
              <w:bottom w:val="single" w:color="000000" w:sz="4" w:space="0"/>
              <w:right w:val="single" w:color="000000" w:sz="4" w:space="0"/>
            </w:tcBorders>
            <w:shd w:val="clear" w:color="auto" w:fill="auto"/>
            <w:noWrap/>
            <w:vAlign w:val="center"/>
          </w:tcPr>
          <w:p w14:paraId="7447A05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中间型α+β地贫</w:t>
            </w:r>
          </w:p>
        </w:tc>
        <w:tc>
          <w:tcPr>
            <w:tcW w:w="2379" w:type="pct"/>
            <w:vMerge w:val="continue"/>
            <w:tcBorders>
              <w:top w:val="nil"/>
              <w:left w:val="nil"/>
              <w:bottom w:val="single" w:color="000000" w:sz="4" w:space="0"/>
              <w:right w:val="single" w:color="000000" w:sz="4" w:space="0"/>
            </w:tcBorders>
            <w:shd w:val="clear" w:color="auto" w:fill="auto"/>
            <w:vAlign w:val="center"/>
          </w:tcPr>
          <w:p w14:paraId="23B5DB4E">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i w:val="0"/>
                <w:iCs w:val="0"/>
                <w:color w:val="000000"/>
                <w:sz w:val="24"/>
                <w:szCs w:val="24"/>
                <w:u w:val="none"/>
              </w:rPr>
            </w:pPr>
          </w:p>
        </w:tc>
      </w:tr>
      <w:tr w14:paraId="28870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E0E7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2129" w:type="pct"/>
            <w:tcBorders>
              <w:top w:val="nil"/>
              <w:left w:val="nil"/>
              <w:bottom w:val="single" w:color="000000" w:sz="4" w:space="0"/>
              <w:right w:val="single" w:color="000000" w:sz="4" w:space="0"/>
            </w:tcBorders>
            <w:shd w:val="clear" w:color="auto" w:fill="auto"/>
            <w:noWrap/>
            <w:vAlign w:val="center"/>
          </w:tcPr>
          <w:p w14:paraId="6CE42A6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其他中间型地贫</w:t>
            </w:r>
          </w:p>
        </w:tc>
        <w:tc>
          <w:tcPr>
            <w:tcW w:w="2379" w:type="pct"/>
            <w:vMerge w:val="continue"/>
            <w:tcBorders>
              <w:top w:val="nil"/>
              <w:left w:val="nil"/>
              <w:bottom w:val="single" w:color="000000" w:sz="4" w:space="0"/>
              <w:right w:val="single" w:color="000000" w:sz="4" w:space="0"/>
            </w:tcBorders>
            <w:shd w:val="clear" w:color="auto" w:fill="auto"/>
            <w:vAlign w:val="center"/>
          </w:tcPr>
          <w:p w14:paraId="2BECEC27">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i w:val="0"/>
                <w:iCs w:val="0"/>
                <w:color w:val="000000"/>
                <w:sz w:val="24"/>
                <w:szCs w:val="24"/>
                <w:u w:val="none"/>
              </w:rPr>
            </w:pPr>
          </w:p>
        </w:tc>
      </w:tr>
      <w:tr w14:paraId="0CC97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F38D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2129" w:type="pct"/>
            <w:tcBorders>
              <w:top w:val="nil"/>
              <w:left w:val="nil"/>
              <w:bottom w:val="single" w:color="000000" w:sz="4" w:space="0"/>
              <w:right w:val="single" w:color="000000" w:sz="4" w:space="0"/>
            </w:tcBorders>
            <w:shd w:val="clear" w:color="auto" w:fill="auto"/>
            <w:noWrap/>
            <w:vAlign w:val="center"/>
          </w:tcPr>
          <w:p w14:paraId="41A2F64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重型α地贫</w:t>
            </w:r>
          </w:p>
        </w:tc>
        <w:tc>
          <w:tcPr>
            <w:tcW w:w="2379" w:type="pct"/>
            <w:vMerge w:val="continue"/>
            <w:tcBorders>
              <w:top w:val="nil"/>
              <w:left w:val="nil"/>
              <w:bottom w:val="single" w:color="000000" w:sz="4" w:space="0"/>
              <w:right w:val="single" w:color="000000" w:sz="4" w:space="0"/>
            </w:tcBorders>
            <w:shd w:val="clear" w:color="auto" w:fill="auto"/>
            <w:vAlign w:val="center"/>
          </w:tcPr>
          <w:p w14:paraId="335A733B">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i w:val="0"/>
                <w:iCs w:val="0"/>
                <w:color w:val="000000"/>
                <w:sz w:val="24"/>
                <w:szCs w:val="24"/>
                <w:u w:val="none"/>
              </w:rPr>
            </w:pPr>
          </w:p>
        </w:tc>
      </w:tr>
      <w:tr w14:paraId="7838C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0B958">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2129" w:type="pct"/>
            <w:tcBorders>
              <w:top w:val="nil"/>
              <w:left w:val="nil"/>
              <w:bottom w:val="single" w:color="000000" w:sz="4" w:space="0"/>
              <w:right w:val="single" w:color="000000" w:sz="4" w:space="0"/>
            </w:tcBorders>
            <w:shd w:val="clear" w:color="auto" w:fill="auto"/>
            <w:noWrap/>
            <w:vAlign w:val="center"/>
          </w:tcPr>
          <w:p w14:paraId="39CCEF4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重型β地贫</w:t>
            </w:r>
          </w:p>
        </w:tc>
        <w:tc>
          <w:tcPr>
            <w:tcW w:w="2379" w:type="pct"/>
            <w:vMerge w:val="continue"/>
            <w:tcBorders>
              <w:top w:val="nil"/>
              <w:left w:val="nil"/>
              <w:bottom w:val="single" w:color="000000" w:sz="4" w:space="0"/>
              <w:right w:val="single" w:color="000000" w:sz="4" w:space="0"/>
            </w:tcBorders>
            <w:shd w:val="clear" w:color="auto" w:fill="auto"/>
            <w:vAlign w:val="center"/>
          </w:tcPr>
          <w:p w14:paraId="187DE33E">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i w:val="0"/>
                <w:iCs w:val="0"/>
                <w:color w:val="000000"/>
                <w:sz w:val="24"/>
                <w:szCs w:val="24"/>
                <w:u w:val="none"/>
              </w:rPr>
            </w:pPr>
          </w:p>
        </w:tc>
      </w:tr>
      <w:tr w14:paraId="0110A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52BD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2129" w:type="pct"/>
            <w:tcBorders>
              <w:top w:val="nil"/>
              <w:left w:val="nil"/>
              <w:bottom w:val="single" w:color="000000" w:sz="4" w:space="0"/>
              <w:right w:val="single" w:color="000000" w:sz="4" w:space="0"/>
            </w:tcBorders>
            <w:shd w:val="clear" w:color="auto" w:fill="auto"/>
            <w:noWrap/>
            <w:vAlign w:val="center"/>
          </w:tcPr>
          <w:p w14:paraId="60D9731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重型α+β地贫</w:t>
            </w:r>
          </w:p>
        </w:tc>
        <w:tc>
          <w:tcPr>
            <w:tcW w:w="2379" w:type="pct"/>
            <w:vMerge w:val="continue"/>
            <w:tcBorders>
              <w:top w:val="nil"/>
              <w:left w:val="nil"/>
              <w:bottom w:val="single" w:color="000000" w:sz="4" w:space="0"/>
              <w:right w:val="single" w:color="000000" w:sz="4" w:space="0"/>
            </w:tcBorders>
            <w:shd w:val="clear" w:color="auto" w:fill="auto"/>
            <w:vAlign w:val="center"/>
          </w:tcPr>
          <w:p w14:paraId="6FF1B1D5">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i w:val="0"/>
                <w:iCs w:val="0"/>
                <w:color w:val="000000"/>
                <w:sz w:val="24"/>
                <w:szCs w:val="24"/>
                <w:u w:val="none"/>
              </w:rPr>
            </w:pPr>
          </w:p>
        </w:tc>
      </w:tr>
      <w:tr w14:paraId="14ED1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2D68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2129" w:type="pct"/>
            <w:tcBorders>
              <w:top w:val="nil"/>
              <w:left w:val="nil"/>
              <w:bottom w:val="single" w:color="000000" w:sz="4" w:space="0"/>
              <w:right w:val="single" w:color="000000" w:sz="4" w:space="0"/>
            </w:tcBorders>
            <w:shd w:val="clear" w:color="auto" w:fill="auto"/>
            <w:noWrap/>
            <w:vAlign w:val="center"/>
          </w:tcPr>
          <w:p w14:paraId="61541BC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其他重型地贫</w:t>
            </w:r>
          </w:p>
        </w:tc>
        <w:tc>
          <w:tcPr>
            <w:tcW w:w="2379" w:type="pct"/>
            <w:vMerge w:val="continue"/>
            <w:tcBorders>
              <w:top w:val="nil"/>
              <w:left w:val="nil"/>
              <w:bottom w:val="single" w:color="000000" w:sz="4" w:space="0"/>
              <w:right w:val="single" w:color="000000" w:sz="4" w:space="0"/>
            </w:tcBorders>
            <w:shd w:val="clear" w:color="auto" w:fill="auto"/>
            <w:vAlign w:val="center"/>
          </w:tcPr>
          <w:p w14:paraId="125876F5">
            <w:pPr>
              <w:keepNext w:val="0"/>
              <w:keepLines w:val="0"/>
              <w:pageBreakBefore w:val="0"/>
              <w:widowControl/>
              <w:kinsoku/>
              <w:wordWrap/>
              <w:overflowPunct/>
              <w:topLinePunct w:val="0"/>
              <w:autoSpaceDE/>
              <w:autoSpaceDN/>
              <w:bidi w:val="0"/>
              <w:adjustRightInd/>
              <w:snapToGrid/>
              <w:spacing w:line="380" w:lineRule="exact"/>
              <w:jc w:val="center"/>
              <w:rPr>
                <w:rFonts w:hint="eastAsia" w:ascii="方正仿宋简体" w:hAnsi="方正仿宋简体" w:eastAsia="方正仿宋简体" w:cs="方正仿宋简体"/>
                <w:i w:val="0"/>
                <w:iCs w:val="0"/>
                <w:color w:val="000000"/>
                <w:sz w:val="24"/>
                <w:szCs w:val="24"/>
                <w:u w:val="none"/>
              </w:rPr>
            </w:pPr>
          </w:p>
        </w:tc>
      </w:tr>
      <w:tr w14:paraId="360A0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774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机构发现地贫患儿</w:t>
            </w:r>
          </w:p>
        </w:tc>
        <w:tc>
          <w:tcPr>
            <w:tcW w:w="2129" w:type="pct"/>
            <w:tcBorders>
              <w:top w:val="nil"/>
              <w:left w:val="nil"/>
              <w:bottom w:val="single" w:color="000000" w:sz="4" w:space="0"/>
              <w:right w:val="single" w:color="000000" w:sz="4" w:space="0"/>
            </w:tcBorders>
            <w:shd w:val="clear" w:color="auto" w:fill="auto"/>
            <w:vAlign w:val="center"/>
          </w:tcPr>
          <w:p w14:paraId="6CF5507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18本机构首次就诊中间型地贫患儿数</w:t>
            </w:r>
          </w:p>
        </w:tc>
        <w:tc>
          <w:tcPr>
            <w:tcW w:w="2379" w:type="pct"/>
            <w:vMerge w:val="restart"/>
            <w:tcBorders>
              <w:top w:val="nil"/>
              <w:left w:val="nil"/>
              <w:bottom w:val="single" w:color="000000" w:sz="4" w:space="0"/>
              <w:right w:val="single" w:color="000000" w:sz="4" w:space="0"/>
            </w:tcBorders>
            <w:shd w:val="clear" w:color="auto" w:fill="auto"/>
            <w:vAlign w:val="center"/>
          </w:tcPr>
          <w:p w14:paraId="72C0D89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到本机构首次就诊发现为中间型地贫、重型地贫的患儿数（同时需上交纸质名单）</w:t>
            </w:r>
          </w:p>
        </w:tc>
      </w:tr>
      <w:tr w14:paraId="31B20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F4E1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2129" w:type="pct"/>
            <w:tcBorders>
              <w:top w:val="nil"/>
              <w:left w:val="nil"/>
              <w:bottom w:val="single" w:color="000000" w:sz="4" w:space="0"/>
              <w:right w:val="single" w:color="000000" w:sz="4" w:space="0"/>
            </w:tcBorders>
            <w:shd w:val="clear" w:color="auto" w:fill="auto"/>
            <w:vAlign w:val="center"/>
          </w:tcPr>
          <w:p w14:paraId="05813B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19本机构首次就诊重型地贫患儿数</w:t>
            </w:r>
          </w:p>
        </w:tc>
        <w:tc>
          <w:tcPr>
            <w:tcW w:w="2379" w:type="pct"/>
            <w:vMerge w:val="continue"/>
            <w:tcBorders>
              <w:top w:val="nil"/>
              <w:left w:val="nil"/>
              <w:bottom w:val="single" w:color="000000" w:sz="4" w:space="0"/>
              <w:right w:val="single" w:color="000000" w:sz="4" w:space="0"/>
            </w:tcBorders>
            <w:shd w:val="clear" w:color="auto" w:fill="auto"/>
            <w:vAlign w:val="center"/>
          </w:tcPr>
          <w:p w14:paraId="60F0B86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iCs w:val="0"/>
                <w:color w:val="000000"/>
                <w:sz w:val="24"/>
                <w:szCs w:val="24"/>
                <w:u w:val="none"/>
              </w:rPr>
            </w:pPr>
          </w:p>
        </w:tc>
      </w:tr>
      <w:tr w14:paraId="61AE3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3"/>
            <w:vMerge w:val="restart"/>
            <w:tcBorders>
              <w:top w:val="single" w:color="000000" w:sz="4" w:space="0"/>
              <w:left w:val="single" w:color="000000" w:sz="4" w:space="0"/>
              <w:bottom w:val="single" w:color="000000" w:sz="4" w:space="0"/>
              <w:right w:val="single" w:color="000000" w:sz="4" w:space="0"/>
            </w:tcBorders>
            <w:shd w:val="clear" w:color="000000" w:fill="auto"/>
            <w:noWrap/>
            <w:vAlign w:val="center"/>
          </w:tcPr>
          <w:p w14:paraId="673892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bCs/>
                <w:i w:val="0"/>
                <w:iCs w:val="0"/>
                <w:color w:val="000000"/>
                <w:sz w:val="24"/>
                <w:szCs w:val="24"/>
                <w:highlight w:val="none"/>
                <w:u w:val="none"/>
              </w:rPr>
            </w:pPr>
            <w:r>
              <w:rPr>
                <w:rFonts w:hint="eastAsia" w:ascii="方正仿宋简体" w:hAnsi="方正仿宋简体" w:eastAsia="方正仿宋简体" w:cs="方正仿宋简体"/>
                <w:b/>
                <w:bCs/>
                <w:i w:val="0"/>
                <w:iCs w:val="0"/>
                <w:color w:val="000000"/>
                <w:kern w:val="0"/>
                <w:sz w:val="24"/>
                <w:szCs w:val="24"/>
                <w:highlight w:val="none"/>
                <w:u w:val="none"/>
                <w:shd w:val="clear"/>
                <w:lang w:val="en-US" w:eastAsia="zh-CN" w:bidi="ar"/>
              </w:rPr>
              <w:t>上表为所有产前筛查机构及产前诊断机构均需每月10日前填写在江门市妇幼卫生信息平台。</w:t>
            </w:r>
          </w:p>
        </w:tc>
      </w:tr>
      <w:tr w14:paraId="45A1E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3"/>
            <w:vMerge w:val="continue"/>
            <w:tcBorders>
              <w:top w:val="single" w:color="000000" w:sz="4" w:space="0"/>
              <w:left w:val="single" w:color="000000" w:sz="4" w:space="0"/>
              <w:bottom w:val="single" w:color="000000" w:sz="4" w:space="0"/>
              <w:right w:val="single" w:color="000000" w:sz="4" w:space="0"/>
            </w:tcBorders>
            <w:shd w:val="clear" w:color="000000" w:fill="auto"/>
            <w:noWrap/>
            <w:vAlign w:val="center"/>
          </w:tcPr>
          <w:p w14:paraId="18440F3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8"/>
                <w:szCs w:val="28"/>
                <w:u w:val="none"/>
              </w:rPr>
            </w:pPr>
          </w:p>
        </w:tc>
      </w:tr>
      <w:tr w14:paraId="1C337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3"/>
            <w:vMerge w:val="continue"/>
            <w:tcBorders>
              <w:top w:val="single" w:color="000000" w:sz="4" w:space="0"/>
              <w:left w:val="single" w:color="000000" w:sz="4" w:space="0"/>
              <w:bottom w:val="single" w:color="000000" w:sz="4" w:space="0"/>
              <w:right w:val="single" w:color="000000" w:sz="4" w:space="0"/>
            </w:tcBorders>
            <w:shd w:val="clear" w:color="000000" w:fill="auto"/>
            <w:noWrap/>
            <w:vAlign w:val="center"/>
          </w:tcPr>
          <w:p w14:paraId="1B15D2C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8"/>
                <w:szCs w:val="28"/>
                <w:u w:val="none"/>
              </w:rPr>
            </w:pPr>
          </w:p>
        </w:tc>
      </w:tr>
      <w:tr w14:paraId="631F3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3"/>
            <w:vMerge w:val="continue"/>
            <w:tcBorders>
              <w:top w:val="single" w:color="000000" w:sz="4" w:space="0"/>
              <w:left w:val="single" w:color="000000" w:sz="4" w:space="0"/>
              <w:bottom w:val="single" w:color="000000" w:sz="4" w:space="0"/>
              <w:right w:val="single" w:color="000000" w:sz="4" w:space="0"/>
            </w:tcBorders>
            <w:shd w:val="clear" w:color="000000" w:fill="auto"/>
            <w:noWrap/>
            <w:vAlign w:val="center"/>
          </w:tcPr>
          <w:p w14:paraId="339773D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8"/>
                <w:szCs w:val="28"/>
                <w:u w:val="none"/>
              </w:rPr>
            </w:pPr>
          </w:p>
        </w:tc>
      </w:tr>
    </w:tbl>
    <w:p w14:paraId="2CDA9039">
      <w:pPr>
        <w:spacing w:line="640" w:lineRule="exact"/>
        <w:jc w:val="center"/>
        <w:rPr>
          <w:rFonts w:hint="eastAsia" w:eastAsia="方正小标宋简体" w:cs="Times New Roman"/>
          <w:bCs/>
          <w:sz w:val="40"/>
          <w:szCs w:val="40"/>
          <w:lang w:val="en-US" w:eastAsia="zh-CN"/>
        </w:rPr>
      </w:pPr>
    </w:p>
    <w:p w14:paraId="4AFAA1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b/>
          <w:bCs w:val="0"/>
          <w:sz w:val="32"/>
          <w:szCs w:val="32"/>
          <w:lang w:val="en-US" w:eastAsia="zh-CN"/>
        </w:rPr>
      </w:pPr>
    </w:p>
    <w:p w14:paraId="4587D2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b/>
          <w:bCs w:val="0"/>
          <w:sz w:val="32"/>
          <w:szCs w:val="32"/>
          <w:lang w:val="en-US" w:eastAsia="zh-CN"/>
        </w:rPr>
      </w:pPr>
    </w:p>
    <w:p w14:paraId="55BCE0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Times New Roman"/>
          <w:bCs/>
          <w:sz w:val="40"/>
          <w:szCs w:val="40"/>
          <w:lang w:val="en-US" w:eastAsia="zh-CN"/>
        </w:rPr>
      </w:pPr>
      <w:r>
        <w:rPr>
          <w:rFonts w:hint="eastAsia" w:ascii="方正仿宋简体" w:hAnsi="方正仿宋简体" w:eastAsia="方正仿宋简体" w:cs="方正仿宋简体"/>
          <w:b/>
          <w:bCs w:val="0"/>
          <w:sz w:val="32"/>
          <w:szCs w:val="32"/>
          <w:lang w:val="en-US" w:eastAsia="zh-CN"/>
        </w:rPr>
        <w:t>（二）地贫诊断月报表</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92"/>
        <w:gridCol w:w="5252"/>
      </w:tblGrid>
      <w:tr w14:paraId="4F87A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9C7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项目</w:t>
            </w:r>
          </w:p>
        </w:tc>
        <w:tc>
          <w:tcPr>
            <w:tcW w:w="2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754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填表说明</w:t>
            </w:r>
          </w:p>
        </w:tc>
      </w:tr>
      <w:tr w14:paraId="3A353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2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0A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1.胎儿地贫产前诊断孕妇数</w:t>
            </w:r>
          </w:p>
        </w:tc>
        <w:tc>
          <w:tcPr>
            <w:tcW w:w="2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BFC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本月进行胎儿地贫产前诊断孕妇数</w:t>
            </w:r>
          </w:p>
        </w:tc>
      </w:tr>
      <w:tr w14:paraId="543EF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2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1EE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2.其中：28周前诊断例数</w:t>
            </w:r>
          </w:p>
        </w:tc>
        <w:tc>
          <w:tcPr>
            <w:tcW w:w="2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D71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本月28周前进行胎儿地贫产前诊断孕妇数</w:t>
            </w:r>
          </w:p>
        </w:tc>
      </w:tr>
      <w:tr w14:paraId="767B3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2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096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3.绒毛诊断例数</w:t>
            </w:r>
          </w:p>
        </w:tc>
        <w:tc>
          <w:tcPr>
            <w:tcW w:w="2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5AB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本月进行胎儿地贫绒毛产前诊断孕妇数</w:t>
            </w:r>
          </w:p>
        </w:tc>
      </w:tr>
      <w:tr w14:paraId="4D53E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2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1E8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4.脐血诊断例数</w:t>
            </w:r>
          </w:p>
        </w:tc>
        <w:tc>
          <w:tcPr>
            <w:tcW w:w="2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844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本月进行胎儿地贫脐血产前诊断孕妇数</w:t>
            </w:r>
          </w:p>
        </w:tc>
      </w:tr>
      <w:tr w14:paraId="40E05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2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FE9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5.羊水诊断例数</w:t>
            </w:r>
          </w:p>
        </w:tc>
        <w:tc>
          <w:tcPr>
            <w:tcW w:w="2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DD8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本月进行胎儿地贫羊水产前诊断孕妇数</w:t>
            </w:r>
          </w:p>
        </w:tc>
      </w:tr>
      <w:tr w14:paraId="6BC08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4" w:hRule="atLeast"/>
        </w:trPr>
        <w:tc>
          <w:tcPr>
            <w:tcW w:w="2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E4D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6.携带地贫基因胎儿总数</w:t>
            </w:r>
          </w:p>
        </w:tc>
        <w:tc>
          <w:tcPr>
            <w:tcW w:w="2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7B9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本月确诊携带地贫基因胎儿总数</w:t>
            </w:r>
            <w:r>
              <w:rPr>
                <w:rFonts w:hint="eastAsia" w:ascii="方正仿宋简体" w:hAnsi="方正仿宋简体" w:eastAsia="方正仿宋简体" w:cs="方正仿宋简体"/>
                <w:i w:val="0"/>
                <w:iCs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iCs w:val="0"/>
                <w:color w:val="000000"/>
                <w:kern w:val="0"/>
                <w:sz w:val="24"/>
                <w:szCs w:val="24"/>
                <w:u w:val="none"/>
                <w:lang w:val="en-US" w:eastAsia="zh-CN" w:bidi="ar"/>
              </w:rPr>
              <w:t>（即为以上产前诊断提示包括所有地贫基因型，无需与1保持逻辑关系，按本月出结果的情况报送）</w:t>
            </w:r>
          </w:p>
        </w:tc>
      </w:tr>
      <w:tr w14:paraId="2081C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2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715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7.其中：α地贫胎儿数</w:t>
            </w:r>
          </w:p>
        </w:tc>
        <w:tc>
          <w:tcPr>
            <w:tcW w:w="2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149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其中，确诊α地贫胎儿数</w:t>
            </w:r>
          </w:p>
        </w:tc>
      </w:tr>
      <w:tr w14:paraId="0D362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2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806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8.β地贫胎儿数</w:t>
            </w:r>
          </w:p>
        </w:tc>
        <w:tc>
          <w:tcPr>
            <w:tcW w:w="2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910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其中，确诊β地贫胎儿数</w:t>
            </w:r>
          </w:p>
        </w:tc>
      </w:tr>
      <w:tr w14:paraId="42942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742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9.α+β地贫胎儿数</w:t>
            </w:r>
          </w:p>
        </w:tc>
        <w:tc>
          <w:tcPr>
            <w:tcW w:w="2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A72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其中，确诊α+β地贫胎儿数</w:t>
            </w:r>
          </w:p>
        </w:tc>
      </w:tr>
      <w:tr w14:paraId="47CE9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2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E78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10.其他罕见型地贫胎儿数</w:t>
            </w:r>
          </w:p>
        </w:tc>
        <w:tc>
          <w:tcPr>
            <w:tcW w:w="2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FCC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其中，确诊其他罕见型地贫胎儿数</w:t>
            </w:r>
          </w:p>
        </w:tc>
      </w:tr>
      <w:tr w14:paraId="08964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0" w:hRule="atLeast"/>
        </w:trPr>
        <w:tc>
          <w:tcPr>
            <w:tcW w:w="2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C19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11.中间型及重型地贫胎儿总数</w:t>
            </w:r>
          </w:p>
        </w:tc>
        <w:tc>
          <w:tcPr>
            <w:tcW w:w="2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E8F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本月确诊中间型及重型地贫胎儿数</w:t>
            </w:r>
          </w:p>
        </w:tc>
      </w:tr>
      <w:tr w14:paraId="03251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2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FB4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12.其中：中间型α地贫胎儿数</w:t>
            </w:r>
          </w:p>
        </w:tc>
        <w:tc>
          <w:tcPr>
            <w:tcW w:w="2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917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其中，确诊为中间型α地贫</w:t>
            </w:r>
          </w:p>
        </w:tc>
      </w:tr>
      <w:tr w14:paraId="7630C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2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18A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13.重型α地贫胎儿数</w:t>
            </w:r>
          </w:p>
        </w:tc>
        <w:tc>
          <w:tcPr>
            <w:tcW w:w="2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AAD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其中，确诊为重型α地贫</w:t>
            </w:r>
          </w:p>
        </w:tc>
      </w:tr>
      <w:tr w14:paraId="4999B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2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43D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14.中间型β地贫胎儿数</w:t>
            </w:r>
          </w:p>
        </w:tc>
        <w:tc>
          <w:tcPr>
            <w:tcW w:w="2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CF8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其中，确诊为中间型β地贫</w:t>
            </w:r>
          </w:p>
        </w:tc>
      </w:tr>
      <w:tr w14:paraId="44D4A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2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29F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15.重型β地贫胎儿数</w:t>
            </w:r>
          </w:p>
        </w:tc>
        <w:tc>
          <w:tcPr>
            <w:tcW w:w="2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52E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其中，确诊为重型β地贫</w:t>
            </w:r>
          </w:p>
        </w:tc>
      </w:tr>
      <w:tr w14:paraId="5C6D9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2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68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16.中间型α+β地贫胎儿数</w:t>
            </w:r>
          </w:p>
        </w:tc>
        <w:tc>
          <w:tcPr>
            <w:tcW w:w="2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8CD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其中，确诊为中间型α+β地贫</w:t>
            </w:r>
          </w:p>
        </w:tc>
      </w:tr>
      <w:tr w14:paraId="4D4CC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2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2AE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17.重型α+β地贫胎儿数</w:t>
            </w:r>
          </w:p>
        </w:tc>
        <w:tc>
          <w:tcPr>
            <w:tcW w:w="2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7D3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其中，确诊为重型α+β地贫</w:t>
            </w:r>
          </w:p>
        </w:tc>
      </w:tr>
      <w:tr w14:paraId="45C62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2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C36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18.中间型其他型地贫胎儿数</w:t>
            </w:r>
          </w:p>
        </w:tc>
        <w:tc>
          <w:tcPr>
            <w:tcW w:w="2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568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其中，确诊为中间型其他型地贫</w:t>
            </w:r>
          </w:p>
        </w:tc>
      </w:tr>
      <w:tr w14:paraId="2A6D7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2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C6C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19.重型其他型地贫胎儿数</w:t>
            </w:r>
          </w:p>
        </w:tc>
        <w:tc>
          <w:tcPr>
            <w:tcW w:w="2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3C5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其中，确诊为重型其他型地贫</w:t>
            </w:r>
          </w:p>
        </w:tc>
      </w:tr>
      <w:tr w14:paraId="64E7E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D7A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kern w:val="0"/>
                <w:sz w:val="24"/>
                <w:szCs w:val="24"/>
                <w:highlight w:val="yellow"/>
                <w:u w:val="none"/>
                <w:lang w:val="en-US" w:eastAsia="zh-CN" w:bidi="ar"/>
              </w:rPr>
            </w:pPr>
            <w:r>
              <w:rPr>
                <w:rFonts w:hint="eastAsia" w:ascii="方正仿宋简体" w:hAnsi="方正仿宋简体" w:eastAsia="方正仿宋简体" w:cs="方正仿宋简体"/>
                <w:b/>
                <w:bCs/>
                <w:i w:val="0"/>
                <w:iCs w:val="0"/>
                <w:color w:val="000000"/>
                <w:kern w:val="0"/>
                <w:sz w:val="24"/>
                <w:szCs w:val="24"/>
                <w:highlight w:val="none"/>
                <w:u w:val="none"/>
                <w:shd w:val="clear"/>
                <w:lang w:val="en-US" w:eastAsia="zh-CN" w:bidi="ar"/>
              </w:rPr>
              <w:t>上表仅为产前诊断机构需每月10日前填写在江门市妇幼卫生信息平台。</w:t>
            </w:r>
          </w:p>
        </w:tc>
      </w:tr>
    </w:tbl>
    <w:p w14:paraId="2728CF96">
      <w:pPr>
        <w:keepNext w:val="0"/>
        <w:keepLines w:val="0"/>
        <w:pageBreakBefore w:val="0"/>
        <w:widowControl w:val="0"/>
        <w:kinsoku/>
        <w:wordWrap/>
        <w:overflowPunct/>
        <w:topLinePunct w:val="0"/>
        <w:autoSpaceDE/>
        <w:autoSpaceDN/>
        <w:bidi w:val="0"/>
        <w:adjustRightInd w:val="0"/>
        <w:snapToGrid/>
        <w:spacing w:line="400" w:lineRule="exact"/>
        <w:ind w:firstLine="560" w:firstLineChars="200"/>
        <w:jc w:val="both"/>
        <w:textAlignment w:val="auto"/>
        <w:rPr>
          <w:rFonts w:hint="eastAsia" w:ascii="方正仿宋简体" w:hAnsi="方正仿宋简体" w:eastAsia="方正仿宋简体" w:cs="方正仿宋简体"/>
          <w:bCs/>
          <w:sz w:val="28"/>
          <w:szCs w:val="28"/>
          <w:lang w:val="en-US" w:eastAsia="zh-CN"/>
        </w:rPr>
      </w:pPr>
      <w:r>
        <w:rPr>
          <w:rFonts w:hint="eastAsia" w:ascii="方正仿宋简体" w:hAnsi="方正仿宋简体" w:eastAsia="方正仿宋简体" w:cs="方正仿宋简体"/>
          <w:bCs/>
          <w:sz w:val="28"/>
          <w:szCs w:val="28"/>
          <w:lang w:val="en-US" w:eastAsia="zh-CN"/>
        </w:rPr>
        <w:t>注意：地中海贫血防控每月10日前除上报以上2份报表外，还需按原有旧方案要求，每月报送中重度地贫患儿登记报告表、携带同型地贫基因的孕妇夫妇登记随访表。</w:t>
      </w:r>
    </w:p>
    <w:p w14:paraId="2B5E674C">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方正黑体简体" w:hAnsi="方正黑体简体" w:eastAsia="方正黑体简体" w:cs="方正黑体简体"/>
          <w:snapToGrid w:val="0"/>
          <w:kern w:val="0"/>
          <w:sz w:val="32"/>
          <w:szCs w:val="32"/>
          <w:lang w:val="en-US" w:eastAsia="zh-CN"/>
        </w:rPr>
      </w:pPr>
    </w:p>
    <w:p w14:paraId="41D231D5">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方正黑体简体" w:hAnsi="方正黑体简体" w:eastAsia="方正黑体简体" w:cs="方正黑体简体"/>
          <w:snapToGrid w:val="0"/>
          <w:kern w:val="0"/>
          <w:sz w:val="32"/>
          <w:szCs w:val="32"/>
          <w:lang w:val="en-US" w:eastAsia="zh-CN"/>
        </w:rPr>
      </w:pPr>
    </w:p>
    <w:p w14:paraId="4436A53E">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附件6</w:t>
      </w:r>
    </w:p>
    <w:p w14:paraId="0A29BB2C">
      <w:pPr>
        <w:keepNext w:val="0"/>
        <w:keepLines w:val="0"/>
        <w:pageBreakBefore w:val="0"/>
        <w:widowControl w:val="0"/>
        <w:kinsoku/>
        <w:wordWrap/>
        <w:overflowPunct/>
        <w:topLinePunct w:val="0"/>
        <w:autoSpaceDE/>
        <w:autoSpaceDN/>
        <w:bidi w:val="0"/>
        <w:adjustRightInd/>
        <w:snapToGrid/>
        <w:spacing w:before="157" w:beforeLines="50" w:after="157" w:afterLines="50" w:line="640" w:lineRule="exact"/>
        <w:jc w:val="center"/>
        <w:textAlignment w:val="auto"/>
        <w:rPr>
          <w:rFonts w:hint="eastAsia" w:eastAsia="方正小标宋简体" w:cs="Times New Roman"/>
          <w:bCs/>
          <w:sz w:val="40"/>
          <w:szCs w:val="40"/>
          <w:lang w:val="en-US" w:eastAsia="zh-CN"/>
        </w:rPr>
      </w:pPr>
      <w:r>
        <w:rPr>
          <w:rFonts w:hint="eastAsia" w:eastAsia="方正小标宋简体" w:cs="Times New Roman"/>
          <w:bCs/>
          <w:sz w:val="40"/>
          <w:szCs w:val="40"/>
          <w:lang w:val="en-US" w:eastAsia="zh-CN"/>
        </w:rPr>
        <w:t>江门市出生缺陷综合防控项目——先天性心脏病筛查月报表</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35"/>
        <w:gridCol w:w="2235"/>
        <w:gridCol w:w="2235"/>
        <w:gridCol w:w="2239"/>
      </w:tblGrid>
      <w:tr w14:paraId="1838F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837C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机构名称</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5EC8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活产数</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DA06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已筛查数</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561A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未筛查转诊数</w:t>
            </w:r>
          </w:p>
        </w:tc>
      </w:tr>
      <w:tr w14:paraId="50413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6DB4E">
            <w:pPr>
              <w:keepNext w:val="0"/>
              <w:keepLines w:val="0"/>
              <w:pageBreakBefore w:val="0"/>
              <w:widowControl/>
              <w:kinsoku/>
              <w:wordWrap/>
              <w:overflowPunct/>
              <w:topLinePunct w:val="0"/>
              <w:autoSpaceDE/>
              <w:autoSpaceDN/>
              <w:bidi w:val="0"/>
              <w:adjustRightInd/>
              <w:snapToGrid/>
              <w:spacing w:line="560" w:lineRule="exact"/>
              <w:jc w:val="center"/>
              <w:rPr>
                <w:rFonts w:hint="eastAsia" w:ascii="方正仿宋简体" w:hAnsi="方正仿宋简体" w:eastAsia="方正仿宋简体" w:cs="方正仿宋简体"/>
                <w:i w:val="0"/>
                <w:iCs w:val="0"/>
                <w:color w:val="000000"/>
                <w:sz w:val="28"/>
                <w:szCs w:val="28"/>
                <w:u w:val="none"/>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041E">
            <w:pPr>
              <w:keepNext w:val="0"/>
              <w:keepLines w:val="0"/>
              <w:pageBreakBefore w:val="0"/>
              <w:widowControl/>
              <w:kinsoku/>
              <w:wordWrap/>
              <w:overflowPunct/>
              <w:topLinePunct w:val="0"/>
              <w:autoSpaceDE/>
              <w:autoSpaceDN/>
              <w:bidi w:val="0"/>
              <w:adjustRightInd/>
              <w:snapToGrid/>
              <w:spacing w:line="560" w:lineRule="exact"/>
              <w:jc w:val="center"/>
              <w:rPr>
                <w:rFonts w:hint="eastAsia" w:ascii="方正仿宋简体" w:hAnsi="方正仿宋简体" w:eastAsia="方正仿宋简体" w:cs="方正仿宋简体"/>
                <w:i w:val="0"/>
                <w:iCs w:val="0"/>
                <w:color w:val="000000"/>
                <w:sz w:val="28"/>
                <w:szCs w:val="28"/>
                <w:u w:val="none"/>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C181">
            <w:pPr>
              <w:keepNext w:val="0"/>
              <w:keepLines w:val="0"/>
              <w:pageBreakBefore w:val="0"/>
              <w:widowControl/>
              <w:kinsoku/>
              <w:wordWrap/>
              <w:overflowPunct/>
              <w:topLinePunct w:val="0"/>
              <w:autoSpaceDE/>
              <w:autoSpaceDN/>
              <w:bidi w:val="0"/>
              <w:adjustRightInd/>
              <w:snapToGrid/>
              <w:spacing w:line="560" w:lineRule="exact"/>
              <w:jc w:val="center"/>
              <w:rPr>
                <w:rFonts w:hint="eastAsia" w:ascii="方正仿宋简体" w:hAnsi="方正仿宋简体" w:eastAsia="方正仿宋简体" w:cs="方正仿宋简体"/>
                <w:i w:val="0"/>
                <w:iCs w:val="0"/>
                <w:color w:val="000000"/>
                <w:sz w:val="28"/>
                <w:szCs w:val="28"/>
                <w:u w:val="none"/>
              </w:rPr>
            </w:pPr>
          </w:p>
        </w:tc>
        <w:tc>
          <w:tcPr>
            <w:tcW w:w="1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967F">
            <w:pPr>
              <w:keepNext w:val="0"/>
              <w:keepLines w:val="0"/>
              <w:pageBreakBefore w:val="0"/>
              <w:widowControl/>
              <w:kinsoku/>
              <w:wordWrap/>
              <w:overflowPunct/>
              <w:topLinePunct w:val="0"/>
              <w:autoSpaceDE/>
              <w:autoSpaceDN/>
              <w:bidi w:val="0"/>
              <w:adjustRightInd/>
              <w:snapToGrid/>
              <w:spacing w:line="560" w:lineRule="exact"/>
              <w:jc w:val="center"/>
              <w:rPr>
                <w:rFonts w:hint="eastAsia" w:ascii="方正仿宋简体" w:hAnsi="方正仿宋简体" w:eastAsia="方正仿宋简体" w:cs="方正仿宋简体"/>
                <w:i w:val="0"/>
                <w:iCs w:val="0"/>
                <w:color w:val="000000"/>
                <w:sz w:val="28"/>
                <w:szCs w:val="28"/>
                <w:u w:val="none"/>
              </w:rPr>
            </w:pPr>
          </w:p>
        </w:tc>
      </w:tr>
    </w:tbl>
    <w:p w14:paraId="17BE9B9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napToGrid w:val="0"/>
          <w:color w:val="auto"/>
          <w:kern w:val="0"/>
          <w:sz w:val="28"/>
          <w:szCs w:val="28"/>
          <w:highlight w:val="none"/>
          <w:lang w:eastAsia="zh-CN"/>
        </w:rPr>
      </w:pPr>
      <w:r>
        <w:rPr>
          <w:rFonts w:hint="eastAsia" w:ascii="方正仿宋简体" w:hAnsi="方正仿宋简体" w:eastAsia="方正仿宋简体" w:cs="方正仿宋简体"/>
          <w:bCs/>
          <w:sz w:val="28"/>
          <w:szCs w:val="28"/>
          <w:highlight w:val="none"/>
          <w:lang w:val="en-US" w:eastAsia="zh-CN"/>
        </w:rPr>
        <w:t>备注：筛查机构每月10日前需要在</w:t>
      </w:r>
      <w:r>
        <w:rPr>
          <w:rFonts w:hint="eastAsia" w:ascii="方正仿宋简体" w:hAnsi="方正仿宋简体" w:eastAsia="方正仿宋简体" w:cs="方正仿宋简体"/>
          <w:snapToGrid w:val="0"/>
          <w:color w:val="auto"/>
          <w:kern w:val="0"/>
          <w:sz w:val="28"/>
          <w:szCs w:val="28"/>
          <w:highlight w:val="none"/>
          <w:lang w:eastAsia="zh-CN"/>
        </w:rPr>
        <w:t>新生儿先天性心脏病筛查工作信息管理系统填报。</w:t>
      </w:r>
    </w:p>
    <w:p w14:paraId="03B9758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napToGrid w:val="0"/>
          <w:color w:val="auto"/>
          <w:kern w:val="0"/>
          <w:sz w:val="32"/>
          <w:szCs w:val="32"/>
          <w:highlight w:val="none"/>
          <w:lang w:eastAsia="zh-CN"/>
        </w:rPr>
      </w:pPr>
    </w:p>
    <w:p w14:paraId="0E827AA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napToGrid w:val="0"/>
          <w:color w:val="auto"/>
          <w:kern w:val="0"/>
          <w:sz w:val="32"/>
          <w:szCs w:val="32"/>
          <w:highlight w:val="none"/>
          <w:lang w:eastAsia="zh-CN"/>
        </w:rPr>
      </w:pPr>
    </w:p>
    <w:p w14:paraId="391AA65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napToGrid w:val="0"/>
          <w:color w:val="auto"/>
          <w:kern w:val="0"/>
          <w:sz w:val="32"/>
          <w:szCs w:val="32"/>
          <w:highlight w:val="none"/>
          <w:lang w:eastAsia="zh-CN"/>
        </w:rPr>
      </w:pPr>
    </w:p>
    <w:p w14:paraId="74093EE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napToGrid w:val="0"/>
          <w:color w:val="auto"/>
          <w:kern w:val="0"/>
          <w:sz w:val="32"/>
          <w:szCs w:val="32"/>
          <w:highlight w:val="none"/>
          <w:lang w:eastAsia="zh-CN"/>
        </w:rPr>
      </w:pPr>
    </w:p>
    <w:p w14:paraId="3E655D9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napToGrid w:val="0"/>
          <w:color w:val="auto"/>
          <w:kern w:val="0"/>
          <w:sz w:val="32"/>
          <w:szCs w:val="32"/>
          <w:highlight w:val="none"/>
          <w:lang w:eastAsia="zh-CN"/>
        </w:rPr>
      </w:pPr>
    </w:p>
    <w:p w14:paraId="74695FB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napToGrid w:val="0"/>
          <w:color w:val="auto"/>
          <w:kern w:val="0"/>
          <w:sz w:val="32"/>
          <w:szCs w:val="32"/>
          <w:highlight w:val="none"/>
          <w:lang w:eastAsia="zh-CN"/>
        </w:rPr>
      </w:pPr>
    </w:p>
    <w:p w14:paraId="3BF6C3D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napToGrid w:val="0"/>
          <w:color w:val="auto"/>
          <w:kern w:val="0"/>
          <w:sz w:val="32"/>
          <w:szCs w:val="32"/>
          <w:highlight w:val="none"/>
          <w:lang w:eastAsia="zh-CN"/>
        </w:rPr>
      </w:pPr>
    </w:p>
    <w:p w14:paraId="281AFE5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napToGrid w:val="0"/>
          <w:color w:val="auto"/>
          <w:kern w:val="0"/>
          <w:sz w:val="32"/>
          <w:szCs w:val="32"/>
          <w:highlight w:val="none"/>
          <w:lang w:eastAsia="zh-CN"/>
        </w:rPr>
      </w:pPr>
    </w:p>
    <w:p w14:paraId="23D7396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napToGrid w:val="0"/>
          <w:color w:val="auto"/>
          <w:kern w:val="0"/>
          <w:sz w:val="32"/>
          <w:szCs w:val="32"/>
          <w:highlight w:val="none"/>
          <w:lang w:eastAsia="zh-CN"/>
        </w:rPr>
      </w:pPr>
    </w:p>
    <w:p w14:paraId="4258B4B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napToGrid w:val="0"/>
          <w:color w:val="auto"/>
          <w:kern w:val="0"/>
          <w:sz w:val="32"/>
          <w:szCs w:val="32"/>
          <w:highlight w:val="none"/>
          <w:lang w:eastAsia="zh-CN"/>
        </w:rPr>
      </w:pPr>
    </w:p>
    <w:p w14:paraId="67CCD78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napToGrid w:val="0"/>
          <w:color w:val="auto"/>
          <w:kern w:val="0"/>
          <w:sz w:val="32"/>
          <w:szCs w:val="32"/>
          <w:highlight w:val="none"/>
          <w:lang w:eastAsia="zh-CN"/>
        </w:rPr>
      </w:pPr>
    </w:p>
    <w:p w14:paraId="0F0D788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napToGrid w:val="0"/>
          <w:color w:val="auto"/>
          <w:kern w:val="0"/>
          <w:sz w:val="32"/>
          <w:szCs w:val="32"/>
          <w:highlight w:val="none"/>
          <w:lang w:eastAsia="zh-CN"/>
        </w:rPr>
      </w:pPr>
    </w:p>
    <w:p w14:paraId="37C22DA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napToGrid w:val="0"/>
          <w:color w:val="auto"/>
          <w:kern w:val="0"/>
          <w:sz w:val="32"/>
          <w:szCs w:val="32"/>
          <w:highlight w:val="none"/>
          <w:lang w:eastAsia="zh-CN"/>
        </w:rPr>
      </w:pPr>
    </w:p>
    <w:p w14:paraId="7238743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仿宋简体" w:hAnsi="方正仿宋简体" w:eastAsia="方正仿宋简体" w:cs="方正仿宋简体"/>
          <w:snapToGrid w:val="0"/>
          <w:color w:val="auto"/>
          <w:kern w:val="0"/>
          <w:sz w:val="32"/>
          <w:szCs w:val="32"/>
          <w:highlight w:val="none"/>
          <w:lang w:val="en-US" w:eastAsia="zh-CN"/>
        </w:rPr>
      </w:pPr>
    </w:p>
    <w:p w14:paraId="1C7CA9C0">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方正黑体简体" w:hAnsi="方正黑体简体" w:eastAsia="方正黑体简体" w:cs="方正黑体简体"/>
          <w:snapToGrid w:val="0"/>
          <w:kern w:val="0"/>
          <w:sz w:val="32"/>
          <w:szCs w:val="32"/>
          <w:lang w:val="en-US" w:eastAsia="zh-CN"/>
        </w:rPr>
        <w:sectPr>
          <w:pgSz w:w="11906" w:h="16838"/>
          <w:pgMar w:top="1587" w:right="1587" w:bottom="1587" w:left="1587" w:header="851" w:footer="1134" w:gutter="0"/>
          <w:pgBorders>
            <w:top w:val="none" w:sz="0" w:space="0"/>
            <w:left w:val="none" w:sz="0" w:space="0"/>
            <w:bottom w:val="none" w:sz="0" w:space="0"/>
            <w:right w:val="none" w:sz="0" w:space="0"/>
          </w:pgBorders>
          <w:pgNumType w:fmt="decimal"/>
          <w:cols w:space="425" w:num="1"/>
          <w:rtlGutter w:val="0"/>
          <w:docGrid w:type="lines" w:linePitch="312" w:charSpace="0"/>
        </w:sectPr>
      </w:pPr>
    </w:p>
    <w:p w14:paraId="4BE4BB74">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附件7</w:t>
      </w:r>
    </w:p>
    <w:p w14:paraId="443FCF32">
      <w:pPr>
        <w:keepNext w:val="0"/>
        <w:keepLines w:val="0"/>
        <w:pageBreakBefore w:val="0"/>
        <w:widowControl w:val="0"/>
        <w:kinsoku/>
        <w:wordWrap/>
        <w:overflowPunct/>
        <w:topLinePunct w:val="0"/>
        <w:autoSpaceDE/>
        <w:autoSpaceDN/>
        <w:bidi w:val="0"/>
        <w:adjustRightInd/>
        <w:snapToGrid/>
        <w:spacing w:before="157" w:beforeLines="50" w:after="157" w:afterLines="50" w:line="640" w:lineRule="exact"/>
        <w:jc w:val="center"/>
        <w:textAlignment w:val="auto"/>
        <w:rPr>
          <w:rFonts w:hint="eastAsia" w:eastAsia="方正小标宋简体" w:cs="Times New Roman"/>
          <w:bCs/>
          <w:sz w:val="40"/>
          <w:szCs w:val="40"/>
          <w:lang w:val="en-US" w:eastAsia="zh-CN"/>
        </w:rPr>
      </w:pPr>
      <w:r>
        <w:rPr>
          <w:rFonts w:hint="eastAsia" w:eastAsia="方正小标宋简体" w:cs="Times New Roman"/>
          <w:bCs/>
          <w:sz w:val="40"/>
          <w:szCs w:val="40"/>
          <w:lang w:val="en-US" w:eastAsia="zh-CN"/>
        </w:rPr>
        <w:t>江门市出生缺陷综合防控项目季度月报表（产前筛查与诊断、新生儿疾病筛查）</w:t>
      </w:r>
    </w:p>
    <w:p w14:paraId="68DDC1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b/>
          <w:bCs w:val="0"/>
          <w:sz w:val="32"/>
          <w:szCs w:val="32"/>
          <w:lang w:val="en-US" w:eastAsia="zh-CN"/>
        </w:rPr>
      </w:pPr>
      <w:r>
        <w:rPr>
          <w:rFonts w:hint="eastAsia" w:ascii="方正仿宋简体" w:hAnsi="方正仿宋简体" w:eastAsia="方正仿宋简体" w:cs="方正仿宋简体"/>
          <w:b/>
          <w:bCs w:val="0"/>
          <w:sz w:val="32"/>
          <w:szCs w:val="32"/>
          <w:lang w:val="en-US" w:eastAsia="zh-CN"/>
        </w:rPr>
        <w:t>（一）产前筛查与诊断</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6"/>
        <w:gridCol w:w="416"/>
        <w:gridCol w:w="519"/>
        <w:gridCol w:w="519"/>
        <w:gridCol w:w="525"/>
        <w:gridCol w:w="519"/>
        <w:gridCol w:w="519"/>
        <w:gridCol w:w="525"/>
        <w:gridCol w:w="522"/>
        <w:gridCol w:w="525"/>
        <w:gridCol w:w="522"/>
        <w:gridCol w:w="522"/>
        <w:gridCol w:w="522"/>
        <w:gridCol w:w="522"/>
        <w:gridCol w:w="522"/>
        <w:gridCol w:w="522"/>
        <w:gridCol w:w="522"/>
        <w:gridCol w:w="522"/>
        <w:gridCol w:w="522"/>
        <w:gridCol w:w="522"/>
        <w:gridCol w:w="522"/>
        <w:gridCol w:w="522"/>
        <w:gridCol w:w="522"/>
        <w:gridCol w:w="522"/>
        <w:gridCol w:w="522"/>
        <w:gridCol w:w="523"/>
        <w:gridCol w:w="523"/>
      </w:tblGrid>
      <w:tr w14:paraId="5D8EF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CC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机构</w:t>
            </w:r>
          </w:p>
        </w:tc>
        <w:tc>
          <w:tcPr>
            <w:tcW w:w="15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91E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月份</w:t>
            </w:r>
          </w:p>
        </w:tc>
        <w:tc>
          <w:tcPr>
            <w:tcW w:w="2254"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46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产前筛查</w:t>
            </w:r>
          </w:p>
        </w:tc>
        <w:tc>
          <w:tcPr>
            <w:tcW w:w="112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D7F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产前诊断</w:t>
            </w:r>
          </w:p>
        </w:tc>
        <w:tc>
          <w:tcPr>
            <w:tcW w:w="75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16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终止妊娠</w:t>
            </w:r>
          </w:p>
        </w:tc>
        <w:tc>
          <w:tcPr>
            <w:tcW w:w="5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AD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单基因病</w:t>
            </w:r>
          </w:p>
        </w:tc>
      </w:tr>
      <w:tr w14:paraId="7F6B9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2634">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E7A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150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1B32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染色体异常筛查</w:t>
            </w:r>
          </w:p>
        </w:tc>
        <w:tc>
          <w:tcPr>
            <w:tcW w:w="3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52C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孕早期超声筛查</w:t>
            </w:r>
            <w:r>
              <w:rPr>
                <w:rFonts w:hint="eastAsia" w:ascii="方正仿宋简体" w:hAnsi="方正仿宋简体" w:eastAsia="方正仿宋简体" w:cs="方正仿宋简体"/>
                <w:i w:val="0"/>
                <w:iCs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iCs w:val="0"/>
                <w:color w:val="000000"/>
                <w:kern w:val="0"/>
                <w:sz w:val="24"/>
                <w:szCs w:val="24"/>
                <w:u w:val="none"/>
                <w:lang w:val="en-US" w:eastAsia="zh-CN" w:bidi="ar"/>
              </w:rPr>
              <w:t>(含NT)</w:t>
            </w:r>
          </w:p>
        </w:tc>
        <w:tc>
          <w:tcPr>
            <w:tcW w:w="3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08D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孕中期Ⅱ级超声筛查</w:t>
            </w:r>
          </w:p>
        </w:tc>
        <w:tc>
          <w:tcPr>
            <w:tcW w:w="3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439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介入性产前诊断</w:t>
            </w:r>
          </w:p>
        </w:tc>
        <w:tc>
          <w:tcPr>
            <w:tcW w:w="3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7D3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Ⅲ级超声</w:t>
            </w:r>
          </w:p>
        </w:tc>
        <w:tc>
          <w:tcPr>
            <w:tcW w:w="3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DBD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胎儿超声心动图</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27C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终止妊娠</w:t>
            </w:r>
          </w:p>
        </w:tc>
        <w:tc>
          <w:tcPr>
            <w:tcW w:w="5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4E74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其中，</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3D4F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产前诊断</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B0F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确诊</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698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终止妊娠</w:t>
            </w:r>
          </w:p>
        </w:tc>
      </w:tr>
      <w:tr w14:paraId="663D3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0401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5EE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5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47F1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早期血清学筛查（结合NT）</w:t>
            </w:r>
          </w:p>
        </w:tc>
        <w:tc>
          <w:tcPr>
            <w:tcW w:w="5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3F33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中期血清学筛查</w:t>
            </w:r>
          </w:p>
        </w:tc>
        <w:tc>
          <w:tcPr>
            <w:tcW w:w="3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BF4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NIPT</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AAA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检查人数</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DE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阳性</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0EC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检查人数</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8CD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阳性</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EAC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诊断数</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A3E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确诊染色体异常</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CE4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检查人数</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063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确诊六大结构畸形</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12B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检查人数</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477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确诊危重先心</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D6E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合计</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505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染色体异常</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4B0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六大结构畸形</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284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危重先心</w:t>
            </w: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4F2B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iCs w:val="0"/>
                <w:color w:val="000000"/>
                <w:sz w:val="24"/>
                <w:szCs w:val="24"/>
                <w:u w:val="none"/>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7CEE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iCs w:val="0"/>
                <w:color w:val="000000"/>
                <w:sz w:val="24"/>
                <w:szCs w:val="24"/>
                <w:u w:val="none"/>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E9AB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iCs w:val="0"/>
                <w:color w:val="000000"/>
                <w:sz w:val="24"/>
                <w:szCs w:val="24"/>
                <w:u w:val="none"/>
              </w:rPr>
            </w:pPr>
          </w:p>
        </w:tc>
      </w:tr>
      <w:tr w14:paraId="21722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D9B2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327D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D24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筛查数</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FB3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高风险</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A43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临界风险</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E0E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筛查数</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15E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高风险</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D53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临界风险</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6F0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筛查数</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053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高风险</w:t>
            </w: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1C6A8">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iCs w:val="0"/>
                <w:color w:val="000000"/>
                <w:sz w:val="24"/>
                <w:szCs w:val="24"/>
                <w:u w:val="none"/>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AA5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iCs w:val="0"/>
                <w:color w:val="000000"/>
                <w:sz w:val="24"/>
                <w:szCs w:val="24"/>
                <w:u w:val="none"/>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BAE34">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iCs w:val="0"/>
                <w:color w:val="000000"/>
                <w:sz w:val="24"/>
                <w:szCs w:val="24"/>
                <w:u w:val="none"/>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1300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iCs w:val="0"/>
                <w:color w:val="000000"/>
                <w:sz w:val="24"/>
                <w:szCs w:val="24"/>
                <w:u w:val="none"/>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595D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iCs w:val="0"/>
                <w:color w:val="000000"/>
                <w:sz w:val="24"/>
                <w:szCs w:val="24"/>
                <w:u w:val="none"/>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F897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iCs w:val="0"/>
                <w:color w:val="000000"/>
                <w:sz w:val="24"/>
                <w:szCs w:val="24"/>
                <w:u w:val="none"/>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9B6E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iCs w:val="0"/>
                <w:color w:val="000000"/>
                <w:sz w:val="24"/>
                <w:szCs w:val="24"/>
                <w:u w:val="none"/>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3EE7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iCs w:val="0"/>
                <w:color w:val="000000"/>
                <w:sz w:val="24"/>
                <w:szCs w:val="24"/>
                <w:u w:val="none"/>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F09F4">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iCs w:val="0"/>
                <w:color w:val="000000"/>
                <w:sz w:val="24"/>
                <w:szCs w:val="24"/>
                <w:u w:val="none"/>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5235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iCs w:val="0"/>
                <w:color w:val="000000"/>
                <w:sz w:val="24"/>
                <w:szCs w:val="24"/>
                <w:u w:val="none"/>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DC34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iCs w:val="0"/>
                <w:color w:val="000000"/>
                <w:sz w:val="24"/>
                <w:szCs w:val="24"/>
                <w:u w:val="none"/>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72892">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iCs w:val="0"/>
                <w:color w:val="000000"/>
                <w:sz w:val="24"/>
                <w:szCs w:val="24"/>
                <w:u w:val="none"/>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6778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iCs w:val="0"/>
                <w:color w:val="000000"/>
                <w:sz w:val="24"/>
                <w:szCs w:val="24"/>
                <w:u w:val="none"/>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9F29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iCs w:val="0"/>
                <w:color w:val="000000"/>
                <w:sz w:val="24"/>
                <w:szCs w:val="24"/>
                <w:u w:val="none"/>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128F2">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iCs w:val="0"/>
                <w:color w:val="000000"/>
                <w:sz w:val="24"/>
                <w:szCs w:val="24"/>
                <w:u w:val="none"/>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DF12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iCs w:val="0"/>
                <w:color w:val="000000"/>
                <w:sz w:val="24"/>
                <w:szCs w:val="24"/>
                <w:u w:val="none"/>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3111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iCs w:val="0"/>
                <w:color w:val="000000"/>
                <w:sz w:val="24"/>
                <w:szCs w:val="24"/>
                <w:u w:val="none"/>
              </w:rPr>
            </w:pPr>
          </w:p>
        </w:tc>
      </w:tr>
      <w:tr w14:paraId="68951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69B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C758">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D4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17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F9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5F2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47C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7E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FB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5D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316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40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00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66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A9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21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525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12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15F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D3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4B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06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0F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2D8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C2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298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55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p>
        </w:tc>
      </w:tr>
    </w:tbl>
    <w:p w14:paraId="13A814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bCs/>
          <w:sz w:val="32"/>
          <w:szCs w:val="32"/>
          <w:lang w:val="en-US" w:eastAsia="zh-CN"/>
        </w:rPr>
      </w:pPr>
    </w:p>
    <w:p w14:paraId="3F187A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简体" w:hAnsi="方正黑体简体" w:eastAsia="方正黑体简体" w:cs="方正黑体简体"/>
          <w:b/>
          <w:bCs w:val="0"/>
          <w:snapToGrid w:val="0"/>
          <w:kern w:val="0"/>
          <w:sz w:val="32"/>
          <w:szCs w:val="32"/>
          <w:lang w:val="en-US" w:eastAsia="zh-CN"/>
        </w:rPr>
      </w:pPr>
      <w:r>
        <w:rPr>
          <w:rFonts w:hint="eastAsia" w:ascii="方正仿宋简体" w:hAnsi="方正仿宋简体" w:eastAsia="方正仿宋简体" w:cs="方正仿宋简体"/>
          <w:b/>
          <w:bCs w:val="0"/>
          <w:sz w:val="32"/>
          <w:szCs w:val="32"/>
          <w:lang w:val="en-US" w:eastAsia="zh-CN"/>
        </w:rPr>
        <w:t>（二）新生儿疾病筛查</w:t>
      </w:r>
    </w:p>
    <w:tbl>
      <w:tblPr>
        <w:tblStyle w:val="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0"/>
        <w:gridCol w:w="740"/>
        <w:gridCol w:w="738"/>
        <w:gridCol w:w="1260"/>
        <w:gridCol w:w="738"/>
        <w:gridCol w:w="1260"/>
        <w:gridCol w:w="738"/>
        <w:gridCol w:w="1260"/>
        <w:gridCol w:w="738"/>
        <w:gridCol w:w="1260"/>
        <w:gridCol w:w="999"/>
        <w:gridCol w:w="738"/>
        <w:gridCol w:w="1194"/>
        <w:gridCol w:w="738"/>
        <w:gridCol w:w="739"/>
      </w:tblGrid>
      <w:tr w14:paraId="54FFB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C7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机构</w:t>
            </w:r>
          </w:p>
        </w:tc>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7F8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月份</w:t>
            </w:r>
          </w:p>
        </w:tc>
        <w:tc>
          <w:tcPr>
            <w:tcW w:w="124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1C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新生儿遗传代谢病</w:t>
            </w:r>
          </w:p>
        </w:tc>
        <w:tc>
          <w:tcPr>
            <w:tcW w:w="124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F1F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听力筛查</w:t>
            </w:r>
          </w:p>
        </w:tc>
        <w:tc>
          <w:tcPr>
            <w:tcW w:w="155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8C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ROP</w:t>
            </w:r>
          </w:p>
        </w:tc>
      </w:tr>
      <w:tr w14:paraId="55539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D86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8"/>
                <w:szCs w:val="28"/>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AFC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8"/>
                <w:szCs w:val="28"/>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62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初筛</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E4A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初筛阳性</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3F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复筛</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13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复筛阳性</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31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初筛</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4E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初筛阳性</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55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复筛</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2F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复筛阳性</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E7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早产儿</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70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初筛</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8A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发生ROP</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C9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复筛</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4D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治疗</w:t>
            </w:r>
          </w:p>
        </w:tc>
      </w:tr>
      <w:tr w14:paraId="41708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F68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8"/>
                <w:szCs w:val="28"/>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FE5D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bCs/>
                <w:i w:val="0"/>
                <w:iCs w:val="0"/>
                <w:color w:val="000000"/>
                <w:sz w:val="28"/>
                <w:szCs w:val="28"/>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EF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EB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8"/>
                <w:szCs w:val="28"/>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A7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04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8"/>
                <w:szCs w:val="28"/>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C0C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AF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8"/>
                <w:szCs w:val="28"/>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2F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8"/>
                <w:szCs w:val="2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7B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8"/>
                <w:szCs w:val="2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171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8"/>
                <w:szCs w:val="2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9E7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8"/>
                <w:szCs w:val="28"/>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99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8"/>
                <w:szCs w:val="2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C0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8"/>
                <w:szCs w:val="2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EC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8"/>
                <w:szCs w:val="28"/>
                <w:u w:val="none"/>
              </w:rPr>
            </w:pPr>
          </w:p>
        </w:tc>
      </w:tr>
    </w:tbl>
    <w:p w14:paraId="156868AB">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方正黑体简体" w:hAnsi="方正黑体简体" w:eastAsia="方正黑体简体" w:cs="方正黑体简体"/>
          <w:snapToGrid w:val="0"/>
          <w:spacing w:val="-6"/>
          <w:kern w:val="0"/>
          <w:sz w:val="32"/>
          <w:szCs w:val="32"/>
          <w:lang w:val="en-US" w:eastAsia="zh-CN"/>
        </w:rPr>
      </w:pPr>
      <w:r>
        <w:rPr>
          <w:rFonts w:hint="eastAsia" w:ascii="方正仿宋简体" w:hAnsi="方正仿宋简体" w:eastAsia="方正仿宋简体" w:cs="方正仿宋简体"/>
          <w:snapToGrid w:val="0"/>
          <w:spacing w:val="-6"/>
          <w:kern w:val="0"/>
          <w:sz w:val="32"/>
          <w:szCs w:val="32"/>
          <w:lang w:val="en-US" w:eastAsia="zh-CN"/>
        </w:rPr>
        <w:t>以上表（一）、（二）均为提供筛查服务的机构每季度10日前需在江门市妇幼卫生信息平台上填报。</w:t>
      </w:r>
    </w:p>
    <w:p w14:paraId="027EE8F9">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方正黑体简体" w:hAnsi="方正黑体简体" w:eastAsia="方正黑体简体" w:cs="方正黑体简体"/>
          <w:snapToGrid w:val="0"/>
          <w:kern w:val="0"/>
          <w:sz w:val="32"/>
          <w:szCs w:val="32"/>
          <w:lang w:val="en-US" w:eastAsia="zh-CN"/>
        </w:rPr>
      </w:pPr>
    </w:p>
    <w:p w14:paraId="2D4FA6BC">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方正黑体简体" w:hAnsi="方正黑体简体" w:eastAsia="方正黑体简体" w:cs="方正黑体简体"/>
          <w:snapToGrid w:val="0"/>
          <w:kern w:val="0"/>
          <w:sz w:val="32"/>
          <w:szCs w:val="32"/>
          <w:lang w:val="en-US" w:eastAsia="zh-CN"/>
        </w:rPr>
      </w:pPr>
    </w:p>
    <w:p w14:paraId="2E9B2967">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方正黑体简体" w:hAnsi="方正黑体简体" w:eastAsia="方正黑体简体" w:cs="方正黑体简体"/>
          <w:snapToGrid w:val="0"/>
          <w:kern w:val="0"/>
          <w:sz w:val="32"/>
          <w:szCs w:val="32"/>
          <w:lang w:val="en-US" w:eastAsia="zh-CN"/>
        </w:rPr>
      </w:pPr>
    </w:p>
    <w:p w14:paraId="7EBCDA01">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方正黑体简体" w:hAnsi="方正黑体简体" w:eastAsia="方正黑体简体" w:cs="方正黑体简体"/>
          <w:snapToGrid w:val="0"/>
          <w:kern w:val="0"/>
          <w:sz w:val="32"/>
          <w:szCs w:val="32"/>
          <w:lang w:val="en-US" w:eastAsia="zh-CN"/>
        </w:rPr>
        <w:sectPr>
          <w:pgSz w:w="16838" w:h="11906" w:orient="landscape"/>
          <w:pgMar w:top="1587" w:right="1587" w:bottom="1587" w:left="1587" w:header="851" w:footer="1134" w:gutter="0"/>
          <w:pgBorders>
            <w:top w:val="none" w:sz="0" w:space="0"/>
            <w:left w:val="none" w:sz="0" w:space="0"/>
            <w:bottom w:val="none" w:sz="0" w:space="0"/>
            <w:right w:val="none" w:sz="0" w:space="0"/>
          </w:pgBorders>
          <w:pgNumType w:fmt="decimal"/>
          <w:cols w:space="425" w:num="1"/>
          <w:rtlGutter w:val="0"/>
          <w:docGrid w:type="lines" w:linePitch="312" w:charSpace="0"/>
        </w:sectPr>
      </w:pPr>
    </w:p>
    <w:p w14:paraId="498DCE5C">
      <w:pPr>
        <w:keepNext w:val="0"/>
        <w:keepLines w:val="0"/>
        <w:pageBreakBefore w:val="0"/>
        <w:widowControl/>
        <w:kinsoku/>
        <w:wordWrap/>
        <w:overflowPunct/>
        <w:topLinePunct w:val="0"/>
        <w:autoSpaceDE/>
        <w:autoSpaceDN/>
        <w:bidi w:val="0"/>
        <w:adjustRightInd/>
        <w:snapToGrid/>
        <w:ind w:left="0"/>
        <w:jc w:val="left"/>
        <w:textAlignment w:val="center"/>
        <w:rPr>
          <w:rFonts w:hint="eastAsia" w:ascii="黑体" w:hAnsi="黑体" w:eastAsia="黑体" w:cs="黑体"/>
          <w:kern w:val="0"/>
          <w:sz w:val="32"/>
          <w:szCs w:val="32"/>
          <w:lang w:bidi="ar"/>
        </w:rPr>
      </w:pPr>
      <w:r>
        <w:rPr>
          <w:rFonts w:hint="eastAsia" w:ascii="黑体" w:hAnsi="黑体" w:eastAsia="黑体" w:cs="黑体"/>
          <w:kern w:val="0"/>
          <w:sz w:val="32"/>
          <w:szCs w:val="32"/>
          <w:lang w:bidi="ar"/>
        </w:rPr>
        <w:t>附件</w:t>
      </w:r>
      <w:r>
        <w:rPr>
          <w:rFonts w:hint="eastAsia" w:ascii="黑体" w:hAnsi="黑体" w:eastAsia="黑体" w:cs="黑体"/>
          <w:kern w:val="0"/>
          <w:sz w:val="32"/>
          <w:szCs w:val="32"/>
          <w:lang w:val="en-US" w:eastAsia="zh-CN" w:bidi="ar"/>
        </w:rPr>
        <w:t>8</w:t>
      </w:r>
      <w:r>
        <w:rPr>
          <w:rFonts w:hint="eastAsia" w:ascii="黑体" w:hAnsi="黑体" w:eastAsia="黑体" w:cs="黑体"/>
          <w:kern w:val="0"/>
          <w:sz w:val="32"/>
          <w:szCs w:val="32"/>
          <w:lang w:bidi="ar"/>
        </w:rPr>
        <w:t>-1</w:t>
      </w:r>
    </w:p>
    <w:p w14:paraId="442C7188">
      <w:pPr>
        <w:spacing w:line="640" w:lineRule="exact"/>
        <w:jc w:val="center"/>
        <w:rPr>
          <w:rFonts w:eastAsia="方正小标宋简体"/>
          <w:bCs/>
          <w:sz w:val="36"/>
          <w:szCs w:val="36"/>
        </w:rPr>
      </w:pPr>
      <w:r>
        <w:rPr>
          <w:rFonts w:eastAsia="方正小标宋简体"/>
          <w:bCs/>
          <w:sz w:val="36"/>
          <w:szCs w:val="36"/>
        </w:rPr>
        <w:t xml:space="preserve"> </w:t>
      </w:r>
      <w:r>
        <w:rPr>
          <w:rFonts w:eastAsia="方正小标宋简体"/>
          <w:bCs/>
          <w:sz w:val="40"/>
          <w:szCs w:val="40"/>
        </w:rPr>
        <w:t>地中海贫血防控工作流程图</w:t>
      </w:r>
    </w:p>
    <w:p w14:paraId="66D59EA3">
      <w:pPr>
        <w:jc w:val="center"/>
        <w:rPr>
          <w:b/>
          <w:sz w:val="36"/>
          <w:szCs w:val="16"/>
        </w:rPr>
      </w:pPr>
      <w:r>
        <w:drawing>
          <wp:inline distT="0" distB="0" distL="0" distR="0">
            <wp:extent cx="5615940" cy="4822825"/>
            <wp:effectExtent l="0" t="0" r="3810" b="15875"/>
            <wp:docPr id="47702734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027345"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615940" cy="4822825"/>
                    </a:xfrm>
                    <a:prstGeom prst="rect">
                      <a:avLst/>
                    </a:prstGeom>
                    <a:noFill/>
                    <a:ln>
                      <a:noFill/>
                    </a:ln>
                  </pic:spPr>
                </pic:pic>
              </a:graphicData>
            </a:graphic>
          </wp:inline>
        </w:drawing>
      </w:r>
    </w:p>
    <w:p w14:paraId="34EC96DE">
      <w:pPr>
        <w:snapToGrid w:val="0"/>
        <w:rPr>
          <w:rFonts w:eastAsia="方正小标宋简体"/>
          <w:sz w:val="28"/>
          <w:szCs w:val="28"/>
        </w:rPr>
      </w:pPr>
    </w:p>
    <w:p w14:paraId="1727344E">
      <w:pPr>
        <w:jc w:val="center"/>
      </w:pPr>
    </w:p>
    <w:p w14:paraId="12F61183">
      <w:pPr>
        <w:rPr>
          <w:b/>
          <w:sz w:val="36"/>
          <w:szCs w:val="16"/>
        </w:rPr>
        <w:sectPr>
          <w:footerReference r:id="rId6" w:type="default"/>
          <w:pgSz w:w="11906" w:h="16838"/>
          <w:pgMar w:top="1587" w:right="1587" w:bottom="1587" w:left="1587" w:header="851" w:footer="1134" w:gutter="0"/>
          <w:pgNumType w:fmt="decimal"/>
          <w:cols w:space="720" w:num="1"/>
          <w:rtlGutter w:val="0"/>
          <w:docGrid w:type="linesAndChars" w:linePitch="579" w:charSpace="-3633"/>
        </w:sectPr>
      </w:pPr>
    </w:p>
    <w:p w14:paraId="0092F4C2">
      <w:pPr>
        <w:keepNext w:val="0"/>
        <w:keepLines w:val="0"/>
        <w:pageBreakBefore w:val="0"/>
        <w:widowControl/>
        <w:kinsoku/>
        <w:wordWrap/>
        <w:overflowPunct/>
        <w:topLinePunct w:val="0"/>
        <w:autoSpaceDE/>
        <w:autoSpaceDN/>
        <w:bidi w:val="0"/>
        <w:adjustRightInd/>
        <w:snapToGrid/>
        <w:ind w:left="0"/>
        <w:jc w:val="left"/>
        <w:textAlignment w:val="center"/>
        <w:rPr>
          <w:rFonts w:hint="eastAsia" w:ascii="黑体" w:hAnsi="黑体" w:eastAsia="黑体" w:cs="黑体"/>
          <w:kern w:val="0"/>
          <w:sz w:val="32"/>
          <w:szCs w:val="32"/>
          <w:lang w:eastAsia="zh-CN" w:bidi="ar"/>
        </w:rPr>
      </w:pPr>
      <w:r>
        <w:rPr>
          <w:rFonts w:hint="eastAsia" w:ascii="黑体" w:hAnsi="黑体" w:eastAsia="黑体" w:cs="黑体"/>
          <w:kern w:val="0"/>
          <w:sz w:val="32"/>
          <w:szCs w:val="32"/>
          <w:lang w:bidi="ar"/>
        </w:rPr>
        <w:t>附件</w:t>
      </w:r>
      <w:r>
        <w:rPr>
          <w:rFonts w:hint="eastAsia" w:ascii="黑体" w:hAnsi="黑体" w:eastAsia="黑体" w:cs="黑体"/>
          <w:kern w:val="0"/>
          <w:sz w:val="32"/>
          <w:szCs w:val="32"/>
          <w:lang w:val="en-US" w:eastAsia="zh-CN" w:bidi="ar"/>
        </w:rPr>
        <w:t>8</w:t>
      </w:r>
      <w:r>
        <w:rPr>
          <w:rFonts w:hint="eastAsia" w:ascii="黑体" w:hAnsi="黑体" w:eastAsia="黑体" w:cs="黑体"/>
          <w:kern w:val="0"/>
          <w:sz w:val="32"/>
          <w:szCs w:val="32"/>
          <w:lang w:bidi="ar"/>
        </w:rPr>
        <w:t>-</w:t>
      </w:r>
      <w:r>
        <w:rPr>
          <w:rFonts w:hint="eastAsia" w:ascii="黑体" w:hAnsi="黑体" w:eastAsia="黑体" w:cs="黑体"/>
          <w:kern w:val="0"/>
          <w:sz w:val="32"/>
          <w:szCs w:val="32"/>
          <w:lang w:val="en-US" w:eastAsia="zh-CN" w:bidi="ar"/>
        </w:rPr>
        <w:t>2</w:t>
      </w:r>
    </w:p>
    <w:p w14:paraId="6E0958D8">
      <w:pPr>
        <w:spacing w:line="640" w:lineRule="exact"/>
        <w:jc w:val="center"/>
        <w:rPr>
          <w:rFonts w:eastAsia="方正小标宋简体"/>
          <w:bCs/>
          <w:sz w:val="44"/>
          <w:szCs w:val="44"/>
        </w:rPr>
      </w:pPr>
      <w:r>
        <w:rPr>
          <w:rFonts w:eastAsia="方正小标宋简体"/>
          <w:bCs/>
          <w:sz w:val="44"/>
          <w:szCs w:val="44"/>
        </w:rPr>
        <w:t xml:space="preserve">  其他致死致残性单基因病产前诊断工作</w:t>
      </w:r>
    </w:p>
    <w:p w14:paraId="2A350DD8">
      <w:pPr>
        <w:spacing w:line="640" w:lineRule="exact"/>
        <w:jc w:val="center"/>
        <w:rPr>
          <w:rFonts w:eastAsia="方正小标宋简体"/>
          <w:bCs/>
          <w:sz w:val="44"/>
          <w:szCs w:val="44"/>
        </w:rPr>
      </w:pPr>
      <w:r>
        <w:rPr>
          <w:rFonts w:eastAsia="方正小标宋简体"/>
          <w:bCs/>
          <w:sz w:val="44"/>
          <w:szCs w:val="44"/>
        </w:rPr>
        <w:t>流程图及病种目录</w:t>
      </w:r>
    </w:p>
    <w:p w14:paraId="238B94E0">
      <w:r>
        <w:drawing>
          <wp:inline distT="0" distB="0" distL="0" distR="0">
            <wp:extent cx="5615940" cy="2210435"/>
            <wp:effectExtent l="0" t="0" r="3810" b="18415"/>
            <wp:docPr id="85102316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023161"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615940" cy="2210435"/>
                    </a:xfrm>
                    <a:prstGeom prst="rect">
                      <a:avLst/>
                    </a:prstGeom>
                    <a:noFill/>
                    <a:ln>
                      <a:noFill/>
                    </a:ln>
                  </pic:spPr>
                </pic:pic>
              </a:graphicData>
            </a:graphic>
          </wp:inline>
        </w:drawing>
      </w:r>
    </w:p>
    <w:p w14:paraId="0ED54662">
      <w:pPr>
        <w:spacing w:line="600" w:lineRule="exact"/>
        <w:jc w:val="center"/>
        <w:rPr>
          <w:rFonts w:hint="eastAsia" w:ascii="方正仿宋简体" w:hAnsi="方正仿宋简体" w:eastAsia="方正仿宋简体" w:cs="方正仿宋简体"/>
          <w:spacing w:val="10"/>
          <w:kern w:val="0"/>
          <w:szCs w:val="32"/>
        </w:rPr>
      </w:pPr>
      <w:r>
        <w:rPr>
          <w:rFonts w:hint="eastAsia" w:ascii="方正仿宋简体" w:hAnsi="方正仿宋简体" w:eastAsia="方正仿宋简体" w:cs="方正仿宋简体"/>
          <w:spacing w:val="10"/>
          <w:kern w:val="0"/>
          <w:szCs w:val="32"/>
        </w:rPr>
        <w:t>广东省出生缺陷防控项目产前诊断补助单基因病种目录</w:t>
      </w:r>
    </w:p>
    <w:tbl>
      <w:tblPr>
        <w:tblStyle w:val="5"/>
        <w:tblW w:w="0" w:type="auto"/>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1"/>
        <w:gridCol w:w="2062"/>
        <w:gridCol w:w="1418"/>
        <w:gridCol w:w="236"/>
        <w:gridCol w:w="756"/>
        <w:gridCol w:w="2126"/>
        <w:gridCol w:w="1418"/>
      </w:tblGrid>
      <w:tr w14:paraId="022F63E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741" w:type="dxa"/>
            <w:tcBorders>
              <w:top w:val="single" w:color="auto" w:sz="4" w:space="0"/>
              <w:bottom w:val="single" w:color="auto" w:sz="4" w:space="0"/>
            </w:tcBorders>
            <w:vAlign w:val="center"/>
          </w:tcPr>
          <w:p w14:paraId="23EB3FEB">
            <w:pPr>
              <w:spacing w:line="240" w:lineRule="exact"/>
              <w:jc w:val="center"/>
              <w:rPr>
                <w:rFonts w:hint="eastAsia"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rPr>
              <w:t>序号</w:t>
            </w:r>
          </w:p>
        </w:tc>
        <w:tc>
          <w:tcPr>
            <w:tcW w:w="2062" w:type="dxa"/>
            <w:tcBorders>
              <w:top w:val="single" w:color="auto" w:sz="4" w:space="0"/>
              <w:bottom w:val="single" w:color="auto" w:sz="4" w:space="0"/>
            </w:tcBorders>
            <w:vAlign w:val="center"/>
          </w:tcPr>
          <w:p w14:paraId="734B3C21">
            <w:pPr>
              <w:spacing w:line="240" w:lineRule="exact"/>
              <w:jc w:val="center"/>
              <w:rPr>
                <w:rFonts w:hint="eastAsia"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rPr>
              <w:t>病种</w:t>
            </w:r>
          </w:p>
        </w:tc>
        <w:tc>
          <w:tcPr>
            <w:tcW w:w="1418" w:type="dxa"/>
            <w:tcBorders>
              <w:top w:val="single" w:color="auto" w:sz="4" w:space="0"/>
              <w:bottom w:val="single" w:color="auto" w:sz="4" w:space="0"/>
              <w:right w:val="single" w:color="auto" w:sz="4" w:space="0"/>
            </w:tcBorders>
            <w:vAlign w:val="center"/>
          </w:tcPr>
          <w:p w14:paraId="14278ADD">
            <w:pPr>
              <w:spacing w:line="240" w:lineRule="exact"/>
              <w:jc w:val="center"/>
              <w:rPr>
                <w:rFonts w:hint="eastAsia"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rPr>
              <w:t>发病率</w:t>
            </w:r>
          </w:p>
        </w:tc>
        <w:tc>
          <w:tcPr>
            <w:tcW w:w="236" w:type="dxa"/>
            <w:tcBorders>
              <w:top w:val="single" w:color="auto" w:sz="4" w:space="0"/>
              <w:left w:val="single" w:color="auto" w:sz="4" w:space="0"/>
              <w:bottom w:val="nil"/>
              <w:right w:val="single" w:color="auto" w:sz="4" w:space="0"/>
            </w:tcBorders>
            <w:vAlign w:val="center"/>
          </w:tcPr>
          <w:p w14:paraId="1BEA9F4F">
            <w:pPr>
              <w:spacing w:line="240" w:lineRule="exact"/>
              <w:jc w:val="center"/>
              <w:rPr>
                <w:rFonts w:hint="eastAsia" w:ascii="方正仿宋简体" w:hAnsi="方正仿宋简体" w:eastAsia="方正仿宋简体" w:cs="方正仿宋简体"/>
                <w:b/>
                <w:bCs/>
                <w:sz w:val="24"/>
              </w:rPr>
            </w:pPr>
          </w:p>
        </w:tc>
        <w:tc>
          <w:tcPr>
            <w:tcW w:w="756" w:type="dxa"/>
            <w:tcBorders>
              <w:top w:val="single" w:color="auto" w:sz="4" w:space="0"/>
              <w:left w:val="single" w:color="auto" w:sz="4" w:space="0"/>
              <w:bottom w:val="single" w:color="auto" w:sz="4" w:space="0"/>
            </w:tcBorders>
            <w:vAlign w:val="center"/>
          </w:tcPr>
          <w:p w14:paraId="23E51E82">
            <w:pPr>
              <w:spacing w:line="240" w:lineRule="exact"/>
              <w:jc w:val="center"/>
              <w:rPr>
                <w:rFonts w:hint="eastAsia"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rPr>
              <w:t>序号</w:t>
            </w:r>
          </w:p>
        </w:tc>
        <w:tc>
          <w:tcPr>
            <w:tcW w:w="2126" w:type="dxa"/>
            <w:tcBorders>
              <w:top w:val="single" w:color="auto" w:sz="4" w:space="0"/>
              <w:bottom w:val="single" w:color="auto" w:sz="4" w:space="0"/>
            </w:tcBorders>
            <w:vAlign w:val="center"/>
          </w:tcPr>
          <w:p w14:paraId="38E8819B">
            <w:pPr>
              <w:spacing w:line="240" w:lineRule="exact"/>
              <w:jc w:val="center"/>
              <w:rPr>
                <w:rFonts w:hint="eastAsia"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rPr>
              <w:t>病种</w:t>
            </w:r>
          </w:p>
        </w:tc>
        <w:tc>
          <w:tcPr>
            <w:tcW w:w="1418" w:type="dxa"/>
            <w:tcBorders>
              <w:top w:val="single" w:color="auto" w:sz="4" w:space="0"/>
              <w:bottom w:val="single" w:color="auto" w:sz="4" w:space="0"/>
            </w:tcBorders>
            <w:vAlign w:val="center"/>
          </w:tcPr>
          <w:p w14:paraId="61E7C224">
            <w:pPr>
              <w:spacing w:line="240" w:lineRule="exact"/>
              <w:jc w:val="center"/>
              <w:rPr>
                <w:rFonts w:hint="eastAsia"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rPr>
              <w:t>发病率</w:t>
            </w:r>
          </w:p>
        </w:tc>
      </w:tr>
      <w:tr w14:paraId="7D6013B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741" w:type="dxa"/>
            <w:tcBorders>
              <w:top w:val="single" w:color="auto" w:sz="4" w:space="0"/>
            </w:tcBorders>
            <w:vAlign w:val="center"/>
          </w:tcPr>
          <w:p w14:paraId="4A589963">
            <w:pPr>
              <w:spacing w:line="24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1</w:t>
            </w:r>
          </w:p>
        </w:tc>
        <w:tc>
          <w:tcPr>
            <w:tcW w:w="2062" w:type="dxa"/>
            <w:tcBorders>
              <w:top w:val="single" w:color="auto" w:sz="4" w:space="0"/>
            </w:tcBorders>
            <w:vAlign w:val="center"/>
          </w:tcPr>
          <w:p w14:paraId="153B3EC3">
            <w:pPr>
              <w:spacing w:line="24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21-羟化酶缺乏症</w:t>
            </w:r>
          </w:p>
        </w:tc>
        <w:tc>
          <w:tcPr>
            <w:tcW w:w="1418" w:type="dxa"/>
            <w:tcBorders>
              <w:top w:val="single" w:color="auto" w:sz="4" w:space="0"/>
              <w:right w:val="single" w:color="auto" w:sz="4" w:space="0"/>
            </w:tcBorders>
            <w:vAlign w:val="center"/>
          </w:tcPr>
          <w:p w14:paraId="28BFA263">
            <w:pPr>
              <w:spacing w:line="24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1/10000</w:t>
            </w:r>
          </w:p>
        </w:tc>
        <w:tc>
          <w:tcPr>
            <w:tcW w:w="236" w:type="dxa"/>
            <w:tcBorders>
              <w:top w:val="nil"/>
              <w:left w:val="single" w:color="auto" w:sz="4" w:space="0"/>
              <w:bottom w:val="nil"/>
              <w:right w:val="single" w:color="auto" w:sz="4" w:space="0"/>
            </w:tcBorders>
            <w:vAlign w:val="center"/>
          </w:tcPr>
          <w:p w14:paraId="62C5E253">
            <w:pPr>
              <w:spacing w:line="240" w:lineRule="exact"/>
              <w:jc w:val="center"/>
              <w:rPr>
                <w:rFonts w:hint="eastAsia" w:ascii="方正仿宋简体" w:hAnsi="方正仿宋简体" w:eastAsia="方正仿宋简体" w:cs="方正仿宋简体"/>
                <w:sz w:val="24"/>
              </w:rPr>
            </w:pPr>
          </w:p>
        </w:tc>
        <w:tc>
          <w:tcPr>
            <w:tcW w:w="756" w:type="dxa"/>
            <w:tcBorders>
              <w:top w:val="single" w:color="auto" w:sz="4" w:space="0"/>
              <w:left w:val="single" w:color="auto" w:sz="4" w:space="0"/>
            </w:tcBorders>
            <w:vAlign w:val="center"/>
          </w:tcPr>
          <w:p w14:paraId="5AAD4E90">
            <w:pPr>
              <w:spacing w:line="24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7</w:t>
            </w:r>
          </w:p>
        </w:tc>
        <w:tc>
          <w:tcPr>
            <w:tcW w:w="2126" w:type="dxa"/>
            <w:tcBorders>
              <w:top w:val="single" w:color="auto" w:sz="4" w:space="0"/>
            </w:tcBorders>
            <w:vAlign w:val="center"/>
          </w:tcPr>
          <w:p w14:paraId="04A3FFAA">
            <w:pPr>
              <w:spacing w:line="24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高苯丙氨酸血症</w:t>
            </w:r>
          </w:p>
        </w:tc>
        <w:tc>
          <w:tcPr>
            <w:tcW w:w="1418" w:type="dxa"/>
            <w:tcBorders>
              <w:top w:val="single" w:color="auto" w:sz="4" w:space="0"/>
            </w:tcBorders>
            <w:vAlign w:val="center"/>
          </w:tcPr>
          <w:p w14:paraId="1F327826">
            <w:pPr>
              <w:spacing w:line="24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1/10397</w:t>
            </w:r>
          </w:p>
        </w:tc>
      </w:tr>
      <w:tr w14:paraId="4024C7D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41" w:type="dxa"/>
            <w:vAlign w:val="center"/>
          </w:tcPr>
          <w:p w14:paraId="5A8E01C0">
            <w:pPr>
              <w:spacing w:line="24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2</w:t>
            </w:r>
          </w:p>
        </w:tc>
        <w:tc>
          <w:tcPr>
            <w:tcW w:w="2062" w:type="dxa"/>
            <w:vAlign w:val="center"/>
          </w:tcPr>
          <w:p w14:paraId="3205806B">
            <w:pPr>
              <w:spacing w:line="24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血友病</w:t>
            </w:r>
          </w:p>
        </w:tc>
        <w:tc>
          <w:tcPr>
            <w:tcW w:w="1418" w:type="dxa"/>
            <w:tcBorders>
              <w:right w:val="single" w:color="auto" w:sz="4" w:space="0"/>
            </w:tcBorders>
            <w:vAlign w:val="center"/>
          </w:tcPr>
          <w:p w14:paraId="37B12B9E">
            <w:pPr>
              <w:spacing w:line="24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2.73/100000</w:t>
            </w:r>
          </w:p>
        </w:tc>
        <w:tc>
          <w:tcPr>
            <w:tcW w:w="236" w:type="dxa"/>
            <w:tcBorders>
              <w:top w:val="nil"/>
              <w:left w:val="single" w:color="auto" w:sz="4" w:space="0"/>
              <w:bottom w:val="nil"/>
              <w:right w:val="single" w:color="auto" w:sz="4" w:space="0"/>
            </w:tcBorders>
            <w:vAlign w:val="center"/>
          </w:tcPr>
          <w:p w14:paraId="74496EF1">
            <w:pPr>
              <w:spacing w:line="240" w:lineRule="exact"/>
              <w:jc w:val="center"/>
              <w:rPr>
                <w:rFonts w:hint="eastAsia" w:ascii="方正仿宋简体" w:hAnsi="方正仿宋简体" w:eastAsia="方正仿宋简体" w:cs="方正仿宋简体"/>
                <w:sz w:val="24"/>
              </w:rPr>
            </w:pPr>
          </w:p>
        </w:tc>
        <w:tc>
          <w:tcPr>
            <w:tcW w:w="756" w:type="dxa"/>
            <w:tcBorders>
              <w:left w:val="single" w:color="auto" w:sz="4" w:space="0"/>
            </w:tcBorders>
            <w:vAlign w:val="center"/>
          </w:tcPr>
          <w:p w14:paraId="718DA593">
            <w:pPr>
              <w:spacing w:line="24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8</w:t>
            </w:r>
          </w:p>
        </w:tc>
        <w:tc>
          <w:tcPr>
            <w:tcW w:w="2126" w:type="dxa"/>
            <w:vAlign w:val="center"/>
          </w:tcPr>
          <w:p w14:paraId="5B16445B">
            <w:pPr>
              <w:spacing w:line="24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甲基丙二酸血症</w:t>
            </w:r>
          </w:p>
        </w:tc>
        <w:tc>
          <w:tcPr>
            <w:tcW w:w="1418" w:type="dxa"/>
            <w:vAlign w:val="center"/>
          </w:tcPr>
          <w:p w14:paraId="14EDFE2C">
            <w:pPr>
              <w:spacing w:line="24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1/28000</w:t>
            </w:r>
          </w:p>
        </w:tc>
      </w:tr>
      <w:tr w14:paraId="53F075B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41" w:type="dxa"/>
            <w:vAlign w:val="center"/>
          </w:tcPr>
          <w:p w14:paraId="56966C96">
            <w:pPr>
              <w:spacing w:line="24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3</w:t>
            </w:r>
          </w:p>
        </w:tc>
        <w:tc>
          <w:tcPr>
            <w:tcW w:w="2062" w:type="dxa"/>
            <w:vAlign w:val="center"/>
          </w:tcPr>
          <w:p w14:paraId="58090B40">
            <w:pPr>
              <w:spacing w:line="24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非综合征性耳聋</w:t>
            </w:r>
          </w:p>
        </w:tc>
        <w:tc>
          <w:tcPr>
            <w:tcW w:w="1418" w:type="dxa"/>
            <w:tcBorders>
              <w:right w:val="single" w:color="auto" w:sz="4" w:space="0"/>
            </w:tcBorders>
            <w:vAlign w:val="center"/>
          </w:tcPr>
          <w:p w14:paraId="1667DDD5">
            <w:pPr>
              <w:spacing w:line="24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8/10000</w:t>
            </w:r>
          </w:p>
        </w:tc>
        <w:tc>
          <w:tcPr>
            <w:tcW w:w="236" w:type="dxa"/>
            <w:tcBorders>
              <w:top w:val="nil"/>
              <w:left w:val="single" w:color="auto" w:sz="4" w:space="0"/>
              <w:bottom w:val="nil"/>
              <w:right w:val="single" w:color="auto" w:sz="4" w:space="0"/>
            </w:tcBorders>
            <w:vAlign w:val="center"/>
          </w:tcPr>
          <w:p w14:paraId="4528FFE2">
            <w:pPr>
              <w:spacing w:line="240" w:lineRule="exact"/>
              <w:jc w:val="center"/>
              <w:rPr>
                <w:rFonts w:hint="eastAsia" w:ascii="方正仿宋简体" w:hAnsi="方正仿宋简体" w:eastAsia="方正仿宋简体" w:cs="方正仿宋简体"/>
                <w:sz w:val="24"/>
              </w:rPr>
            </w:pPr>
          </w:p>
        </w:tc>
        <w:tc>
          <w:tcPr>
            <w:tcW w:w="756" w:type="dxa"/>
            <w:tcBorders>
              <w:left w:val="single" w:color="auto" w:sz="4" w:space="0"/>
            </w:tcBorders>
            <w:vAlign w:val="center"/>
          </w:tcPr>
          <w:p w14:paraId="751F72EA">
            <w:pPr>
              <w:spacing w:line="24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9</w:t>
            </w:r>
          </w:p>
        </w:tc>
        <w:tc>
          <w:tcPr>
            <w:tcW w:w="2126" w:type="dxa"/>
            <w:vAlign w:val="center"/>
          </w:tcPr>
          <w:p w14:paraId="782714DB">
            <w:pPr>
              <w:spacing w:line="24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视网膜色素变性</w:t>
            </w:r>
          </w:p>
        </w:tc>
        <w:tc>
          <w:tcPr>
            <w:tcW w:w="1418" w:type="dxa"/>
            <w:vAlign w:val="center"/>
          </w:tcPr>
          <w:p w14:paraId="2FB2CEBF">
            <w:pPr>
              <w:spacing w:line="24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1/3784</w:t>
            </w:r>
          </w:p>
        </w:tc>
      </w:tr>
      <w:tr w14:paraId="2FCC7AC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41" w:type="dxa"/>
            <w:vAlign w:val="center"/>
          </w:tcPr>
          <w:p w14:paraId="0E717B04">
            <w:pPr>
              <w:spacing w:line="24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4</w:t>
            </w:r>
          </w:p>
        </w:tc>
        <w:tc>
          <w:tcPr>
            <w:tcW w:w="2062" w:type="dxa"/>
            <w:vAlign w:val="center"/>
          </w:tcPr>
          <w:p w14:paraId="4C8FAE18">
            <w:pPr>
              <w:spacing w:line="24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白化病</w:t>
            </w:r>
          </w:p>
        </w:tc>
        <w:tc>
          <w:tcPr>
            <w:tcW w:w="1418" w:type="dxa"/>
            <w:tcBorders>
              <w:right w:val="single" w:color="auto" w:sz="4" w:space="0"/>
            </w:tcBorders>
            <w:vAlign w:val="center"/>
          </w:tcPr>
          <w:p w14:paraId="64506B32">
            <w:pPr>
              <w:spacing w:line="24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1/18000</w:t>
            </w:r>
          </w:p>
        </w:tc>
        <w:tc>
          <w:tcPr>
            <w:tcW w:w="236" w:type="dxa"/>
            <w:tcBorders>
              <w:top w:val="nil"/>
              <w:left w:val="single" w:color="auto" w:sz="4" w:space="0"/>
              <w:bottom w:val="nil"/>
              <w:right w:val="single" w:color="auto" w:sz="4" w:space="0"/>
            </w:tcBorders>
            <w:vAlign w:val="center"/>
          </w:tcPr>
          <w:p w14:paraId="085F0D0D">
            <w:pPr>
              <w:spacing w:line="240" w:lineRule="exact"/>
              <w:jc w:val="center"/>
              <w:rPr>
                <w:rFonts w:hint="eastAsia" w:ascii="方正仿宋简体" w:hAnsi="方正仿宋简体" w:eastAsia="方正仿宋简体" w:cs="方正仿宋简体"/>
                <w:sz w:val="24"/>
              </w:rPr>
            </w:pPr>
          </w:p>
        </w:tc>
        <w:tc>
          <w:tcPr>
            <w:tcW w:w="756" w:type="dxa"/>
            <w:tcBorders>
              <w:left w:val="single" w:color="auto" w:sz="4" w:space="0"/>
            </w:tcBorders>
            <w:vAlign w:val="center"/>
          </w:tcPr>
          <w:p w14:paraId="69DC24C3">
            <w:pPr>
              <w:spacing w:line="24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10</w:t>
            </w:r>
          </w:p>
        </w:tc>
        <w:tc>
          <w:tcPr>
            <w:tcW w:w="2126" w:type="dxa"/>
            <w:vAlign w:val="center"/>
          </w:tcPr>
          <w:p w14:paraId="5A8E06B0">
            <w:pPr>
              <w:spacing w:line="24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Duchenne/Becker型肌营养不良</w:t>
            </w:r>
          </w:p>
        </w:tc>
        <w:tc>
          <w:tcPr>
            <w:tcW w:w="1418" w:type="dxa"/>
            <w:vAlign w:val="center"/>
          </w:tcPr>
          <w:p w14:paraId="544F1E2A">
            <w:pPr>
              <w:spacing w:line="240" w:lineRule="exact"/>
              <w:jc w:val="center"/>
              <w:rPr>
                <w:rFonts w:hint="eastAsia" w:ascii="方正仿宋简体" w:hAnsi="方正仿宋简体" w:eastAsia="方正仿宋简体" w:cs="方正仿宋简体"/>
                <w:sz w:val="24"/>
                <w:lang w:val="zh-TW" w:eastAsia="zh-TW"/>
              </w:rPr>
            </w:pPr>
            <w:r>
              <w:rPr>
                <w:rFonts w:hint="eastAsia" w:ascii="方正仿宋简体" w:hAnsi="方正仿宋简体" w:eastAsia="方正仿宋简体" w:cs="方正仿宋简体"/>
                <w:sz w:val="24"/>
              </w:rPr>
              <w:t>1/3853</w:t>
            </w:r>
          </w:p>
        </w:tc>
      </w:tr>
      <w:tr w14:paraId="56AC2CD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41" w:type="dxa"/>
            <w:vAlign w:val="center"/>
          </w:tcPr>
          <w:p w14:paraId="59BD3ABC">
            <w:pPr>
              <w:spacing w:line="24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5</w:t>
            </w:r>
          </w:p>
        </w:tc>
        <w:tc>
          <w:tcPr>
            <w:tcW w:w="2062" w:type="dxa"/>
            <w:vAlign w:val="center"/>
          </w:tcPr>
          <w:p w14:paraId="1D2CAC85">
            <w:pPr>
              <w:spacing w:line="24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脊髓性肌萎缩症</w:t>
            </w:r>
          </w:p>
        </w:tc>
        <w:tc>
          <w:tcPr>
            <w:tcW w:w="1418" w:type="dxa"/>
            <w:tcBorders>
              <w:right w:val="single" w:color="auto" w:sz="4" w:space="0"/>
            </w:tcBorders>
            <w:vAlign w:val="center"/>
          </w:tcPr>
          <w:p w14:paraId="04754ACF">
            <w:pPr>
              <w:spacing w:line="24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1/6000</w:t>
            </w:r>
          </w:p>
        </w:tc>
        <w:tc>
          <w:tcPr>
            <w:tcW w:w="236" w:type="dxa"/>
            <w:tcBorders>
              <w:top w:val="nil"/>
              <w:left w:val="single" w:color="auto" w:sz="4" w:space="0"/>
              <w:bottom w:val="nil"/>
              <w:right w:val="single" w:color="auto" w:sz="4" w:space="0"/>
            </w:tcBorders>
            <w:vAlign w:val="center"/>
          </w:tcPr>
          <w:p w14:paraId="6C9C600C">
            <w:pPr>
              <w:spacing w:line="240" w:lineRule="exact"/>
              <w:jc w:val="center"/>
              <w:rPr>
                <w:rFonts w:hint="eastAsia" w:ascii="方正仿宋简体" w:hAnsi="方正仿宋简体" w:eastAsia="方正仿宋简体" w:cs="方正仿宋简体"/>
                <w:sz w:val="24"/>
              </w:rPr>
            </w:pPr>
          </w:p>
        </w:tc>
        <w:tc>
          <w:tcPr>
            <w:tcW w:w="756" w:type="dxa"/>
            <w:tcBorders>
              <w:left w:val="single" w:color="auto" w:sz="4" w:space="0"/>
            </w:tcBorders>
            <w:vAlign w:val="center"/>
          </w:tcPr>
          <w:p w14:paraId="1887CEE4">
            <w:pPr>
              <w:spacing w:line="24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11</w:t>
            </w:r>
          </w:p>
        </w:tc>
        <w:tc>
          <w:tcPr>
            <w:tcW w:w="2126" w:type="dxa"/>
            <w:vAlign w:val="center"/>
          </w:tcPr>
          <w:p w14:paraId="2587A9A2">
            <w:pPr>
              <w:spacing w:line="24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瓜氨酸血症</w:t>
            </w:r>
          </w:p>
        </w:tc>
        <w:tc>
          <w:tcPr>
            <w:tcW w:w="1418" w:type="dxa"/>
            <w:vAlign w:val="center"/>
          </w:tcPr>
          <w:p w14:paraId="34941709">
            <w:pPr>
              <w:spacing w:line="240" w:lineRule="exact"/>
              <w:jc w:val="center"/>
              <w:rPr>
                <w:rFonts w:hint="eastAsia" w:ascii="方正仿宋简体" w:hAnsi="方正仿宋简体" w:eastAsia="方正仿宋简体" w:cs="方正仿宋简体"/>
                <w:sz w:val="24"/>
                <w:lang w:val="zh-TW" w:eastAsia="zh-TW"/>
              </w:rPr>
            </w:pPr>
            <w:r>
              <w:rPr>
                <w:rFonts w:hint="eastAsia" w:ascii="方正仿宋简体" w:hAnsi="方正仿宋简体" w:eastAsia="方正仿宋简体" w:cs="方正仿宋简体"/>
                <w:sz w:val="24"/>
              </w:rPr>
              <w:t>1/9200</w:t>
            </w:r>
          </w:p>
        </w:tc>
      </w:tr>
      <w:tr w14:paraId="7DACBB2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41" w:type="dxa"/>
            <w:vAlign w:val="center"/>
          </w:tcPr>
          <w:p w14:paraId="50F1ADBF">
            <w:pPr>
              <w:spacing w:line="24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6</w:t>
            </w:r>
          </w:p>
        </w:tc>
        <w:tc>
          <w:tcPr>
            <w:tcW w:w="2062" w:type="dxa"/>
            <w:vAlign w:val="center"/>
          </w:tcPr>
          <w:p w14:paraId="7ADAD786">
            <w:pPr>
              <w:spacing w:line="24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原发性肉碱缺乏症</w:t>
            </w:r>
          </w:p>
        </w:tc>
        <w:tc>
          <w:tcPr>
            <w:tcW w:w="1418" w:type="dxa"/>
            <w:tcBorders>
              <w:right w:val="single" w:color="auto" w:sz="4" w:space="0"/>
            </w:tcBorders>
            <w:vAlign w:val="center"/>
          </w:tcPr>
          <w:p w14:paraId="5CB9DCB5">
            <w:pPr>
              <w:spacing w:line="24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3.1/10万</w:t>
            </w:r>
          </w:p>
        </w:tc>
        <w:tc>
          <w:tcPr>
            <w:tcW w:w="236" w:type="dxa"/>
            <w:tcBorders>
              <w:top w:val="nil"/>
              <w:left w:val="single" w:color="auto" w:sz="4" w:space="0"/>
              <w:bottom w:val="single" w:color="auto" w:sz="4" w:space="0"/>
              <w:right w:val="single" w:color="auto" w:sz="4" w:space="0"/>
            </w:tcBorders>
            <w:vAlign w:val="center"/>
          </w:tcPr>
          <w:p w14:paraId="485A1FF0">
            <w:pPr>
              <w:spacing w:line="240" w:lineRule="exact"/>
              <w:jc w:val="center"/>
              <w:rPr>
                <w:rFonts w:hint="eastAsia" w:ascii="方正仿宋简体" w:hAnsi="方正仿宋简体" w:eastAsia="方正仿宋简体" w:cs="方正仿宋简体"/>
                <w:sz w:val="24"/>
              </w:rPr>
            </w:pPr>
          </w:p>
        </w:tc>
        <w:tc>
          <w:tcPr>
            <w:tcW w:w="756" w:type="dxa"/>
            <w:tcBorders>
              <w:left w:val="single" w:color="auto" w:sz="4" w:space="0"/>
            </w:tcBorders>
            <w:vAlign w:val="center"/>
          </w:tcPr>
          <w:p w14:paraId="7169F41E">
            <w:pPr>
              <w:spacing w:line="24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12</w:t>
            </w:r>
          </w:p>
        </w:tc>
        <w:tc>
          <w:tcPr>
            <w:tcW w:w="2126" w:type="dxa"/>
            <w:vAlign w:val="center"/>
          </w:tcPr>
          <w:p w14:paraId="36D7BAC3">
            <w:pPr>
              <w:spacing w:line="24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lang w:val="zh-TW" w:eastAsia="zh-TW"/>
              </w:rPr>
              <w:t>视网膜母细胞瘤</w:t>
            </w:r>
          </w:p>
        </w:tc>
        <w:tc>
          <w:tcPr>
            <w:tcW w:w="1418" w:type="dxa"/>
            <w:vAlign w:val="center"/>
          </w:tcPr>
          <w:p w14:paraId="53711C31">
            <w:pPr>
              <w:spacing w:line="240" w:lineRule="exact"/>
              <w:jc w:val="center"/>
              <w:rPr>
                <w:rFonts w:hint="eastAsia" w:ascii="方正仿宋简体" w:hAnsi="方正仿宋简体" w:eastAsia="方正仿宋简体" w:cs="方正仿宋简体"/>
                <w:sz w:val="24"/>
                <w:lang w:val="zh-TW" w:eastAsia="zh-TW"/>
              </w:rPr>
            </w:pPr>
            <w:r>
              <w:rPr>
                <w:rFonts w:hint="eastAsia" w:ascii="方正仿宋简体" w:hAnsi="方正仿宋简体" w:eastAsia="方正仿宋简体" w:cs="方正仿宋简体"/>
                <w:sz w:val="24"/>
                <w:lang w:eastAsia="zh-TW"/>
              </w:rPr>
              <w:t>1/15000</w:t>
            </w:r>
          </w:p>
        </w:tc>
      </w:tr>
    </w:tbl>
    <w:p w14:paraId="7717A651">
      <w:pPr>
        <w:snapToGrid w:val="0"/>
        <w:spacing w:line="360" w:lineRule="auto"/>
        <w:ind w:firstLine="353" w:firstLineChars="158"/>
        <w:jc w:val="left"/>
        <w:rPr>
          <w:rFonts w:hint="eastAsia" w:ascii="方正仿宋简体" w:hAnsi="方正仿宋简体" w:eastAsia="方正仿宋简体" w:cs="方正仿宋简体"/>
          <w:snapToGrid w:val="0"/>
          <w:kern w:val="0"/>
          <w:sz w:val="24"/>
        </w:rPr>
      </w:pPr>
    </w:p>
    <w:p w14:paraId="47C155E8">
      <w:pPr>
        <w:snapToGrid w:val="0"/>
        <w:spacing w:line="360" w:lineRule="auto"/>
        <w:ind w:firstLine="0" w:firstLineChars="0"/>
        <w:jc w:val="left"/>
        <w:rPr>
          <w:rFonts w:hint="eastAsia" w:ascii="方正仿宋简体" w:hAnsi="方正仿宋简体" w:eastAsia="方正仿宋简体" w:cs="方正仿宋简体"/>
          <w:snapToGrid w:val="0"/>
          <w:kern w:val="0"/>
          <w:sz w:val="24"/>
        </w:rPr>
        <w:sectPr>
          <w:pgSz w:w="11906" w:h="16838"/>
          <w:pgMar w:top="1587" w:right="1587" w:bottom="1587" w:left="1587" w:header="851" w:footer="1134" w:gutter="0"/>
          <w:pgNumType w:fmt="decimal"/>
          <w:cols w:space="720" w:num="1"/>
          <w:rtlGutter w:val="0"/>
          <w:docGrid w:type="linesAndChars" w:linePitch="579" w:charSpace="-3633"/>
        </w:sectPr>
      </w:pPr>
      <w:r>
        <w:rPr>
          <w:rFonts w:hint="eastAsia" w:ascii="方正仿宋简体" w:hAnsi="方正仿宋简体" w:eastAsia="方正仿宋简体" w:cs="方正仿宋简体"/>
          <w:snapToGrid w:val="0"/>
          <w:kern w:val="0"/>
          <w:sz w:val="24"/>
        </w:rPr>
        <w:t>备注：病种选取标准：依据国家卫健委发布的《罕见病诊疗指南（2018年版）》,选取其中中国人群患病率或发病率较高、基因诊断位点明确且可以进行产前诊断的疾病。</w:t>
      </w:r>
    </w:p>
    <w:p w14:paraId="1C181EAB">
      <w:pPr>
        <w:keepNext w:val="0"/>
        <w:keepLines w:val="0"/>
        <w:pageBreakBefore w:val="0"/>
        <w:widowControl/>
        <w:kinsoku/>
        <w:wordWrap/>
        <w:overflowPunct/>
        <w:topLinePunct w:val="0"/>
        <w:autoSpaceDE/>
        <w:autoSpaceDN/>
        <w:bidi w:val="0"/>
        <w:adjustRightInd/>
        <w:snapToGrid/>
        <w:ind w:left="0"/>
        <w:jc w:val="left"/>
        <w:textAlignment w:val="center"/>
        <w:rPr>
          <w:rFonts w:hint="eastAsia" w:ascii="黑体" w:hAnsi="黑体" w:eastAsia="黑体" w:cs="黑体"/>
          <w:kern w:val="0"/>
          <w:sz w:val="32"/>
          <w:szCs w:val="32"/>
          <w:lang w:eastAsia="zh-CN" w:bidi="ar"/>
        </w:rPr>
      </w:pPr>
      <w:r>
        <w:rPr>
          <w:rFonts w:hint="eastAsia" w:ascii="黑体" w:hAnsi="黑体" w:eastAsia="黑体" w:cs="黑体"/>
          <w:kern w:val="0"/>
          <w:sz w:val="32"/>
          <w:szCs w:val="32"/>
          <w:lang w:bidi="ar"/>
        </w:rPr>
        <w:t>附件</w:t>
      </w:r>
      <w:r>
        <w:rPr>
          <w:rFonts w:hint="eastAsia" w:ascii="黑体" w:hAnsi="黑体" w:eastAsia="黑体" w:cs="黑体"/>
          <w:kern w:val="0"/>
          <w:sz w:val="32"/>
          <w:szCs w:val="32"/>
          <w:lang w:val="en-US" w:eastAsia="zh-CN" w:bidi="ar"/>
        </w:rPr>
        <w:t>8</w:t>
      </w:r>
      <w:r>
        <w:rPr>
          <w:rFonts w:hint="eastAsia" w:ascii="黑体" w:hAnsi="黑体" w:eastAsia="黑体" w:cs="黑体"/>
          <w:kern w:val="0"/>
          <w:sz w:val="32"/>
          <w:szCs w:val="32"/>
          <w:lang w:bidi="ar"/>
        </w:rPr>
        <w:t>-</w:t>
      </w:r>
      <w:r>
        <w:rPr>
          <w:rFonts w:hint="eastAsia" w:ascii="黑体" w:hAnsi="黑体" w:eastAsia="黑体" w:cs="黑体"/>
          <w:kern w:val="0"/>
          <w:sz w:val="32"/>
          <w:szCs w:val="32"/>
          <w:lang w:val="en-US" w:eastAsia="zh-CN" w:bidi="ar"/>
        </w:rPr>
        <w:t>3</w:t>
      </w:r>
    </w:p>
    <w:p w14:paraId="776F2E88">
      <w:pPr>
        <w:spacing w:line="640" w:lineRule="exact"/>
        <w:jc w:val="center"/>
        <w:rPr>
          <w:rFonts w:eastAsia="方正小标宋简体"/>
          <w:bCs/>
          <w:sz w:val="44"/>
          <w:szCs w:val="44"/>
        </w:rPr>
      </w:pPr>
      <w:r>
        <w:rPr>
          <w:rFonts w:eastAsia="方正小标宋简体"/>
          <w:bCs/>
          <w:sz w:val="44"/>
          <w:szCs w:val="44"/>
        </w:rPr>
        <w:t>唐氏综合征及其他严重致死致残性染色体异常防控工作流程图</w:t>
      </w:r>
    </w:p>
    <w:p w14:paraId="56290486">
      <w:pPr>
        <w:keepNext w:val="0"/>
        <w:keepLines w:val="0"/>
        <w:pageBreakBefore w:val="0"/>
        <w:widowControl/>
        <w:kinsoku/>
        <w:wordWrap/>
        <w:overflowPunct/>
        <w:topLinePunct w:val="0"/>
        <w:autoSpaceDE/>
        <w:autoSpaceDN/>
        <w:bidi w:val="0"/>
        <w:adjustRightInd/>
        <w:snapToGrid/>
        <w:ind w:left="0"/>
        <w:jc w:val="left"/>
        <w:textAlignment w:val="center"/>
        <w:rPr>
          <w:rFonts w:hint="eastAsia" w:ascii="黑体" w:hAnsi="黑体" w:eastAsia="黑体" w:cs="黑体"/>
          <w:b/>
          <w:sz w:val="32"/>
          <w:szCs w:val="32"/>
          <w:lang w:val="en-US" w:eastAsia="zh-CN"/>
        </w:rPr>
      </w:pPr>
      <w:r>
        <w:drawing>
          <wp:inline distT="0" distB="0" distL="0" distR="0">
            <wp:extent cx="5615940" cy="4957445"/>
            <wp:effectExtent l="0" t="0" r="3810" b="14605"/>
            <wp:docPr id="10521578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157818" name="图片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615940" cy="4957445"/>
                    </a:xfrm>
                    <a:prstGeom prst="rect">
                      <a:avLst/>
                    </a:prstGeom>
                    <a:noFill/>
                    <a:ln>
                      <a:noFill/>
                    </a:ln>
                  </pic:spPr>
                </pic:pic>
              </a:graphicData>
            </a:graphic>
          </wp:inline>
        </w:drawing>
      </w:r>
      <w:r>
        <w:rPr>
          <w:rFonts w:eastAsia="方正小标宋简体"/>
          <w:sz w:val="36"/>
          <w:szCs w:val="16"/>
        </w:rPr>
        <w:br w:type="page"/>
      </w:r>
      <w:r>
        <w:rPr>
          <w:rFonts w:hint="eastAsia" w:ascii="黑体" w:hAnsi="黑体" w:eastAsia="黑体" w:cs="黑体"/>
          <w:kern w:val="0"/>
          <w:sz w:val="32"/>
          <w:szCs w:val="32"/>
          <w:lang w:bidi="ar"/>
        </w:rPr>
        <w:t>附件</w:t>
      </w:r>
      <w:r>
        <w:rPr>
          <w:rFonts w:hint="eastAsia" w:ascii="黑体" w:hAnsi="黑体" w:eastAsia="黑体" w:cs="黑体"/>
          <w:kern w:val="0"/>
          <w:sz w:val="32"/>
          <w:szCs w:val="32"/>
          <w:lang w:val="en-US" w:eastAsia="zh-CN" w:bidi="ar"/>
        </w:rPr>
        <w:t>8</w:t>
      </w:r>
      <w:r>
        <w:rPr>
          <w:rFonts w:hint="eastAsia" w:ascii="黑体" w:hAnsi="黑体" w:eastAsia="黑体" w:cs="黑体"/>
          <w:kern w:val="0"/>
          <w:sz w:val="32"/>
          <w:szCs w:val="32"/>
          <w:lang w:bidi="ar"/>
        </w:rPr>
        <w:t>-</w:t>
      </w:r>
      <w:r>
        <w:rPr>
          <w:rFonts w:hint="eastAsia" w:ascii="黑体" w:hAnsi="黑体" w:eastAsia="黑体" w:cs="黑体"/>
          <w:kern w:val="0"/>
          <w:sz w:val="32"/>
          <w:szCs w:val="32"/>
          <w:lang w:val="en-US" w:eastAsia="zh-CN" w:bidi="ar"/>
        </w:rPr>
        <w:t>4</w:t>
      </w:r>
    </w:p>
    <w:p w14:paraId="5C504CFA">
      <w:pPr>
        <w:spacing w:line="640" w:lineRule="exact"/>
        <w:jc w:val="center"/>
        <w:rPr>
          <w:rFonts w:eastAsia="方正小标宋简体"/>
          <w:bCs/>
          <w:sz w:val="44"/>
          <w:szCs w:val="44"/>
        </w:rPr>
      </w:pPr>
      <w:r>
        <w:rPr>
          <w:rFonts w:eastAsia="方正小标宋简体"/>
          <w:bCs/>
          <w:sz w:val="44"/>
          <w:szCs w:val="44"/>
        </w:rPr>
        <w:t>严重致死致残性结构畸形防控工作流程图</w:t>
      </w:r>
    </w:p>
    <w:p w14:paraId="37B7EDE0">
      <w:pPr>
        <w:spacing w:line="640" w:lineRule="exact"/>
        <w:jc w:val="center"/>
        <w:rPr>
          <w:rFonts w:eastAsia="方正小标宋简体"/>
          <w:bCs/>
          <w:sz w:val="44"/>
          <w:szCs w:val="44"/>
        </w:rPr>
      </w:pPr>
      <w:r>
        <w:pict>
          <v:shape id="Object 212" o:spid="_x0000_s1026" o:spt="75" type="#_x0000_t75" style="position:absolute;left:0pt;margin-left:35.95pt;margin-top:28.65pt;height:393.55pt;width:379.35pt;mso-wrap-distance-bottom:0pt;mso-wrap-distance-left:9pt;mso-wrap-distance-right:9pt;mso-wrap-distance-top:0pt;z-index:251674624;mso-width-relative:page;mso-height-relative:page;" o:ole="t" filled="f" o:preferrelative="t" stroked="f" coordsize="21600,21600">
            <v:path/>
            <v:fill on="f" focussize="0,0"/>
            <v:stroke on="f" joinstyle="miter"/>
            <v:imagedata r:id="rId13" o:title=""/>
            <o:lock v:ext="edit" aspectratio="t"/>
            <w10:wrap type="square"/>
          </v:shape>
          <o:OLEObject Type="Embed" ProgID="Visio.Drawing.11" ShapeID="Object 212" DrawAspect="Content" ObjectID="_1468075725" r:id="rId12">
            <o:LockedField>false</o:LockedField>
          </o:OLEObject>
        </w:pict>
      </w:r>
    </w:p>
    <w:p w14:paraId="6F789806">
      <w:pPr>
        <w:spacing w:line="640" w:lineRule="exact"/>
        <w:jc w:val="center"/>
        <w:rPr>
          <w:rFonts w:eastAsia="方正小标宋简体"/>
          <w:bCs/>
          <w:sz w:val="44"/>
          <w:szCs w:val="44"/>
        </w:rPr>
      </w:pPr>
    </w:p>
    <w:p w14:paraId="553820DE">
      <w:pPr>
        <w:spacing w:line="640" w:lineRule="exact"/>
        <w:jc w:val="center"/>
        <w:rPr>
          <w:rFonts w:eastAsia="方正小标宋简体"/>
          <w:bCs/>
          <w:sz w:val="44"/>
          <w:szCs w:val="44"/>
        </w:rPr>
      </w:pPr>
    </w:p>
    <w:p w14:paraId="42E81752">
      <w:pPr>
        <w:spacing w:line="640" w:lineRule="exact"/>
        <w:jc w:val="center"/>
        <w:rPr>
          <w:rFonts w:eastAsia="方正小标宋简体"/>
          <w:bCs/>
          <w:sz w:val="44"/>
          <w:szCs w:val="44"/>
        </w:rPr>
      </w:pPr>
    </w:p>
    <w:p w14:paraId="1C34CAFD">
      <w:pPr>
        <w:spacing w:line="640" w:lineRule="exact"/>
        <w:jc w:val="center"/>
        <w:rPr>
          <w:rFonts w:eastAsia="方正小标宋简体"/>
          <w:bCs/>
          <w:sz w:val="44"/>
          <w:szCs w:val="44"/>
        </w:rPr>
      </w:pPr>
    </w:p>
    <w:p w14:paraId="71C5337E">
      <w:pPr>
        <w:spacing w:line="640" w:lineRule="exact"/>
        <w:jc w:val="center"/>
        <w:rPr>
          <w:rFonts w:eastAsia="方正小标宋简体"/>
          <w:bCs/>
          <w:sz w:val="44"/>
          <w:szCs w:val="44"/>
        </w:rPr>
      </w:pPr>
    </w:p>
    <w:p w14:paraId="1B2AE85E">
      <w:pPr>
        <w:spacing w:line="640" w:lineRule="exact"/>
        <w:jc w:val="center"/>
        <w:rPr>
          <w:rFonts w:eastAsia="方正小标宋简体"/>
          <w:bCs/>
          <w:sz w:val="44"/>
          <w:szCs w:val="44"/>
        </w:rPr>
      </w:pPr>
    </w:p>
    <w:p w14:paraId="7B0E899C">
      <w:pPr>
        <w:spacing w:line="640" w:lineRule="exact"/>
        <w:jc w:val="center"/>
        <w:rPr>
          <w:rFonts w:eastAsia="方正小标宋简体"/>
          <w:bCs/>
          <w:sz w:val="44"/>
          <w:szCs w:val="44"/>
        </w:rPr>
      </w:pPr>
    </w:p>
    <w:p w14:paraId="4F76F38D">
      <w:pPr>
        <w:spacing w:line="640" w:lineRule="exact"/>
        <w:jc w:val="center"/>
        <w:rPr>
          <w:rFonts w:eastAsia="方正小标宋简体"/>
          <w:bCs/>
          <w:sz w:val="44"/>
          <w:szCs w:val="44"/>
        </w:rPr>
      </w:pPr>
    </w:p>
    <w:p w14:paraId="72D22195">
      <w:pPr>
        <w:spacing w:line="640" w:lineRule="exact"/>
        <w:jc w:val="center"/>
        <w:rPr>
          <w:rFonts w:eastAsia="方正小标宋简体"/>
          <w:bCs/>
          <w:sz w:val="44"/>
          <w:szCs w:val="44"/>
        </w:rPr>
      </w:pPr>
    </w:p>
    <w:p w14:paraId="550A3410">
      <w:pPr>
        <w:spacing w:line="640" w:lineRule="exact"/>
        <w:jc w:val="center"/>
        <w:rPr>
          <w:rFonts w:eastAsia="方正小标宋简体"/>
          <w:bCs/>
          <w:sz w:val="44"/>
          <w:szCs w:val="44"/>
        </w:rPr>
      </w:pPr>
    </w:p>
    <w:p w14:paraId="4BD22553">
      <w:pPr>
        <w:spacing w:line="640" w:lineRule="exact"/>
        <w:jc w:val="center"/>
        <w:rPr>
          <w:rFonts w:eastAsia="方正小标宋简体"/>
          <w:bCs/>
          <w:sz w:val="44"/>
          <w:szCs w:val="44"/>
        </w:rPr>
      </w:pPr>
    </w:p>
    <w:p w14:paraId="7B2C551D">
      <w:pPr>
        <w:jc w:val="center"/>
        <w:rPr>
          <w:sz w:val="28"/>
          <w:szCs w:val="28"/>
        </w:rPr>
      </w:pPr>
    </w:p>
    <w:p w14:paraId="5B9CCB5E">
      <w:pPr>
        <w:spacing w:line="360" w:lineRule="auto"/>
        <w:rPr>
          <w:sz w:val="28"/>
          <w:szCs w:val="28"/>
        </w:rPr>
      </w:pPr>
    </w:p>
    <w:p w14:paraId="64F28696">
      <w:pPr>
        <w:keepNext w:val="0"/>
        <w:keepLines w:val="0"/>
        <w:pageBreakBefore w:val="0"/>
        <w:widowControl/>
        <w:kinsoku/>
        <w:wordWrap/>
        <w:overflowPunct/>
        <w:topLinePunct w:val="0"/>
        <w:autoSpaceDE/>
        <w:autoSpaceDN/>
        <w:bidi w:val="0"/>
        <w:adjustRightInd/>
        <w:snapToGrid/>
        <w:ind w:left="0"/>
        <w:jc w:val="left"/>
        <w:textAlignment w:val="center"/>
        <w:rPr>
          <w:rFonts w:hint="eastAsia" w:ascii="黑体" w:hAnsi="黑体" w:eastAsia="黑体" w:cs="黑体"/>
          <w:b/>
          <w:sz w:val="32"/>
          <w:szCs w:val="32"/>
          <w:lang w:val="en-US" w:eastAsia="zh-CN"/>
        </w:rPr>
      </w:pPr>
      <w:r>
        <w:rPr>
          <w:sz w:val="28"/>
          <w:szCs w:val="28"/>
        </w:rPr>
        <w:br w:type="page"/>
      </w:r>
      <w:r>
        <w:rPr>
          <w:rFonts w:hint="eastAsia" w:ascii="黑体" w:hAnsi="黑体" w:eastAsia="黑体" w:cs="黑体"/>
          <w:kern w:val="0"/>
          <w:sz w:val="32"/>
          <w:szCs w:val="32"/>
          <w:lang w:bidi="ar"/>
        </w:rPr>
        <w:t>附件</w:t>
      </w:r>
      <w:r>
        <w:rPr>
          <w:rFonts w:hint="eastAsia" w:ascii="黑体" w:hAnsi="黑体" w:eastAsia="黑体" w:cs="黑体"/>
          <w:kern w:val="0"/>
          <w:sz w:val="32"/>
          <w:szCs w:val="32"/>
          <w:lang w:val="en-US" w:eastAsia="zh-CN" w:bidi="ar"/>
        </w:rPr>
        <w:t>8</w:t>
      </w:r>
      <w:r>
        <w:rPr>
          <w:rFonts w:hint="eastAsia" w:ascii="黑体" w:hAnsi="黑体" w:eastAsia="黑体" w:cs="黑体"/>
          <w:kern w:val="0"/>
          <w:sz w:val="32"/>
          <w:szCs w:val="32"/>
          <w:lang w:bidi="ar"/>
        </w:rPr>
        <w:t>-</w:t>
      </w:r>
      <w:r>
        <w:rPr>
          <w:rFonts w:hint="eastAsia" w:ascii="黑体" w:hAnsi="黑体" w:eastAsia="黑体" w:cs="黑体"/>
          <w:kern w:val="0"/>
          <w:sz w:val="32"/>
          <w:szCs w:val="32"/>
          <w:lang w:val="en-US" w:eastAsia="zh-CN" w:bidi="ar"/>
        </w:rPr>
        <w:t>5</w:t>
      </w:r>
    </w:p>
    <w:p w14:paraId="14A87AF5">
      <w:pPr>
        <w:spacing w:line="640" w:lineRule="exact"/>
        <w:jc w:val="center"/>
        <w:rPr>
          <w:rFonts w:eastAsia="方正小标宋简体"/>
          <w:bCs/>
          <w:sz w:val="44"/>
          <w:szCs w:val="44"/>
        </w:rPr>
      </w:pPr>
      <w:r>
        <w:rPr>
          <w:rFonts w:eastAsia="方正小标宋简体"/>
          <w:bCs/>
          <w:sz w:val="44"/>
          <w:szCs w:val="44"/>
        </w:rPr>
        <w:t>新生儿遗传代谢性疾病筛查工作流程图</w:t>
      </w:r>
    </w:p>
    <w:p w14:paraId="1F69279F">
      <w:pPr>
        <w:jc w:val="center"/>
        <w:rPr>
          <w:rFonts w:eastAsia="方正小标宋简体"/>
          <w:sz w:val="36"/>
          <w:szCs w:val="16"/>
        </w:rPr>
      </w:pPr>
      <w:r>
        <w:drawing>
          <wp:inline distT="0" distB="0" distL="0" distR="0">
            <wp:extent cx="4914900" cy="7219950"/>
            <wp:effectExtent l="0" t="0" r="0" b="0"/>
            <wp:docPr id="159852290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522901"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914900" cy="7219950"/>
                    </a:xfrm>
                    <a:prstGeom prst="rect">
                      <a:avLst/>
                    </a:prstGeom>
                    <a:noFill/>
                    <a:ln>
                      <a:noFill/>
                    </a:ln>
                  </pic:spPr>
                </pic:pic>
              </a:graphicData>
            </a:graphic>
          </wp:inline>
        </w:drawing>
      </w:r>
    </w:p>
    <w:p w14:paraId="079D6193">
      <w:pPr>
        <w:widowControl/>
        <w:ind w:left="165"/>
        <w:jc w:val="left"/>
        <w:textAlignment w:val="center"/>
        <w:rPr>
          <w:rFonts w:hint="eastAsia" w:ascii="方正黑体简体" w:hAnsi="方正黑体简体" w:eastAsia="方正黑体简体" w:cs="方正黑体简体"/>
          <w:kern w:val="0"/>
          <w:sz w:val="32"/>
          <w:szCs w:val="32"/>
          <w:lang w:bidi="ar"/>
        </w:rPr>
      </w:pPr>
    </w:p>
    <w:p w14:paraId="52A9AA7D">
      <w:pPr>
        <w:keepNext w:val="0"/>
        <w:keepLines w:val="0"/>
        <w:pageBreakBefore w:val="0"/>
        <w:widowControl/>
        <w:kinsoku/>
        <w:wordWrap/>
        <w:overflowPunct/>
        <w:topLinePunct w:val="0"/>
        <w:autoSpaceDE/>
        <w:autoSpaceDN/>
        <w:bidi w:val="0"/>
        <w:adjustRightInd/>
        <w:snapToGrid/>
        <w:ind w:left="0"/>
        <w:jc w:val="left"/>
        <w:textAlignment w:val="center"/>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bidi="ar"/>
        </w:rPr>
        <w:t>附件</w:t>
      </w:r>
      <w:r>
        <w:rPr>
          <w:rFonts w:hint="eastAsia" w:ascii="黑体" w:hAnsi="黑体" w:eastAsia="黑体" w:cs="黑体"/>
          <w:kern w:val="0"/>
          <w:sz w:val="32"/>
          <w:szCs w:val="32"/>
          <w:lang w:val="en-US" w:eastAsia="zh-CN" w:bidi="ar"/>
        </w:rPr>
        <w:t>8</w:t>
      </w:r>
      <w:r>
        <w:rPr>
          <w:rFonts w:hint="eastAsia" w:ascii="黑体" w:hAnsi="黑体" w:eastAsia="黑体" w:cs="黑体"/>
          <w:kern w:val="0"/>
          <w:sz w:val="32"/>
          <w:szCs w:val="32"/>
          <w:lang w:bidi="ar"/>
        </w:rPr>
        <w:t>-</w:t>
      </w:r>
      <w:r>
        <w:rPr>
          <w:rFonts w:hint="eastAsia" w:ascii="黑体" w:hAnsi="黑体" w:eastAsia="黑体" w:cs="黑体"/>
          <w:kern w:val="0"/>
          <w:sz w:val="32"/>
          <w:szCs w:val="32"/>
          <w:lang w:val="en-US" w:eastAsia="zh-CN" w:bidi="ar"/>
        </w:rPr>
        <w:t>6</w:t>
      </w:r>
    </w:p>
    <w:p w14:paraId="11C42958">
      <w:pPr>
        <w:spacing w:line="640" w:lineRule="exact"/>
        <w:jc w:val="center"/>
        <w:rPr>
          <w:rFonts w:eastAsia="方正小标宋简体"/>
          <w:bCs/>
          <w:sz w:val="44"/>
          <w:szCs w:val="44"/>
        </w:rPr>
      </w:pPr>
      <w:r>
        <w:rPr>
          <w:rFonts w:eastAsia="方正小标宋简体"/>
          <w:bCs/>
          <w:sz w:val="44"/>
          <w:szCs w:val="44"/>
        </w:rPr>
        <w:t>新生儿听力筛查工作流程图</w:t>
      </w:r>
    </w:p>
    <w:p w14:paraId="76DF1470">
      <w:pPr>
        <w:rPr>
          <w:b/>
          <w:sz w:val="36"/>
          <w:szCs w:val="16"/>
        </w:rPr>
      </w:pPr>
    </w:p>
    <w:p w14:paraId="357F21AB">
      <w:pPr>
        <w:spacing w:line="360" w:lineRule="auto"/>
        <w:jc w:val="center"/>
        <w:rPr>
          <w:sz w:val="18"/>
          <w:szCs w:val="18"/>
        </w:rPr>
      </w:pPr>
      <w:r>
        <w:drawing>
          <wp:inline distT="0" distB="0" distL="0" distR="0">
            <wp:extent cx="4886325" cy="6210300"/>
            <wp:effectExtent l="0" t="0" r="9525" b="0"/>
            <wp:docPr id="14529598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959838" name="图片 1"/>
                    <pic:cNvPicPr>
                      <a:picLocks noChangeAspect="1" noChangeArrowheads="1"/>
                    </pic:cNvPicPr>
                  </pic:nvPicPr>
                  <pic:blipFill>
                    <a:blip r:embed="rId15">
                      <a:extLst>
                        <a:ext uri="{28A0092B-C50C-407E-A947-70E740481C1C}">
                          <a14:useLocalDpi xmlns:a14="http://schemas.microsoft.com/office/drawing/2010/main" val="0"/>
                        </a:ext>
                      </a:extLst>
                    </a:blip>
                    <a:srcRect l="26169" t="12379" r="25487" b="10689"/>
                    <a:stretch>
                      <a:fillRect/>
                    </a:stretch>
                  </pic:blipFill>
                  <pic:spPr>
                    <a:xfrm>
                      <a:off x="0" y="0"/>
                      <a:ext cx="4886325" cy="6210300"/>
                    </a:xfrm>
                    <a:prstGeom prst="rect">
                      <a:avLst/>
                    </a:prstGeom>
                    <a:noFill/>
                    <a:ln>
                      <a:noFill/>
                    </a:ln>
                  </pic:spPr>
                </pic:pic>
              </a:graphicData>
            </a:graphic>
          </wp:inline>
        </w:drawing>
      </w:r>
    </w:p>
    <w:p w14:paraId="115658EF">
      <w:pPr>
        <w:keepNext w:val="0"/>
        <w:keepLines w:val="0"/>
        <w:pageBreakBefore w:val="0"/>
        <w:widowControl/>
        <w:kinsoku/>
        <w:wordWrap/>
        <w:overflowPunct/>
        <w:topLinePunct w:val="0"/>
        <w:autoSpaceDE/>
        <w:autoSpaceDN/>
        <w:bidi w:val="0"/>
        <w:adjustRightInd/>
        <w:snapToGrid/>
        <w:ind w:left="0"/>
        <w:jc w:val="left"/>
        <w:textAlignment w:val="center"/>
        <w:rPr>
          <w:rFonts w:hint="eastAsia" w:ascii="黑体" w:hAnsi="黑体" w:eastAsia="黑体" w:cs="黑体"/>
          <w:b/>
          <w:sz w:val="32"/>
          <w:szCs w:val="32"/>
          <w:lang w:val="en-US" w:eastAsia="zh-CN"/>
        </w:rPr>
      </w:pPr>
      <w:r>
        <w:rPr>
          <w:rFonts w:eastAsia="方正小标宋简体"/>
          <w:sz w:val="36"/>
          <w:szCs w:val="16"/>
        </w:rPr>
        <w:br w:type="page"/>
      </w:r>
      <w:r>
        <w:rPr>
          <w:rFonts w:hint="eastAsia" w:ascii="黑体" w:hAnsi="黑体" w:eastAsia="黑体" w:cs="黑体"/>
          <w:kern w:val="0"/>
          <w:sz w:val="32"/>
          <w:szCs w:val="32"/>
          <w:lang w:bidi="ar"/>
        </w:rPr>
        <w:t>附件</w:t>
      </w:r>
      <w:r>
        <w:rPr>
          <w:rFonts w:hint="eastAsia" w:ascii="黑体" w:hAnsi="黑体" w:eastAsia="黑体" w:cs="黑体"/>
          <w:kern w:val="0"/>
          <w:sz w:val="32"/>
          <w:szCs w:val="32"/>
          <w:lang w:val="en-US" w:eastAsia="zh-CN" w:bidi="ar"/>
        </w:rPr>
        <w:t>8</w:t>
      </w:r>
      <w:r>
        <w:rPr>
          <w:rFonts w:hint="eastAsia" w:ascii="黑体" w:hAnsi="黑体" w:eastAsia="黑体" w:cs="黑体"/>
          <w:kern w:val="0"/>
          <w:sz w:val="32"/>
          <w:szCs w:val="32"/>
          <w:lang w:bidi="ar"/>
        </w:rPr>
        <w:t>-</w:t>
      </w:r>
      <w:r>
        <w:rPr>
          <w:rFonts w:hint="eastAsia" w:ascii="黑体" w:hAnsi="黑体" w:eastAsia="黑体" w:cs="黑体"/>
          <w:kern w:val="0"/>
          <w:sz w:val="32"/>
          <w:szCs w:val="32"/>
          <w:lang w:val="en-US" w:eastAsia="zh-CN" w:bidi="ar"/>
        </w:rPr>
        <w:t>7</w:t>
      </w:r>
    </w:p>
    <w:p w14:paraId="10CF303B">
      <w:pPr>
        <w:spacing w:line="640" w:lineRule="exact"/>
        <w:jc w:val="center"/>
        <w:rPr>
          <w:rFonts w:eastAsia="方正小标宋简体"/>
          <w:bCs/>
          <w:sz w:val="44"/>
          <w:szCs w:val="44"/>
        </w:rPr>
      </w:pPr>
      <w:r>
        <w:rPr>
          <w:rFonts w:eastAsia="方正小标宋简体"/>
          <w:bCs/>
          <w:sz w:val="44"/>
          <w:szCs w:val="44"/>
        </w:rPr>
        <w:t>新生儿视网膜病变诊查工作流程图</w:t>
      </w:r>
    </w:p>
    <w:p w14:paraId="5FC9FD44">
      <w:pPr>
        <w:widowControl/>
        <w:jc w:val="center"/>
        <w:rPr>
          <w:rFonts w:eastAsia="方正小标宋简体"/>
          <w:spacing w:val="10"/>
          <w:kern w:val="0"/>
          <w:sz w:val="36"/>
          <w:szCs w:val="36"/>
        </w:rPr>
      </w:pPr>
    </w:p>
    <w:p w14:paraId="6232E984">
      <w:pPr>
        <w:widowControl/>
        <w:jc w:val="left"/>
        <w:rPr>
          <w:rFonts w:eastAsia="方正小标宋简体"/>
          <w:spacing w:val="10"/>
          <w:kern w:val="0"/>
          <w:sz w:val="36"/>
          <w:szCs w:val="36"/>
        </w:rPr>
        <w:sectPr>
          <w:pgSz w:w="11906" w:h="16838"/>
          <w:pgMar w:top="1587" w:right="1587" w:bottom="1587" w:left="1587" w:header="851" w:footer="1134" w:gutter="0"/>
          <w:pgNumType w:fmt="decimal"/>
          <w:cols w:space="720" w:num="1"/>
          <w:rtlGutter w:val="0"/>
          <w:docGrid w:type="linesAndChars" w:linePitch="579" w:charSpace="-3633"/>
        </w:sectPr>
      </w:pPr>
      <w:r>
        <w:object>
          <v:shape id="_x0000_i1025" o:spt="75" type="#_x0000_t75" style="height:473.25pt;width:383.25pt;" o:ole="t" filled="f" o:preferrelative="t" stroked="f" coordsize="21600,21600">
            <v:path/>
            <v:fill on="f" focussize="0,0"/>
            <v:stroke on="f" joinstyle="miter"/>
            <v:imagedata r:id="rId17" o:title=""/>
            <o:lock v:ext="edit" aspectratio="t"/>
            <w10:wrap type="none"/>
            <w10:anchorlock/>
          </v:shape>
          <o:OLEObject Type="Embed" ProgID="Visio.Drawing.11" ShapeID="_x0000_i1025" DrawAspect="Content" ObjectID="_1468075726" r:id="rId16">
            <o:LockedField>false</o:LockedField>
          </o:OLEObject>
        </w:object>
      </w:r>
    </w:p>
    <w:p w14:paraId="037AB297">
      <w:pPr>
        <w:keepNext w:val="0"/>
        <w:keepLines w:val="0"/>
        <w:pageBreakBefore w:val="0"/>
        <w:widowControl/>
        <w:kinsoku/>
        <w:wordWrap/>
        <w:overflowPunct/>
        <w:topLinePunct w:val="0"/>
        <w:autoSpaceDE/>
        <w:autoSpaceDN/>
        <w:bidi w:val="0"/>
        <w:adjustRightInd/>
        <w:snapToGrid/>
        <w:ind w:left="0"/>
        <w:jc w:val="left"/>
        <w:textAlignment w:val="center"/>
        <w:rPr>
          <w:rFonts w:hint="eastAsia" w:ascii="黑体" w:hAnsi="黑体" w:eastAsia="黑体" w:cs="黑体"/>
          <w:kern w:val="0"/>
          <w:sz w:val="32"/>
          <w:szCs w:val="32"/>
          <w:lang w:eastAsia="zh-CN" w:bidi="ar"/>
        </w:rPr>
      </w:pPr>
      <w:r>
        <w:rPr>
          <w:rFonts w:hint="eastAsia" w:ascii="黑体" w:hAnsi="黑体" w:eastAsia="黑体" w:cs="黑体"/>
          <w:kern w:val="0"/>
          <w:sz w:val="32"/>
          <w:szCs w:val="32"/>
          <w:lang w:bidi="ar"/>
        </w:rPr>
        <w:t>附件</w:t>
      </w:r>
      <w:r>
        <w:rPr>
          <w:rFonts w:hint="eastAsia" w:ascii="黑体" w:hAnsi="黑体" w:eastAsia="黑体" w:cs="黑体"/>
          <w:kern w:val="0"/>
          <w:sz w:val="32"/>
          <w:szCs w:val="32"/>
          <w:lang w:val="en-US" w:eastAsia="zh-CN" w:bidi="ar"/>
        </w:rPr>
        <w:t>8</w:t>
      </w:r>
      <w:r>
        <w:rPr>
          <w:rFonts w:hint="eastAsia" w:ascii="黑体" w:hAnsi="黑体" w:eastAsia="黑体" w:cs="黑体"/>
          <w:kern w:val="0"/>
          <w:sz w:val="32"/>
          <w:szCs w:val="32"/>
          <w:lang w:bidi="ar"/>
        </w:rPr>
        <w:t>-</w:t>
      </w:r>
      <w:r>
        <w:rPr>
          <w:rFonts w:hint="eastAsia" w:ascii="黑体" w:hAnsi="黑体" w:eastAsia="黑体" w:cs="黑体"/>
          <w:kern w:val="0"/>
          <w:sz w:val="32"/>
          <w:szCs w:val="32"/>
          <w:lang w:val="en-US" w:eastAsia="zh-CN" w:bidi="ar"/>
        </w:rPr>
        <w:t>8</w:t>
      </w:r>
    </w:p>
    <w:p w14:paraId="5E230C84">
      <w:pPr>
        <w:widowControl/>
        <w:jc w:val="center"/>
        <w:rPr>
          <w:rFonts w:ascii="宋体" w:hAnsi="宋体" w:cs="宋体"/>
          <w:szCs w:val="21"/>
        </w:rPr>
      </w:pPr>
      <w:r>
        <w:rPr>
          <w:rFonts w:eastAsia="方正小标宋简体"/>
          <w:bCs/>
          <w:sz w:val="36"/>
          <w:szCs w:val="36"/>
        </w:rPr>
        <w:t>新生儿</w:t>
      </w:r>
      <w:r>
        <w:rPr>
          <w:rFonts w:hint="eastAsia" w:eastAsia="方正小标宋简体"/>
          <w:bCs/>
          <w:sz w:val="36"/>
          <w:szCs w:val="36"/>
        </w:rPr>
        <w:t>先天性心脏病筛查工作流程图</w:t>
      </w:r>
    </w:p>
    <w:p w14:paraId="127882AB">
      <w:pPr>
        <w:rPr>
          <w:rFonts w:ascii="仿宋_GB2312" w:eastAsia="仿宋_GB2312"/>
          <w:snapToGrid w:val="0"/>
          <w:kern w:val="0"/>
          <w:sz w:val="32"/>
          <w:szCs w:val="32"/>
        </w:rPr>
      </w:pPr>
      <w:r>
        <w:object>
          <v:shape id="_x0000_i1026" o:spt="75" type="#_x0000_t75" style="height:561pt;width:442.5pt;" o:ole="t" filled="f" o:preferrelative="t" stroked="f" coordsize="21600,21600">
            <v:path/>
            <v:fill on="f" focussize="0,0"/>
            <v:stroke on="f" joinstyle="miter"/>
            <v:imagedata r:id="rId19" o:title=""/>
            <o:lock v:ext="edit" aspectratio="t"/>
            <w10:wrap type="none"/>
            <w10:anchorlock/>
          </v:shape>
          <o:OLEObject Type="Embed" ProgID="Visio.Drawing.11" ShapeID="_x0000_i1026" DrawAspect="Content" ObjectID="_1468075727" r:id="rId18">
            <o:LockedField>false</o:LockedField>
          </o:OLEObject>
        </w:object>
      </w:r>
    </w:p>
    <w:p w14:paraId="09F7ED56">
      <w:pPr>
        <w:keepNext w:val="0"/>
        <w:keepLines w:val="0"/>
        <w:pageBreakBefore w:val="0"/>
        <w:widowControl w:val="0"/>
        <w:kinsoku/>
        <w:wordWrap/>
        <w:overflowPunct/>
        <w:topLinePunct w:val="0"/>
        <w:autoSpaceDE/>
        <w:autoSpaceDN/>
        <w:bidi w:val="0"/>
        <w:adjustRightInd/>
        <w:snapToGrid/>
        <w:spacing w:line="560" w:lineRule="exact"/>
        <w:jc w:val="left"/>
        <w:textAlignment w:val="auto"/>
      </w:pPr>
    </w:p>
    <w:sectPr>
      <w:footerReference r:id="rId7" w:type="default"/>
      <w:pgSz w:w="11906" w:h="16838"/>
      <w:pgMar w:top="1587" w:right="1587" w:bottom="1587" w:left="1587" w:header="851" w:footer="1134"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AF4BE">
    <w:pPr>
      <w:pStyle w:val="3"/>
      <w:tabs>
        <w:tab w:val="center" w:pos="4140"/>
        <w:tab w:val="right" w:pos="8300"/>
        <w:tab w:val="clear" w:pos="4153"/>
        <w:tab w:val="clear" w:pos="8306"/>
      </w:tabs>
      <w:ind w:right="360"/>
      <w:jc w:val="both"/>
      <w:rPr>
        <w:rFonts w:ascii="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3D5BF1">
                          <w:pPr>
                            <w:pStyle w:val="3"/>
                            <w:keepNext w:val="0"/>
                            <w:keepLines w:val="0"/>
                            <w:pageBreakBefore w:val="0"/>
                            <w:widowControl w:val="0"/>
                            <w:kinsoku/>
                            <w:wordWrap/>
                            <w:overflowPunct/>
                            <w:topLinePunct w:val="0"/>
                            <w:bidi w:val="0"/>
                            <w:adjustRightInd/>
                            <w:snapToGrid w:val="0"/>
                            <w:spacing w:line="420" w:lineRule="exact"/>
                            <w:textAlignment w:val="auto"/>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D3D5BF1">
                    <w:pPr>
                      <w:pStyle w:val="3"/>
                      <w:keepNext w:val="0"/>
                      <w:keepLines w:val="0"/>
                      <w:pageBreakBefore w:val="0"/>
                      <w:widowControl w:val="0"/>
                      <w:kinsoku/>
                      <w:wordWrap/>
                      <w:overflowPunct/>
                      <w:topLinePunct w:val="0"/>
                      <w:bidi w:val="0"/>
                      <w:adjustRightInd/>
                      <w:snapToGrid w:val="0"/>
                      <w:spacing w:line="420" w:lineRule="exact"/>
                      <w:textAlignment w:val="auto"/>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4EFB3">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D0427">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2D0427">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15945">
    <w:pPr>
      <w:pStyle w:val="3"/>
      <w:jc w:val="right"/>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5DC4B">
                          <w:pPr>
                            <w:pStyle w:val="3"/>
                          </w:pPr>
                          <w:r>
                            <w:t xml:space="preserve">— </w:t>
                          </w:r>
                          <w:r>
                            <w:fldChar w:fldCharType="begin"/>
                          </w:r>
                          <w:r>
                            <w:instrText xml:space="preserve"> PAGE  \* MERGEFORMAT </w:instrText>
                          </w:r>
                          <w:r>
                            <w:fldChar w:fldCharType="separate"/>
                          </w:r>
                          <w:r>
                            <w:t>37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6B5DC4B">
                    <w:pPr>
                      <w:pStyle w:val="3"/>
                    </w:pPr>
                    <w:r>
                      <w:t xml:space="preserve">— </w:t>
                    </w:r>
                    <w:r>
                      <w:fldChar w:fldCharType="begin"/>
                    </w:r>
                    <w:r>
                      <w:instrText xml:space="preserve"> PAGE  \* MERGEFORMAT </w:instrText>
                    </w:r>
                    <w:r>
                      <w:fldChar w:fldCharType="separate"/>
                    </w:r>
                    <w:r>
                      <w:t>37</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A8D4C">
    <w:pPr>
      <w:pStyle w:val="3"/>
      <w:tabs>
        <w:tab w:val="left" w:pos="324"/>
        <w:tab w:val="right" w:pos="8300"/>
        <w:tab w:val="clear" w:pos="4153"/>
        <w:tab w:val="clear" w:pos="8306"/>
      </w:tabs>
      <w:ind w:right="360" w:firstLine="360"/>
      <w:jc w:val="both"/>
      <w:rPr>
        <w:rFonts w:hint="eastAsia" w:ascii="仿宋_GB2312" w:eastAsia="宋体"/>
        <w:sz w:val="28"/>
        <w:szCs w:val="28"/>
        <w:lang w:eastAsia="zh-CN"/>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15BD3">
                          <w:pPr>
                            <w:pStyle w:val="3"/>
                            <w:keepNext w:val="0"/>
                            <w:keepLines w:val="0"/>
                            <w:pageBreakBefore w:val="0"/>
                            <w:widowControl w:val="0"/>
                            <w:kinsoku/>
                            <w:wordWrap/>
                            <w:overflowPunct/>
                            <w:topLinePunct w:val="0"/>
                            <w:bidi w:val="0"/>
                            <w:adjustRightInd/>
                            <w:snapToGrid w:val="0"/>
                            <w:spacing w:line="400" w:lineRule="exact"/>
                            <w:textAlignment w:val="auto"/>
                          </w:pPr>
                          <w:r>
                            <w:t xml:space="preserve">— </w:t>
                          </w:r>
                          <w:r>
                            <w:fldChar w:fldCharType="begin"/>
                          </w:r>
                          <w:r>
                            <w:instrText xml:space="preserve"> PAGE  \* MERGEFORMAT </w:instrText>
                          </w:r>
                          <w:r>
                            <w:fldChar w:fldCharType="separate"/>
                          </w:r>
                          <w:r>
                            <w:t>44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B915BD3">
                    <w:pPr>
                      <w:pStyle w:val="3"/>
                      <w:keepNext w:val="0"/>
                      <w:keepLines w:val="0"/>
                      <w:pageBreakBefore w:val="0"/>
                      <w:widowControl w:val="0"/>
                      <w:kinsoku/>
                      <w:wordWrap/>
                      <w:overflowPunct/>
                      <w:topLinePunct w:val="0"/>
                      <w:bidi w:val="0"/>
                      <w:adjustRightInd/>
                      <w:snapToGrid w:val="0"/>
                      <w:spacing w:line="400" w:lineRule="exact"/>
                      <w:textAlignment w:val="auto"/>
                    </w:pPr>
                    <w:r>
                      <w:t xml:space="preserve">— </w:t>
                    </w:r>
                    <w:r>
                      <w:fldChar w:fldCharType="begin"/>
                    </w:r>
                    <w:r>
                      <w:instrText xml:space="preserve"> PAGE  \* MERGEFORMAT </w:instrText>
                    </w:r>
                    <w:r>
                      <w:fldChar w:fldCharType="separate"/>
                    </w:r>
                    <w:r>
                      <w:t>44</w:t>
                    </w:r>
                    <w:r>
                      <w:fldChar w:fldCharType="end"/>
                    </w:r>
                    <w:r>
                      <w:t xml:space="preserve"> —</w:t>
                    </w:r>
                  </w:p>
                </w:txbxContent>
              </v:textbox>
            </v:shape>
          </w:pict>
        </mc:Fallback>
      </mc:AlternateContent>
    </w:r>
    <w:r>
      <w:rPr>
        <w:rFonts w:hint="eastAsia" w:ascii="仿宋_GB2312"/>
        <w:sz w:val="28"/>
        <w:szCs w:val="28"/>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C4EDB">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FC0EEE"/>
    <w:multiLevelType w:val="singleLevel"/>
    <w:tmpl w:val="B6FC0EEE"/>
    <w:lvl w:ilvl="0" w:tentative="0">
      <w:start w:val="2"/>
      <w:numFmt w:val="chineseCounting"/>
      <w:suff w:val="nothing"/>
      <w:lvlText w:val="%1、"/>
      <w:lvlJc w:val="left"/>
      <w:rPr>
        <w:rFonts w:hint="eastAsia"/>
      </w:rPr>
    </w:lvl>
  </w:abstractNum>
  <w:abstractNum w:abstractNumId="1">
    <w:nsid w:val="F66BCFDE"/>
    <w:multiLevelType w:val="singleLevel"/>
    <w:tmpl w:val="F66BCFDE"/>
    <w:lvl w:ilvl="0" w:tentative="0">
      <w:start w:val="2"/>
      <w:numFmt w:val="decimal"/>
      <w:suff w:val="nothing"/>
      <w:lvlText w:val="（%1）"/>
      <w:lvlJc w:val="left"/>
    </w:lvl>
  </w:abstractNum>
  <w:abstractNum w:abstractNumId="2">
    <w:nsid w:val="0BD2E969"/>
    <w:multiLevelType w:val="singleLevel"/>
    <w:tmpl w:val="0BD2E969"/>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xZGFiYzBmN2U2YjJjZTAxMmQyM2I2NmNmYmE5ZDgifQ=="/>
  </w:docVars>
  <w:rsids>
    <w:rsidRoot w:val="69CC7374"/>
    <w:rsid w:val="0670569A"/>
    <w:rsid w:val="10E43AF0"/>
    <w:rsid w:val="256B1D99"/>
    <w:rsid w:val="334B66E3"/>
    <w:rsid w:val="4AD54A8E"/>
    <w:rsid w:val="64F46332"/>
    <w:rsid w:val="65EF52E5"/>
    <w:rsid w:val="69CC7374"/>
    <w:rsid w:val="6D6C2BD8"/>
    <w:rsid w:val="6F045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customStyle="1" w:styleId="7">
    <w:name w:val="纯文本1"/>
    <w:basedOn w:val="1"/>
    <w:autoRedefine/>
    <w:qFormat/>
    <w:uiPriority w:val="0"/>
    <w:rPr>
      <w:rFonts w:ascii="宋体" w:hAnsi="Courier New"/>
      <w:kern w:val="0"/>
      <w:szCs w:val="21"/>
    </w:rPr>
  </w:style>
  <w:style w:type="character" w:customStyle="1" w:styleId="8">
    <w:name w:val="font01"/>
    <w:basedOn w:val="6"/>
    <w:autoRedefine/>
    <w:qFormat/>
    <w:uiPriority w:val="0"/>
    <w:rPr>
      <w:rFonts w:hint="eastAsia" w:ascii="宋体" w:hAnsi="宋体" w:eastAsia="宋体" w:cs="宋体"/>
      <w:color w:val="000000"/>
      <w:sz w:val="24"/>
      <w:szCs w:val="24"/>
      <w:u w:val="none"/>
    </w:rPr>
  </w:style>
  <w:style w:type="character" w:customStyle="1" w:styleId="9">
    <w:name w:val="font31"/>
    <w:basedOn w:val="6"/>
    <w:autoRedefine/>
    <w:qFormat/>
    <w:uiPriority w:val="0"/>
    <w:rPr>
      <w:rFonts w:hint="eastAsia" w:ascii="宋体" w:hAnsi="宋体" w:eastAsia="宋体" w:cs="宋体"/>
      <w:color w:val="FF0000"/>
      <w:sz w:val="22"/>
      <w:szCs w:val="22"/>
      <w:u w:val="none"/>
    </w:rPr>
  </w:style>
  <w:style w:type="character" w:customStyle="1" w:styleId="10">
    <w:name w:val="font41"/>
    <w:basedOn w:val="6"/>
    <w:autoRedefine/>
    <w:qFormat/>
    <w:uiPriority w:val="0"/>
    <w:rPr>
      <w:rFonts w:hint="eastAsia" w:ascii="宋体" w:hAnsi="宋体" w:eastAsia="宋体" w:cs="宋体"/>
      <w:color w:val="000000"/>
      <w:sz w:val="24"/>
      <w:szCs w:val="24"/>
      <w:u w:val="none"/>
    </w:rPr>
  </w:style>
  <w:style w:type="character" w:customStyle="1" w:styleId="11">
    <w:name w:val="页码1"/>
    <w:autoRedefine/>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oleObject" Target="embeddings/oleObject3.bin"/><Relationship Id="rId17" Type="http://schemas.openxmlformats.org/officeDocument/2006/relationships/image" Target="media/image7.emf"/><Relationship Id="rId16" Type="http://schemas.openxmlformats.org/officeDocument/2006/relationships/oleObject" Target="embeddings/oleObject2.bin"/><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e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14197</Words>
  <Characters>15355</Characters>
  <Lines>0</Lines>
  <Paragraphs>0</Paragraphs>
  <TotalTime>215</TotalTime>
  <ScaleCrop>false</ScaleCrop>
  <LinksUpToDate>false</LinksUpToDate>
  <CharactersWithSpaces>15428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2024-04-12T07:36:00Z</dcterms:created>
  <dc:creator>林艳花</dc:creator>
  <cp:lastModifiedBy>安妮@无心2</cp:lastModifiedBy>
  <dcterms:modified xsi:type="dcterms:W3CDTF">2024-07-19T03:35:17Z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7C8EFCA8D16F412D90827A171F232FE5_13</vt:lpwstr>
  </property>
</Properties>
</file>