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宋体"/>
          <w:lang w:val="en-US" w:eastAsia="zh-CN"/>
        </w:rPr>
      </w:pPr>
      <w:r>
        <w:rPr>
          <w:rFonts w:hint="eastAsia" w:ascii="宋体" w:hAnsi="宋体" w:cs="宋体"/>
          <w:lang w:val="en-US" w:eastAsia="zh-CN"/>
        </w:rPr>
        <w:t>附件2：</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鹤山</w:t>
      </w:r>
      <w:r>
        <w:rPr>
          <w:rFonts w:hint="eastAsia" w:ascii="方正小标宋简体" w:hAnsi="方正小标宋简体" w:eastAsia="方正小标宋简体" w:cs="方正小标宋简体"/>
          <w:sz w:val="36"/>
          <w:szCs w:val="36"/>
        </w:rPr>
        <w:t>公路局养护中心车辆</w:t>
      </w:r>
      <w:r>
        <w:rPr>
          <w:rFonts w:hint="eastAsia" w:ascii="方正小标宋简体" w:hAnsi="方正小标宋简体" w:eastAsia="方正小标宋简体" w:cs="方正小标宋简体"/>
          <w:sz w:val="36"/>
          <w:szCs w:val="36"/>
          <w:lang w:val="en-US" w:eastAsia="zh-CN"/>
        </w:rPr>
        <w:t>定点加油</w:t>
      </w:r>
      <w:r>
        <w:rPr>
          <w:rFonts w:hint="eastAsia" w:ascii="方正小标宋简体" w:hAnsi="方正小标宋简体" w:eastAsia="方正小标宋简体" w:cs="方正小标宋简体"/>
          <w:sz w:val="36"/>
          <w:szCs w:val="36"/>
        </w:rPr>
        <w:t>服务</w:t>
      </w:r>
    </w:p>
    <w:p>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p>
    <w:p>
      <w:pPr>
        <w:pStyle w:val="3"/>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本次采购采用【自行采购的综合选取】的方式确定中选机构。评分小组先对报名的供应商进行初步评审；然后对满足初步评审要求的供应商，按照详细评审规定的评分标准进行打分。</w:t>
      </w:r>
    </w:p>
    <w:p>
      <w:pPr>
        <w:spacing w:line="360" w:lineRule="auto"/>
        <w:ind w:firstLine="420" w:firstLineChars="200"/>
        <w:rPr>
          <w:rFonts w:ascii="宋体" w:hAnsi="宋体" w:cs="宋体"/>
        </w:rPr>
      </w:pPr>
      <w:r>
        <w:rPr>
          <w:rFonts w:hint="eastAsia" w:ascii="宋体" w:hAnsi="宋体" w:cs="宋体"/>
        </w:rPr>
        <w:t>评分小组成员对供应商的详细评审各评审因素进行评分，计算出各评审因素的算术平均值后合计总和作为该供应商的得分，并按得分由高到低顺序推荐中选机构。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hint="eastAsia"/>
                <w:sz w:val="21"/>
                <w:szCs w:val="21"/>
              </w:rPr>
            </w:pPr>
            <w:r>
              <w:rPr>
                <w:rFonts w:hint="eastAsia" w:ascii="宋体" w:hAnsi="宋体" w:cs="宋体"/>
              </w:rPr>
              <w:t>（2）具备相应行业资质；</w:t>
            </w:r>
          </w:p>
          <w:p>
            <w:pPr>
              <w:pStyle w:val="3"/>
              <w:spacing w:line="360" w:lineRule="auto"/>
              <w:rPr>
                <w:rFonts w:hint="eastAsia"/>
                <w:sz w:val="21"/>
                <w:szCs w:val="21"/>
              </w:rPr>
            </w:pPr>
            <w:r>
              <w:rPr>
                <w:rStyle w:val="20"/>
                <w:rFonts w:hint="eastAsia"/>
                <w:lang w:val="en-US"/>
              </w:rPr>
              <w:t>（3）</w:t>
            </w:r>
            <w:r>
              <w:rPr>
                <w:rFonts w:hint="eastAsia"/>
                <w:sz w:val="21"/>
                <w:szCs w:val="21"/>
              </w:rPr>
              <w:t>中华人民共和国经营</w:t>
            </w:r>
            <w:r>
              <w:rPr>
                <w:rFonts w:hint="eastAsia"/>
                <w:sz w:val="21"/>
                <w:szCs w:val="21"/>
                <w:lang w:val="en-US" w:eastAsia="zh-CN"/>
              </w:rPr>
              <w:t>油品</w:t>
            </w:r>
            <w:r>
              <w:rPr>
                <w:rFonts w:hint="eastAsia"/>
                <w:sz w:val="21"/>
                <w:szCs w:val="21"/>
              </w:rPr>
              <w:t>业务许可证</w:t>
            </w:r>
            <w:r>
              <w:rPr>
                <w:rStyle w:val="20"/>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lang w:val="en-US" w:eastAsia="zh-CN"/>
              </w:rPr>
              <w:t>油品优惠</w:t>
            </w:r>
            <w:r>
              <w:rPr>
                <w:rFonts w:hint="eastAsia" w:cs="宋体"/>
              </w:rPr>
              <w:t>在合理报价</w:t>
            </w:r>
            <w:r>
              <w:rPr>
                <w:rFonts w:cs="宋体"/>
              </w:rPr>
              <w:t>区间范围内。</w:t>
            </w:r>
          </w:p>
        </w:tc>
      </w:tr>
    </w:tbl>
    <w:p>
      <w:pPr>
        <w:pStyle w:val="3"/>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ind w:firstLine="420" w:firstLineChars="200"/>
      </w:pPr>
      <w:r>
        <w:rPr>
          <w:rFonts w:hint="eastAsia" w:ascii="宋体" w:hAnsi="宋体" w:cs="宋体"/>
        </w:rPr>
        <w:t>三、详细评审</w:t>
      </w:r>
    </w:p>
    <w:tbl>
      <w:tblPr>
        <w:tblStyle w:val="8"/>
        <w:tblW w:w="8660" w:type="dxa"/>
        <w:jc w:val="center"/>
        <w:tblLayout w:type="fixed"/>
        <w:tblCellMar>
          <w:top w:w="0" w:type="dxa"/>
          <w:left w:w="10" w:type="dxa"/>
          <w:bottom w:w="0" w:type="dxa"/>
          <w:right w:w="10" w:type="dxa"/>
        </w:tblCellMar>
      </w:tblPr>
      <w:tblGrid>
        <w:gridCol w:w="1900"/>
        <w:gridCol w:w="5565"/>
        <w:gridCol w:w="1195"/>
      </w:tblGrid>
      <w:tr>
        <w:tblPrEx>
          <w:tblCellMar>
            <w:top w:w="0" w:type="dxa"/>
            <w:left w:w="10" w:type="dxa"/>
            <w:bottom w:w="0" w:type="dxa"/>
            <w:right w:w="10" w:type="dxa"/>
          </w:tblCellMar>
        </w:tblPrEx>
        <w:trPr>
          <w:trHeight w:val="494"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sz w:val="24"/>
              </w:rPr>
            </w:pPr>
            <w:r>
              <w:rPr>
                <w:rStyle w:val="20"/>
                <w:sz w:val="24"/>
              </w:rPr>
              <w:t>评分项目</w:t>
            </w:r>
          </w:p>
        </w:tc>
        <w:tc>
          <w:tcPr>
            <w:tcW w:w="556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sz w:val="24"/>
              </w:rPr>
            </w:pPr>
            <w:r>
              <w:rPr>
                <w:rStyle w:val="20"/>
                <w:sz w:val="24"/>
              </w:rPr>
              <w:t>评标指标</w:t>
            </w:r>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sz w:val="24"/>
              </w:rPr>
            </w:pPr>
            <w:r>
              <w:rPr>
                <w:rStyle w:val="20"/>
                <w:rFonts w:hint="eastAsia"/>
                <w:sz w:val="24"/>
              </w:rPr>
              <w:t>得分</w:t>
            </w:r>
          </w:p>
        </w:tc>
      </w:tr>
      <w:tr>
        <w:tblPrEx>
          <w:tblCellMar>
            <w:top w:w="0" w:type="dxa"/>
            <w:left w:w="10" w:type="dxa"/>
            <w:bottom w:w="0" w:type="dxa"/>
            <w:right w:w="10" w:type="dxa"/>
          </w:tblCellMar>
        </w:tblPrEx>
        <w:trPr>
          <w:trHeight w:val="2492"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rFonts w:hint="default"/>
                <w:lang w:val="en-US"/>
              </w:rPr>
            </w:pPr>
            <w:r>
              <w:rPr>
                <w:rStyle w:val="20"/>
                <w:rFonts w:hint="eastAsia"/>
                <w:lang w:val="en-US" w:eastAsia="zh-CN"/>
              </w:rPr>
              <w:t>服务承诺（15分）</w:t>
            </w:r>
          </w:p>
        </w:tc>
        <w:tc>
          <w:tcPr>
            <w:tcW w:w="5565" w:type="dxa"/>
            <w:tcBorders>
              <w:top w:val="single" w:color="auto" w:sz="4" w:space="0"/>
              <w:left w:val="single" w:color="auto" w:sz="4" w:space="0"/>
              <w:right w:val="single" w:color="auto" w:sz="4" w:space="0"/>
            </w:tcBorders>
            <w:shd w:val="clear" w:color="auto" w:fill="FFFFFF"/>
          </w:tcPr>
          <w:p>
            <w:pPr>
              <w:spacing w:line="240" w:lineRule="auto"/>
              <w:rPr>
                <w:rStyle w:val="20"/>
                <w:rFonts w:hint="default"/>
                <w:lang w:val="en-US"/>
              </w:rPr>
            </w:pPr>
            <w:r>
              <w:rPr>
                <w:rStyle w:val="20"/>
              </w:rPr>
              <w:t>考查各</w:t>
            </w:r>
            <w:r>
              <w:rPr>
                <w:rStyle w:val="20"/>
                <w:rFonts w:hint="eastAsia"/>
              </w:rPr>
              <w:t>供应商</w:t>
            </w:r>
            <w:r>
              <w:rPr>
                <w:rStyle w:val="20"/>
                <w:rFonts w:hint="eastAsia"/>
                <w:lang w:val="en-US"/>
              </w:rPr>
              <w:t>对本项目</w:t>
            </w:r>
            <w:r>
              <w:rPr>
                <w:rStyle w:val="20"/>
              </w:rPr>
              <w:t>的服务</w:t>
            </w:r>
            <w:r>
              <w:rPr>
                <w:rStyle w:val="20"/>
                <w:rFonts w:hint="eastAsia"/>
                <w:lang w:val="en-US"/>
              </w:rPr>
              <w:t>承诺：</w:t>
            </w:r>
          </w:p>
          <w:p>
            <w:pPr>
              <w:spacing w:line="240" w:lineRule="auto"/>
              <w:rPr>
                <w:rStyle w:val="20"/>
                <w:rFonts w:hint="default"/>
                <w:lang w:val="en-US"/>
              </w:rPr>
            </w:pPr>
            <w:r>
              <w:rPr>
                <w:rStyle w:val="20"/>
              </w:rPr>
              <w:t>优:</w:t>
            </w:r>
            <w:r>
              <w:rPr>
                <w:rStyle w:val="20"/>
                <w:rFonts w:hint="eastAsia"/>
                <w:lang w:val="en-US"/>
              </w:rPr>
              <w:t>含加油服务质量承诺、安全生产方案、油品质量保证等的为优，得14~20分。</w:t>
            </w:r>
          </w:p>
          <w:p>
            <w:pPr>
              <w:spacing w:line="240" w:lineRule="auto"/>
              <w:rPr>
                <w:rStyle w:val="20"/>
              </w:rPr>
            </w:pPr>
            <w:r>
              <w:rPr>
                <w:rStyle w:val="20"/>
              </w:rPr>
              <w:t>良:</w:t>
            </w:r>
            <w:r>
              <w:rPr>
                <w:rStyle w:val="20"/>
                <w:rFonts w:hint="eastAsia"/>
                <w:lang w:val="en-US"/>
              </w:rPr>
              <w:t>含加油服务质量承诺、安全生产方案、油品质量保证其中的一至两项为良，得8~13分</w:t>
            </w:r>
            <w:r>
              <w:rPr>
                <w:rStyle w:val="20"/>
              </w:rPr>
              <w:t>；</w:t>
            </w:r>
          </w:p>
          <w:p>
            <w:pPr>
              <w:spacing w:line="240" w:lineRule="auto"/>
            </w:pPr>
            <w:r>
              <w:rPr>
                <w:rStyle w:val="20"/>
              </w:rPr>
              <w:t>差:</w:t>
            </w:r>
            <w:r>
              <w:rPr>
                <w:rStyle w:val="20"/>
                <w:rFonts w:hint="eastAsia"/>
                <w:lang w:val="en-US"/>
              </w:rPr>
              <w:t>以上三项全无，视情况得0~7分</w:t>
            </w:r>
            <w:r>
              <w:rPr>
                <w:rStyle w:val="20"/>
              </w:rPr>
              <w:t>。</w:t>
            </w:r>
            <w:bookmarkStart w:id="0" w:name="_GoBack"/>
            <w:bookmarkEnd w:id="0"/>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492"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rStyle w:val="20"/>
                <w:rFonts w:hint="default"/>
                <w:lang w:val="en-US" w:eastAsia="zh-CN"/>
              </w:rPr>
            </w:pPr>
            <w:r>
              <w:rPr>
                <w:rStyle w:val="20"/>
                <w:rFonts w:hint="eastAsia"/>
                <w:lang w:val="en-US" w:eastAsia="zh-CN"/>
              </w:rPr>
              <w:t>加油站点（25分）</w:t>
            </w:r>
          </w:p>
        </w:tc>
        <w:tc>
          <w:tcPr>
            <w:tcW w:w="5565" w:type="dxa"/>
            <w:tcBorders>
              <w:top w:val="single" w:color="auto" w:sz="4" w:space="0"/>
              <w:left w:val="single" w:color="auto" w:sz="4" w:space="0"/>
              <w:right w:val="single" w:color="auto" w:sz="4" w:space="0"/>
            </w:tcBorders>
            <w:shd w:val="clear" w:color="auto" w:fill="FFFFFF"/>
          </w:tcPr>
          <w:p>
            <w:pPr>
              <w:spacing w:line="240" w:lineRule="auto"/>
              <w:rPr>
                <w:rStyle w:val="20"/>
                <w:rFonts w:hint="eastAsia"/>
                <w:lang w:val="en-US"/>
              </w:rPr>
            </w:pPr>
            <w:r>
              <w:rPr>
                <w:rStyle w:val="20"/>
                <w:rFonts w:hint="eastAsia"/>
                <w:lang w:val="en-US" w:eastAsia="zh-CN"/>
              </w:rPr>
              <w:t>考查供应商加油站点分布：</w:t>
            </w:r>
            <w:r>
              <w:rPr>
                <w:rStyle w:val="20"/>
                <w:rFonts w:hint="eastAsia"/>
                <w:lang w:val="en-US" w:eastAsia="zh-CN"/>
              </w:rPr>
              <w:br w:type="textWrapping"/>
            </w:r>
            <w:r>
              <w:rPr>
                <w:rStyle w:val="20"/>
                <w:rFonts w:hint="eastAsia"/>
                <w:lang w:val="en-US" w:eastAsia="zh-CN"/>
              </w:rPr>
              <w:t>优：距离江门市鹤山公路局养护中心宅梧公路养护站、江门市鹤山公路局养护中心共和公路养护站、江门市鹤山公路局养护中心址山公路养护站（将军陂对面）、江门市公路局养护中心以及江门市鹤山公路局养护中心龙口道班10公里范围内分别都有加油站</w:t>
            </w:r>
            <w:r>
              <w:rPr>
                <w:rStyle w:val="20"/>
                <w:rFonts w:hint="eastAsia"/>
                <w:lang w:val="en-US"/>
              </w:rPr>
              <w:t>，得25分。</w:t>
            </w:r>
          </w:p>
          <w:p>
            <w:pPr>
              <w:spacing w:line="240" w:lineRule="auto"/>
              <w:rPr>
                <w:rStyle w:val="20"/>
                <w:rFonts w:hint="eastAsia"/>
                <w:lang w:val="en-US"/>
              </w:rPr>
            </w:pPr>
            <w:r>
              <w:rPr>
                <w:rStyle w:val="20"/>
                <w:rFonts w:hint="eastAsia"/>
                <w:lang w:val="en-US"/>
              </w:rPr>
              <w:t>良：其中3-4个点满足10分。</w:t>
            </w:r>
          </w:p>
          <w:p>
            <w:pPr>
              <w:spacing w:line="240" w:lineRule="auto"/>
              <w:rPr>
                <w:rStyle w:val="20"/>
                <w:rFonts w:hint="default"/>
                <w:lang w:val="en-US"/>
              </w:rPr>
            </w:pPr>
            <w:r>
              <w:rPr>
                <w:rStyle w:val="20"/>
                <w:rFonts w:hint="eastAsia"/>
                <w:lang w:val="en-US"/>
              </w:rPr>
              <w:t>差：1-2个点满足5分。</w:t>
            </w:r>
          </w:p>
        </w:tc>
        <w:tc>
          <w:tcPr>
            <w:tcW w:w="1195" w:type="dxa"/>
            <w:tcBorders>
              <w:top w:val="single" w:color="auto" w:sz="4" w:space="0"/>
              <w:left w:val="single" w:color="auto" w:sz="4" w:space="0"/>
              <w:right w:val="single" w:color="auto" w:sz="4" w:space="0"/>
            </w:tcBorders>
            <w:shd w:val="clear" w:color="auto" w:fill="FFFFFF"/>
            <w:vAlign w:val="center"/>
          </w:tcPr>
          <w:p>
            <w:pPr>
              <w:spacing w:line="240" w:lineRule="auto"/>
              <w:jc w:val="center"/>
              <w:rPr>
                <w:rStyle w:val="20"/>
              </w:rPr>
            </w:pPr>
          </w:p>
        </w:tc>
      </w:tr>
      <w:tr>
        <w:tblPrEx>
          <w:tblCellMar>
            <w:top w:w="0" w:type="dxa"/>
            <w:left w:w="10" w:type="dxa"/>
            <w:bottom w:w="0" w:type="dxa"/>
            <w:right w:w="10" w:type="dxa"/>
          </w:tblCellMar>
        </w:tblPrEx>
        <w:trPr>
          <w:trHeight w:val="2595" w:hRule="exact"/>
          <w:jc w:val="center"/>
        </w:trPr>
        <w:tc>
          <w:tcPr>
            <w:tcW w:w="1900" w:type="dxa"/>
            <w:tcBorders>
              <w:top w:val="single" w:color="auto" w:sz="4" w:space="0"/>
              <w:left w:val="single" w:color="auto" w:sz="4" w:space="0"/>
              <w:bottom w:val="single" w:color="auto" w:sz="4" w:space="0"/>
            </w:tcBorders>
            <w:shd w:val="clear" w:color="auto" w:fill="FFFFFF"/>
            <w:vAlign w:val="center"/>
          </w:tcPr>
          <w:p>
            <w:pPr>
              <w:spacing w:line="240" w:lineRule="auto"/>
              <w:jc w:val="center"/>
            </w:pPr>
            <w:r>
              <w:rPr>
                <w:rStyle w:val="20"/>
                <w:rFonts w:hint="eastAsia"/>
              </w:rPr>
              <w:t>报价</w:t>
            </w:r>
            <w:r>
              <w:rPr>
                <w:rStyle w:val="20"/>
                <w:rFonts w:hint="eastAsia"/>
                <w:lang w:eastAsia="en-US" w:bidi="en-US"/>
              </w:rPr>
              <w:t>（</w:t>
            </w:r>
            <w:r>
              <w:rPr>
                <w:rStyle w:val="20"/>
                <w:rFonts w:hint="eastAsia"/>
                <w:lang w:val="en-US" w:eastAsia="zh-CN" w:bidi="en-US"/>
              </w:rPr>
              <w:t>60</w:t>
            </w:r>
            <w:r>
              <w:rPr>
                <w:rStyle w:val="20"/>
              </w:rPr>
              <w:t>分）</w:t>
            </w:r>
          </w:p>
        </w:tc>
        <w:tc>
          <w:tcPr>
            <w:tcW w:w="5565"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jc w:val="both"/>
              <w:rPr>
                <w:rStyle w:val="20"/>
                <w:lang w:val="en-US"/>
              </w:rPr>
            </w:pPr>
          </w:p>
          <w:p>
            <w:pPr>
              <w:spacing w:line="360" w:lineRule="auto"/>
              <w:jc w:val="both"/>
              <w:rPr>
                <w:rStyle w:val="20"/>
              </w:rPr>
            </w:pPr>
            <w:r>
              <w:rPr>
                <w:rStyle w:val="20"/>
              </w:rPr>
              <w:t>报价得分=</w:t>
            </w:r>
            <w:r>
              <w:rPr>
                <w:rStyle w:val="20"/>
                <w:rFonts w:hint="eastAsia"/>
              </w:rPr>
              <w:t>（</w:t>
            </w:r>
            <w:r>
              <w:rPr>
                <w:rStyle w:val="20"/>
              </w:rPr>
              <w:t>评标基准价</w:t>
            </w:r>
            <w:r>
              <w:rPr>
                <w:rStyle w:val="20"/>
                <w:rFonts w:hint="eastAsia"/>
              </w:rPr>
              <w:t>÷</w:t>
            </w:r>
            <w:r>
              <w:rPr>
                <w:rStyle w:val="20"/>
                <w:rFonts w:hint="eastAsia"/>
                <w:lang w:val="en-US"/>
              </w:rPr>
              <w:t>加油优惠）*6</w:t>
            </w:r>
            <w:r>
              <w:rPr>
                <w:rStyle w:val="20"/>
                <w:rFonts w:hint="eastAsia"/>
              </w:rPr>
              <w:t>0</w:t>
            </w:r>
          </w:p>
          <w:p>
            <w:pPr>
              <w:pStyle w:val="3"/>
              <w:numPr>
                <w:ilvl w:val="0"/>
                <w:numId w:val="1"/>
              </w:numPr>
              <w:spacing w:line="360" w:lineRule="auto"/>
              <w:ind w:left="0" w:firstLine="0"/>
              <w:jc w:val="both"/>
              <w:rPr>
                <w:sz w:val="22"/>
                <w:szCs w:val="22"/>
                <w:lang w:val="zh-CN" w:bidi="zh-CN"/>
              </w:rPr>
            </w:pPr>
            <w:r>
              <w:rPr>
                <w:rFonts w:hint="eastAsia"/>
                <w:sz w:val="22"/>
                <w:szCs w:val="22"/>
                <w:lang w:val="zh-CN" w:bidi="zh-CN"/>
              </w:rPr>
              <w:t>以所有合格报价中优惠最低的为评标基准价。</w:t>
            </w:r>
          </w:p>
          <w:p>
            <w:pPr>
              <w:pStyle w:val="3"/>
              <w:numPr>
                <w:ilvl w:val="0"/>
                <w:numId w:val="1"/>
              </w:numPr>
              <w:spacing w:line="360" w:lineRule="auto"/>
              <w:ind w:left="0" w:firstLine="0"/>
              <w:jc w:val="both"/>
              <w:rPr>
                <w:snapToGrid w:val="0"/>
                <w:lang w:val="zh-CN" w:bidi="zh-CN"/>
              </w:rPr>
            </w:pPr>
            <w:r>
              <w:rPr>
                <w:rFonts w:hint="eastAsia"/>
                <w:snapToGrid w:val="0"/>
                <w:sz w:val="22"/>
                <w:szCs w:val="22"/>
              </w:rPr>
              <w:t>得分计算保留到小数点后1位。</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r>
        <w:tblPrEx>
          <w:tblCellMar>
            <w:top w:w="0" w:type="dxa"/>
            <w:left w:w="10" w:type="dxa"/>
            <w:bottom w:w="0" w:type="dxa"/>
            <w:right w:w="10" w:type="dxa"/>
          </w:tblCellMar>
        </w:tblPrEx>
        <w:trPr>
          <w:trHeight w:val="737" w:hRule="exact"/>
          <w:jc w:val="center"/>
        </w:trPr>
        <w:tc>
          <w:tcPr>
            <w:tcW w:w="746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lang w:val="en-US"/>
              </w:rPr>
            </w:pPr>
            <w:r>
              <w:rPr>
                <w:rStyle w:val="20"/>
                <w:rFonts w:hint="eastAsia"/>
                <w:lang w:val="en-US"/>
              </w:rPr>
              <w:t>合计（100分）</w:t>
            </w:r>
          </w:p>
        </w:tc>
        <w:tc>
          <w:tcPr>
            <w:tcW w:w="119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Style w:val="20"/>
              </w:rPr>
            </w:pPr>
          </w:p>
        </w:tc>
      </w:tr>
    </w:tbl>
    <w:p>
      <w:pPr>
        <w:pStyle w:val="3"/>
      </w:pPr>
    </w:p>
    <w:sectPr>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76DCA"/>
    <w:multiLevelType w:val="multilevel"/>
    <w:tmpl w:val="06A76DCA"/>
    <w:lvl w:ilvl="0" w:tentative="0">
      <w:start w:val="1"/>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 w:name="KGWebUrl" w:val="http://19.121.241.45/seeyon/officeservlet"/>
  </w:docVars>
  <w:rsids>
    <w:rsidRoot w:val="5FDA3E7F"/>
    <w:rsid w:val="00011AAB"/>
    <w:rsid w:val="000149F6"/>
    <w:rsid w:val="00072B4B"/>
    <w:rsid w:val="0009653E"/>
    <w:rsid w:val="000F6568"/>
    <w:rsid w:val="001203DD"/>
    <w:rsid w:val="00130987"/>
    <w:rsid w:val="0015444C"/>
    <w:rsid w:val="0016305F"/>
    <w:rsid w:val="00171D34"/>
    <w:rsid w:val="00176F8F"/>
    <w:rsid w:val="001A4FDD"/>
    <w:rsid w:val="001A6DE8"/>
    <w:rsid w:val="001D0A6F"/>
    <w:rsid w:val="001D1D4C"/>
    <w:rsid w:val="001E2477"/>
    <w:rsid w:val="001E5A27"/>
    <w:rsid w:val="001F005E"/>
    <w:rsid w:val="001F7FAF"/>
    <w:rsid w:val="00213E18"/>
    <w:rsid w:val="002440D4"/>
    <w:rsid w:val="00256672"/>
    <w:rsid w:val="00271C46"/>
    <w:rsid w:val="0027528A"/>
    <w:rsid w:val="002D5197"/>
    <w:rsid w:val="002F7CD5"/>
    <w:rsid w:val="0031139D"/>
    <w:rsid w:val="003128D6"/>
    <w:rsid w:val="0031665C"/>
    <w:rsid w:val="003305A6"/>
    <w:rsid w:val="00340936"/>
    <w:rsid w:val="00367E9D"/>
    <w:rsid w:val="00375618"/>
    <w:rsid w:val="00391228"/>
    <w:rsid w:val="00410EBE"/>
    <w:rsid w:val="004362A3"/>
    <w:rsid w:val="00436E71"/>
    <w:rsid w:val="00446955"/>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D6701"/>
    <w:rsid w:val="006D6B97"/>
    <w:rsid w:val="006E7315"/>
    <w:rsid w:val="006F6D61"/>
    <w:rsid w:val="0074383E"/>
    <w:rsid w:val="00746C63"/>
    <w:rsid w:val="00755341"/>
    <w:rsid w:val="007B05B0"/>
    <w:rsid w:val="007D6EE2"/>
    <w:rsid w:val="007E18D4"/>
    <w:rsid w:val="007F5017"/>
    <w:rsid w:val="008550E0"/>
    <w:rsid w:val="00882A81"/>
    <w:rsid w:val="00884D15"/>
    <w:rsid w:val="008B5178"/>
    <w:rsid w:val="008E3E6D"/>
    <w:rsid w:val="008F6626"/>
    <w:rsid w:val="0090735E"/>
    <w:rsid w:val="009658AD"/>
    <w:rsid w:val="00970F05"/>
    <w:rsid w:val="00984883"/>
    <w:rsid w:val="009D2951"/>
    <w:rsid w:val="009E0EBA"/>
    <w:rsid w:val="00A13B83"/>
    <w:rsid w:val="00A26C31"/>
    <w:rsid w:val="00A359D3"/>
    <w:rsid w:val="00A42A1E"/>
    <w:rsid w:val="00A918FB"/>
    <w:rsid w:val="00AA1788"/>
    <w:rsid w:val="00AC52C5"/>
    <w:rsid w:val="00AD79DB"/>
    <w:rsid w:val="00B17CC6"/>
    <w:rsid w:val="00B4119B"/>
    <w:rsid w:val="00B4439D"/>
    <w:rsid w:val="00B52BF1"/>
    <w:rsid w:val="00B5675C"/>
    <w:rsid w:val="00B614E0"/>
    <w:rsid w:val="00B6735B"/>
    <w:rsid w:val="00B86BA6"/>
    <w:rsid w:val="00C20E22"/>
    <w:rsid w:val="00C25867"/>
    <w:rsid w:val="00C305B4"/>
    <w:rsid w:val="00C63139"/>
    <w:rsid w:val="00C809AA"/>
    <w:rsid w:val="00CC1947"/>
    <w:rsid w:val="00CC6EBF"/>
    <w:rsid w:val="00CE3524"/>
    <w:rsid w:val="00CF0E3A"/>
    <w:rsid w:val="00D16DD7"/>
    <w:rsid w:val="00D42ABC"/>
    <w:rsid w:val="00D94F86"/>
    <w:rsid w:val="00DA567B"/>
    <w:rsid w:val="00DA7D8F"/>
    <w:rsid w:val="00DB56C0"/>
    <w:rsid w:val="00DC6FBF"/>
    <w:rsid w:val="00DD2B4D"/>
    <w:rsid w:val="00DD5414"/>
    <w:rsid w:val="00DE486F"/>
    <w:rsid w:val="00DF4637"/>
    <w:rsid w:val="00E0231C"/>
    <w:rsid w:val="00E52328"/>
    <w:rsid w:val="00E600FE"/>
    <w:rsid w:val="00E61E72"/>
    <w:rsid w:val="00EA1092"/>
    <w:rsid w:val="00EA1FC0"/>
    <w:rsid w:val="00EB2796"/>
    <w:rsid w:val="00EF0ED9"/>
    <w:rsid w:val="00EF2FF6"/>
    <w:rsid w:val="00F04171"/>
    <w:rsid w:val="00F100E0"/>
    <w:rsid w:val="00F72AD7"/>
    <w:rsid w:val="053E25DD"/>
    <w:rsid w:val="06F14A10"/>
    <w:rsid w:val="07F31225"/>
    <w:rsid w:val="084D1FF9"/>
    <w:rsid w:val="099F7B11"/>
    <w:rsid w:val="0B432F4B"/>
    <w:rsid w:val="0E823830"/>
    <w:rsid w:val="0F7C39B0"/>
    <w:rsid w:val="10E549A1"/>
    <w:rsid w:val="14DC4224"/>
    <w:rsid w:val="1C4226C5"/>
    <w:rsid w:val="1DC5035B"/>
    <w:rsid w:val="1F4C5CAB"/>
    <w:rsid w:val="211C3D4C"/>
    <w:rsid w:val="252561EE"/>
    <w:rsid w:val="255B30EF"/>
    <w:rsid w:val="270237C3"/>
    <w:rsid w:val="281D3002"/>
    <w:rsid w:val="2B8A3E01"/>
    <w:rsid w:val="2F1422BD"/>
    <w:rsid w:val="2FAC7A81"/>
    <w:rsid w:val="32D56BB5"/>
    <w:rsid w:val="37896B48"/>
    <w:rsid w:val="380A3B51"/>
    <w:rsid w:val="38647A3B"/>
    <w:rsid w:val="3884708A"/>
    <w:rsid w:val="39D07CE9"/>
    <w:rsid w:val="3BDB4E6B"/>
    <w:rsid w:val="3CFB6F84"/>
    <w:rsid w:val="425139E4"/>
    <w:rsid w:val="5211523C"/>
    <w:rsid w:val="58D304A6"/>
    <w:rsid w:val="590B454D"/>
    <w:rsid w:val="595A40EE"/>
    <w:rsid w:val="59BA4C4C"/>
    <w:rsid w:val="5A7B1263"/>
    <w:rsid w:val="5C9D4E93"/>
    <w:rsid w:val="5FDA3E7F"/>
    <w:rsid w:val="724E3EEE"/>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E91B-8BE7-4488-98ED-8C05A0BA006A}">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2</Pages>
  <Words>751</Words>
  <Characters>767</Characters>
  <Lines>7</Lines>
  <Paragraphs>2</Paragraphs>
  <TotalTime>16</TotalTime>
  <ScaleCrop>false</ScaleCrop>
  <LinksUpToDate>false</LinksUpToDate>
  <CharactersWithSpaces>767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2024-06-19T08:20:00Z</dcterms:created>
  <dc:creator>区展锴</dc:creator>
  <cp:lastModifiedBy>Twixters</cp:lastModifiedBy>
  <cp:lastPrinted>2024-06-25T07:42:00Z</cp:lastPrinted>
  <dcterms:modified xsi:type="dcterms:W3CDTF">2024-08-02T08:22:48Z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366643D950BC4AFF962BA1E5E68284EF</vt:lpwstr>
  </property>
</Properties>
</file>