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202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40"/>
          <w:szCs w:val="40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江门市医疗保障局“谁执法谁普法”普法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40"/>
          <w:szCs w:val="40"/>
        </w:rPr>
        <w:t>计划任务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分解表</w:t>
      </w:r>
    </w:p>
    <w:tbl>
      <w:tblPr>
        <w:tblStyle w:val="4"/>
        <w:tblpPr w:leftFromText="180" w:rightFromText="180" w:vertAnchor="text" w:horzAnchor="page" w:tblpX="1148" w:tblpY="358"/>
        <w:tblOverlap w:val="never"/>
        <w:tblW w:w="14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7305"/>
        <w:gridCol w:w="2250"/>
        <w:gridCol w:w="4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>序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73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普法内容</w:t>
            </w:r>
          </w:p>
        </w:tc>
        <w:tc>
          <w:tcPr>
            <w:tcW w:w="22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完成时间</w:t>
            </w:r>
          </w:p>
        </w:tc>
        <w:tc>
          <w:tcPr>
            <w:tcW w:w="42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责任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>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8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73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学习宣传贯彻党的二十大精神和习近平法治思想、党内法规</w:t>
            </w:r>
          </w:p>
        </w:tc>
        <w:tc>
          <w:tcPr>
            <w:tcW w:w="22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1月-1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42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办公室牵头，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其他科室（分局）、市医保中心配合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8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73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开展</w:t>
            </w:r>
            <w:r>
              <w:rPr>
                <w:rFonts w:hint="eastAsia" w:ascii="仿宋_GB2312" w:hAnsi="仿宋_GB2312" w:eastAsia="仿宋_GB2312" w:cs="仿宋_GB2312"/>
                <w:szCs w:val="28"/>
              </w:rPr>
              <w:t>《关于办理医保骗保刑事案件若干问题的指导意见》《医疗保障基金使用监督管理条例》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《医疗保障行政处罚程序暂行规定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》等医保法规政策宣传</w:t>
            </w:r>
          </w:p>
        </w:tc>
        <w:tc>
          <w:tcPr>
            <w:tcW w:w="22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1月-1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月（4月为集中宣传月)</w:t>
            </w:r>
          </w:p>
        </w:tc>
        <w:tc>
          <w:tcPr>
            <w:tcW w:w="42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基金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监管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科牵头，各科室、各分局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市医保中心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配合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8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73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《宪法》《民法典》《行政处罚法》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等综合性法律法规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1月-1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42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规划财务和法规科牵头、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其他科室（分局）、市医保中心配合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73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有关医保医药服务管理的法规政策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1月-1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42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医药服务管理科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牵头、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其他科室（分局）、市医保中心配合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8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73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有关医保待遇保障的法规政策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1月-1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42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待遇保障科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牵头、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其他科室（分局）、市医保中心配合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8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73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Cs w:val="28"/>
              </w:rPr>
              <w:t>《社会保险经办条例》以及有关医保经办的法规政策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1月-1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42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市医保中心牵头、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其他科室（分局）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配合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>序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73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普法内容</w:t>
            </w:r>
          </w:p>
        </w:tc>
        <w:tc>
          <w:tcPr>
            <w:tcW w:w="22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完成时间</w:t>
            </w:r>
          </w:p>
        </w:tc>
        <w:tc>
          <w:tcPr>
            <w:tcW w:w="42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责任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>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8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73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局领导班子举办2期以上法治专题讲座（至少举办1期党内法规专题讲座）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1月-1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42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规划财务和法规科牵头、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其他科室（分局）、市医保中心配合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建立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2024年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领导干部应知应会法律法规清单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</w:p>
        </w:tc>
        <w:tc>
          <w:tcPr>
            <w:tcW w:w="4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规划财务和法规科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7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制定并公布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Cs w:val="28"/>
                <w:lang w:bidi="ar"/>
              </w:rPr>
              <w:t>2024年度江门市医疗保障局普法责任清单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4月</w:t>
            </w:r>
          </w:p>
        </w:tc>
        <w:tc>
          <w:tcPr>
            <w:tcW w:w="4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规划财务和法规科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8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73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开展</w:t>
            </w:r>
            <w:r>
              <w:rPr>
                <w:rFonts w:hint="eastAsia" w:ascii="仿宋_GB2312" w:hAnsi="仿宋_GB2312" w:eastAsia="仿宋_GB2312" w:cs="仿宋_GB2312"/>
                <w:szCs w:val="28"/>
              </w:rPr>
              <w:t>“4·15”全民国家安全教育日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“美好生活</w:t>
            </w:r>
            <w:r>
              <w:rPr>
                <w:rFonts w:hint="eastAsia" w:ascii="仿宋_GB2312" w:hAnsi="仿宋_GB2312" w:eastAsia="仿宋_GB2312" w:cs="仿宋_GB2312"/>
                <w:szCs w:val="28"/>
              </w:rPr>
              <w:t>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民法典相伴”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“12</w:t>
            </w:r>
            <w:r>
              <w:rPr>
                <w:rFonts w:hint="eastAsia" w:ascii="仿宋_GB2312" w:hAnsi="仿宋_GB2312" w:eastAsia="仿宋_GB2312" w:cs="仿宋_GB2312"/>
                <w:szCs w:val="28"/>
              </w:rPr>
              <w:t>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4”国家宪法日、“宪法宣传周”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等重要普法宣传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活动</w:t>
            </w:r>
          </w:p>
        </w:tc>
        <w:tc>
          <w:tcPr>
            <w:tcW w:w="22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按照市普法办要求的时间</w:t>
            </w:r>
          </w:p>
        </w:tc>
        <w:tc>
          <w:tcPr>
            <w:tcW w:w="42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规划财务和法规科牵头、其他科室（分局）、市医保中心配合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8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73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参加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市普法办组织的各类普法活动</w:t>
            </w:r>
          </w:p>
        </w:tc>
        <w:tc>
          <w:tcPr>
            <w:tcW w:w="22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按照市普法办要求的时间</w:t>
            </w:r>
          </w:p>
        </w:tc>
        <w:tc>
          <w:tcPr>
            <w:tcW w:w="42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规划财务和法规科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牵头、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其他科室（分局）、市医保中心配合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8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73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参加</w:t>
            </w:r>
            <w:r>
              <w:rPr>
                <w:rFonts w:hint="eastAsia" w:ascii="仿宋_GB2312" w:hAnsi="仿宋_GB2312" w:eastAsia="仿宋_GB2312" w:cs="仿宋_GB2312"/>
                <w:szCs w:val="28"/>
              </w:rPr>
              <w:t>2024年领导干部应知应会党内法规和法律法规学考活动</w:t>
            </w:r>
            <w:r>
              <w:rPr>
                <w:rFonts w:hint="default" w:ascii="仿宋_GB2312" w:hAnsi="仿宋_GB2312" w:eastAsia="仿宋_GB2312" w:cs="仿宋_GB2312"/>
                <w:szCs w:val="28"/>
              </w:rPr>
              <w:t>（包括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全市国家工作人员网上学法考试和领导干部旁听庭审活动</w:t>
            </w:r>
            <w:r>
              <w:rPr>
                <w:rFonts w:hint="default" w:ascii="仿宋_GB2312" w:hAnsi="仿宋_GB2312" w:eastAsia="仿宋_GB2312" w:cs="仿宋_GB2312"/>
                <w:szCs w:val="28"/>
              </w:rPr>
              <w:t>）</w:t>
            </w:r>
          </w:p>
        </w:tc>
        <w:tc>
          <w:tcPr>
            <w:tcW w:w="22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按照市普法办要求的时间</w:t>
            </w:r>
          </w:p>
        </w:tc>
        <w:tc>
          <w:tcPr>
            <w:tcW w:w="42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规划财务和法规科牵头、其他科室（分局）、市医保中心配合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8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3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参与并学习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年度全市国家机关“谁执法谁普法”履职报告评议活动</w:t>
            </w:r>
          </w:p>
        </w:tc>
        <w:tc>
          <w:tcPr>
            <w:tcW w:w="22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按照市普法办要求的时间</w:t>
            </w:r>
          </w:p>
        </w:tc>
        <w:tc>
          <w:tcPr>
            <w:tcW w:w="42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规划财务和法规科牵头、其他科室（分局）、市医保中心配合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</w:pPr>
      <w:r>
        <w:rPr>
          <w:rFonts w:hint="default" w:ascii="仿宋_GB2312" w:hAnsi="仿宋_GB2312" w:eastAsia="仿宋_GB2312" w:cs="仿宋_GB2312"/>
          <w:b/>
          <w:bCs/>
          <w:sz w:val="28"/>
          <w:szCs w:val="28"/>
        </w:rPr>
        <w:t>备注：各分局、市医保中心（包括分中心）窗口岗位以及电子显示屏、电子触摸屏等对外服务平台上增设法治宣传功能，运用公众服务窗口常态开展法治宣传。</w:t>
      </w:r>
    </w:p>
    <w:sectPr>
      <w:pgSz w:w="16838" w:h="11906" w:orient="landscape"/>
      <w:pgMar w:top="1800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kNjUwYTEzMzJlMmFiYzcwNzg2M2YxMjk5Njg4NWUifQ=="/>
  </w:docVars>
  <w:rsids>
    <w:rsidRoot w:val="607C5D84"/>
    <w:rsid w:val="2216575E"/>
    <w:rsid w:val="5D0E66AF"/>
    <w:rsid w:val="607C5D84"/>
    <w:rsid w:val="60AB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江门市医保局</Company>
  <Pages>2</Pages>
  <Words>913</Words>
  <Characters>948</Characters>
  <Lines>0</Lines>
  <Paragraphs>0</Paragraphs>
  <TotalTime>0</TotalTime>
  <ScaleCrop>false</ScaleCrop>
  <LinksUpToDate>false</LinksUpToDate>
  <CharactersWithSpaces>948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2024-04-26T07:02:00Z</dcterms:created>
  <dc:creator>郑晓丽</dc:creator>
  <cp:lastModifiedBy>郑晓丽</cp:lastModifiedBy>
  <dcterms:modified xsi:type="dcterms:W3CDTF">2024-08-06T02:39:36Z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246C99C5508949C4943B1372F7A6840D_11</vt:lpwstr>
  </property>
</Properties>
</file>